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6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___________________ to ___________________</w:t>
      </w:r>
    </w:p>
    <w:p>
      <w:pPr>
        <w:pStyle w:val="TextBody"/>
        <w:bidi w:val="0"/>
        <w:spacing w:lineRule="auto" w:line="288" w:before="120" w:after="283"/>
        <w:jc w:val="center"/>
        <w:rPr/>
      </w:pPr>
      <w:r>
        <w:rPr>
          <w:rFonts w:ascii="Times New Roman;sans-serif" w:hAnsi="Times New Roman;sans-serif"/>
          <w:b/>
          <w:color w:val="000000"/>
          <w:sz w:val="18"/>
        </w:rPr>
        <w:t xml:space="preserve">Commission File Number: </w:t>
      </w:r>
      <w:r>
        <w:rPr>
          <w:rFonts w:ascii="Times New Roman;sans-serif" w:hAnsi="Times New Roman;sans-serif"/>
          <w:b/>
          <w:color w:val="000000"/>
          <w:sz w:val="18"/>
          <w:shd w:fill="FFFFFF" w:val="clear"/>
        </w:rPr>
        <w:t>001-40575</w:t>
      </w:r>
    </w:p>
    <w:p>
      <w:pPr>
        <w:pStyle w:val="TextBody"/>
        <w:bidi w:val="0"/>
        <w:spacing w:lineRule="auto" w:line="288" w:before="180" w:after="283"/>
        <w:jc w:val="center"/>
        <w:rPr>
          <w:rFonts w:ascii="Times New Roman;sans-serif" w:hAnsi="Times New Roman;sans-serif"/>
          <w:b/>
          <w:color w:val="000000"/>
          <w:sz w:val="32"/>
        </w:rPr>
      </w:pPr>
      <w:r>
        <w:rPr>
          <w:rFonts w:ascii="Times New Roman;sans-serif" w:hAnsi="Times New Roman;sans-serif"/>
          <w:b/>
          <w:color w:val="000000"/>
          <w:sz w:val="32"/>
        </w:rPr>
        <w:t>EverCommerce Inc.</w:t>
      </w:r>
    </w:p>
    <w:p>
      <w:pPr>
        <w:pStyle w:val="TextBody"/>
        <w:bidi w:val="0"/>
        <w:spacing w:lineRule="auto" w:line="288" w:before="120" w:after="18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5321" w:type="dxa"/>
        <w:jc w:val="center"/>
        <w:tblInd w:w="0" w:type="dxa"/>
        <w:tblLayout w:type="fixed"/>
        <w:tblCellMar>
          <w:top w:w="28" w:type="dxa"/>
          <w:left w:w="28" w:type="dxa"/>
          <w:bottom w:w="28" w:type="dxa"/>
          <w:right w:w="28" w:type="dxa"/>
        </w:tblCellMar>
      </w:tblPr>
      <w:tblGrid>
        <w:gridCol w:w="864"/>
        <w:gridCol w:w="757"/>
        <w:gridCol w:w="763"/>
        <w:gridCol w:w="109"/>
        <w:gridCol w:w="109"/>
        <w:gridCol w:w="109"/>
        <w:gridCol w:w="708"/>
        <w:gridCol w:w="708"/>
        <w:gridCol w:w="713"/>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81-4063248</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 Identification No.)</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3601 Walnut Street, Suite 400</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Denver, 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80205</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(Zip Code)</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(720) 647-4948</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60"/>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554" w:type="dxa"/>
        <w:jc w:val="left"/>
        <w:tblInd w:w="0" w:type="dxa"/>
        <w:tblLayout w:type="fixed"/>
        <w:tblCellMar>
          <w:top w:w="28" w:type="dxa"/>
          <w:left w:w="28" w:type="dxa"/>
          <w:bottom w:w="28" w:type="dxa"/>
          <w:right w:w="28" w:type="dxa"/>
        </w:tblCellMar>
      </w:tblPr>
      <w:tblGrid>
        <w:gridCol w:w="948"/>
        <w:gridCol w:w="835"/>
        <w:gridCol w:w="842"/>
        <w:gridCol w:w="409"/>
        <w:gridCol w:w="409"/>
        <w:gridCol w:w="411"/>
        <w:gridCol w:w="791"/>
        <w:gridCol w:w="791"/>
        <w:gridCol w:w="1118"/>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26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$0.00001 par value</w:t>
            </w:r>
          </w:p>
        </w:tc>
        <w:tc>
          <w:tcPr>
            <w:tcW w:w="12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EVCM</w:t>
            </w:r>
          </w:p>
        </w:tc>
        <w:tc>
          <w:tcPr>
            <w:tcW w:w="27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Yes ☒ No ☐ </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Yes ☒ No ☐</w:t>
      </w:r>
    </w:p>
    <w:p>
      <w:pPr>
        <w:pStyle w:val="TextBody"/>
        <w:bidi w:val="0"/>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180" w:after="283"/>
        <w:jc w:val="both"/>
        <w:rPr/>
      </w:pPr>
      <w:r>
        <w:rPr>
          <w:rFonts w:ascii="Times New Roman;sans-serif" w:hAnsi="Times New Roman;sans-serif"/>
          <w:b w:val="false"/>
          <w:color w:val="000000"/>
          <w:sz w:val="18"/>
        </w:rPr>
        <w:t>As of May 6, 2024, there were 185,103,215</w:t>
      </w:r>
      <w:r>
        <w:rPr>
          <w:color w:val="000000"/>
          <w:shd w:fill="FFFFFF" w:val="clear"/>
        </w:rPr>
        <w:t xml:space="preserve"> </w:t>
      </w:r>
      <w:r>
        <w:rPr>
          <w:rFonts w:ascii="Times New Roman;sans-serif" w:hAnsi="Times New Roman;sans-serif"/>
          <w:b w:val="false"/>
          <w:color w:val="000000"/>
          <w:sz w:val="18"/>
        </w:rPr>
        <w:t>shares of the registrant’s common stock, par value $0.00001, outstanding.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68"/>
        <w:gridCol w:w="324"/>
        <w:gridCol w:w="284"/>
        <w:gridCol w:w="2893"/>
        <w:gridCol w:w="2893"/>
        <w:gridCol w:w="2900"/>
        <w:gridCol w:w="158"/>
        <w:gridCol w:w="158"/>
        <w:gridCol w:w="227"/>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6">
              <w:r>
                <w:rPr>
                  <w:rStyle w:val="InternetLink"/>
                  <w:rFonts w:ascii="Times New Roman;sans-serif" w:hAnsi="Times New Roman;sans-serif"/>
                  <w:b w:val="false"/>
                  <w:strike w:val="false"/>
                  <w:dstrike w:val="false"/>
                  <w:color w:val="000000"/>
                  <w:sz w:val="20"/>
                  <w:u w:val="none"/>
                  <w:effect w:val="none"/>
                </w:rPr>
                <w:t>Item 1.</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22">
              <w:r>
                <w:rPr>
                  <w:rStyle w:val="InternetLink"/>
                  <w:rFonts w:ascii="Times New Roman;sans-serif" w:hAnsi="Times New Roman;sans-serif"/>
                  <w:b w:val="false"/>
                  <w:strike w:val="false"/>
                  <w:dstrike w:val="false"/>
                  <w:color w:val="000000"/>
                  <w:sz w:val="20"/>
                  <w:u w:val="none"/>
                  <w:effect w:val="none"/>
                </w:rPr>
                <w:t xml:space="preserve">Condensed Consolidated Balance Sheets as of </w:t>
              </w:r>
            </w:hyperlink>
            <w:r>
              <w:rPr>
                <w:rFonts w:ascii="Times New Roman;sans-serif" w:hAnsi="Times New Roman;sans-serif"/>
                <w:b w:val="false"/>
                <w:color w:val="000000"/>
                <w:sz w:val="20"/>
              </w:rPr>
              <w:t>March 31, 2024</w:t>
            </w:r>
            <w:hyperlink w:anchor="i4078eb4fd410438ca241f836ed9eb164_22">
              <w:r>
                <w:rPr>
                  <w:rStyle w:val="InternetLink"/>
                  <w:rFonts w:ascii="Times New Roman;sans-serif" w:hAnsi="Times New Roman;sans-serif"/>
                  <w:b w:val="false"/>
                  <w:strike w:val="false"/>
                  <w:dstrike w:val="false"/>
                  <w:color w:val="000000"/>
                  <w:sz w:val="20"/>
                  <w:u w:val="none"/>
                  <w:effect w:val="none"/>
                </w:rPr>
                <w:t xml:space="preserve"> (unaudited) and </w:t>
              </w:r>
            </w:hyperlink>
            <w:r>
              <w:rPr>
                <w:rFonts w:ascii="Times New Roman;sans-serif" w:hAnsi="Times New Roman;sans-serif"/>
                <w:b w:val="false"/>
                <w:color w:val="000000"/>
                <w:sz w:val="20"/>
              </w:rPr>
              <w:t>December 31, 2023</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22">
              <w:r>
                <w:rPr>
                  <w:rStyle w:val="InternetLink"/>
                  <w:rFonts w:ascii="Times New Roman;sans-serif" w:hAnsi="Times New Roman;sans-serif"/>
                  <w:b w:val="false"/>
                  <w:strike w:val="false"/>
                  <w:dstrike w:val="false"/>
                  <w:color w:val="0000FF"/>
                  <w:sz w:val="20"/>
                  <w:u w:val="none"/>
                  <w:effect w:val="none"/>
                </w:rPr>
                <w:t>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25">
              <w:r>
                <w:rPr>
                  <w:rStyle w:val="InternetLink"/>
                  <w:rFonts w:ascii="Times New Roman;sans-serif" w:hAnsi="Times New Roman;sans-serif"/>
                  <w:b w:val="false"/>
                  <w:strike w:val="false"/>
                  <w:dstrike w:val="false"/>
                  <w:color w:val="000000"/>
                  <w:sz w:val="20"/>
                  <w:u w:val="none"/>
                  <w:effect w:val="none"/>
                </w:rPr>
                <w:t xml:space="preserve">Condensed Consolidated Statements of Operations and Comprehensive Loss (unaudited) for the </w:t>
              </w:r>
            </w:hyperlink>
            <w:r>
              <w:rPr>
                <w:rFonts w:ascii="Times New Roman;sans-serif" w:hAnsi="Times New Roman;sans-serif"/>
                <w:b w:val="false"/>
                <w:color w:val="000000"/>
                <w:sz w:val="20"/>
              </w:rPr>
              <w:t>three months ended March 31, 2024</w:t>
            </w:r>
            <w:hyperlink w:anchor="i4078eb4fd410438ca241f836ed9eb164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25">
              <w:r>
                <w:rPr>
                  <w:rStyle w:val="InternetLink"/>
                  <w:rFonts w:ascii="Times New Roman;sans-serif" w:hAnsi="Times New Roman;sans-serif"/>
                  <w:b w:val="false"/>
                  <w:strike w:val="false"/>
                  <w:dstrike w:val="false"/>
                  <w:color w:val="0000FF"/>
                  <w:sz w:val="20"/>
                  <w:u w:val="none"/>
                  <w:effect w:val="none"/>
                </w:rPr>
                <w:t>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Stockholders’ Equity (unaudited) for the three months ended March 31, 2024 and 2023</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28">
              <w:r>
                <w:rPr>
                  <w:rStyle w:val="InternetLink"/>
                  <w:rFonts w:ascii="Times New Roman;sans-serif" w:hAnsi="Times New Roman;sans-serif"/>
                  <w:b w:val="false"/>
                  <w:strike w:val="false"/>
                  <w:dstrike w:val="false"/>
                  <w:color w:val="0000FF"/>
                  <w:sz w:val="20"/>
                  <w:u w:val="none"/>
                  <w:effect w:val="none"/>
                </w:rPr>
                <w:t>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31">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(unaudited) for the </w:t>
              </w:r>
            </w:hyperlink>
            <w:r>
              <w:rPr>
                <w:rFonts w:ascii="Times New Roman;sans-serif" w:hAnsi="Times New Roman;sans-serif"/>
                <w:b w:val="false"/>
                <w:color w:val="000000"/>
                <w:sz w:val="20"/>
              </w:rPr>
              <w:t>three months ended March 31, 2024</w:t>
            </w:r>
            <w:hyperlink w:anchor="i4078eb4fd410438ca241f836ed9eb164_31">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hyperlink w:anchor="i4078eb4fd410438ca241f836ed9eb164_31">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31">
              <w:r>
                <w:rPr>
                  <w:rStyle w:val="InternetLink"/>
                  <w:rFonts w:ascii="Times New Roman;sans-serif" w:hAnsi="Times New Roman;sans-serif"/>
                  <w:b w:val="false"/>
                  <w:strike w:val="false"/>
                  <w:dstrike w:val="false"/>
                  <w:color w:val="0000FF"/>
                  <w:sz w:val="20"/>
                  <w:u w:val="none"/>
                  <w:effect w:val="none"/>
                </w:rPr>
                <w:t>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34">
              <w:r>
                <w:rPr>
                  <w:rStyle w:val="InternetLink"/>
                  <w:rFonts w:ascii="Times New Roman;sans-serif" w:hAnsi="Times New Roman;sans-serif"/>
                  <w:b w:val="false"/>
                  <w:strike w:val="false"/>
                  <w:dstrike w:val="false"/>
                  <w:color w:val="000000"/>
                  <w:sz w:val="20"/>
                  <w:u w:val="none"/>
                  <w:effect w:val="none"/>
                </w:rPr>
                <w:t>Notes to Condensed Consolidated Financial Statements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34">
              <w:r>
                <w:rPr>
                  <w:rStyle w:val="InternetLink"/>
                  <w:rFonts w:ascii="Times New Roman;sans-serif" w:hAnsi="Times New Roman;sans-serif"/>
                  <w:b w:val="false"/>
                  <w:strike w:val="false"/>
                  <w:dstrike w:val="false"/>
                  <w:color w:val="0000FF"/>
                  <w:sz w:val="20"/>
                  <w:u w:val="none"/>
                  <w:effect w:val="none"/>
                </w:rPr>
                <w:t>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97">
              <w:r>
                <w:rPr>
                  <w:rStyle w:val="InternetLink"/>
                  <w:rFonts w:ascii="Times New Roman;sans-serif" w:hAnsi="Times New Roman;sans-serif"/>
                  <w:b w:val="false"/>
                  <w:strike w:val="false"/>
                  <w:dstrike w:val="false"/>
                  <w:color w:val="000000"/>
                  <w:sz w:val="20"/>
                  <w:u w:val="none"/>
                  <w:effect w:val="none"/>
                </w:rPr>
                <w:t>Item 2.</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97">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97">
              <w:r>
                <w:rPr>
                  <w:rStyle w:val="InternetLink"/>
                  <w:rFonts w:ascii="Times New Roman;sans-serif" w:hAnsi="Times New Roman;sans-serif"/>
                  <w:b w:val="false"/>
                  <w:strike w:val="false"/>
                  <w:dstrike w:val="false"/>
                  <w:color w:val="0000FF"/>
                  <w:sz w:val="20"/>
                  <w:u w:val="none"/>
                  <w:effect w:val="none"/>
                </w:rPr>
                <w:t>18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00">
              <w:r>
                <w:rPr>
                  <w:rStyle w:val="InternetLink"/>
                  <w:rFonts w:ascii="Times New Roman;sans-serif" w:hAnsi="Times New Roman;sans-serif"/>
                  <w:b w:val="false"/>
                  <w:strike w:val="false"/>
                  <w:dstrike w:val="false"/>
                  <w:color w:val="000000"/>
                  <w:sz w:val="20"/>
                  <w:u w:val="none"/>
                  <w:effect w:val="none"/>
                </w:rPr>
                <w:t>Item 3.</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00">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00">
              <w:r>
                <w:rPr>
                  <w:rStyle w:val="InternetLink"/>
                  <w:rFonts w:ascii="Times New Roman;sans-serif" w:hAnsi="Times New Roman;sans-serif"/>
                  <w:b w:val="false"/>
                  <w:strike w:val="false"/>
                  <w:dstrike w:val="false"/>
                  <w:color w:val="0000FF"/>
                  <w:sz w:val="20"/>
                  <w:u w:val="none"/>
                  <w:effect w:val="none"/>
                </w:rPr>
                <w:t>30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03">
              <w:r>
                <w:rPr>
                  <w:rStyle w:val="InternetLink"/>
                  <w:rFonts w:ascii="Times New Roman;sans-serif" w:hAnsi="Times New Roman;sans-serif"/>
                  <w:b w:val="false"/>
                  <w:strike w:val="false"/>
                  <w:dstrike w:val="false"/>
                  <w:color w:val="000000"/>
                  <w:sz w:val="20"/>
                  <w:u w:val="none"/>
                  <w:effect w:val="none"/>
                </w:rPr>
                <w:t>Item 4.</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03">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03">
              <w:r>
                <w:rPr>
                  <w:rStyle w:val="InternetLink"/>
                  <w:rFonts w:ascii="Times New Roman;sans-serif" w:hAnsi="Times New Roman;sans-serif"/>
                  <w:b w:val="false"/>
                  <w:strike w:val="false"/>
                  <w:dstrike w:val="false"/>
                  <w:color w:val="0000FF"/>
                  <w:sz w:val="20"/>
                  <w:u w:val="none"/>
                  <w:effect w:val="none"/>
                </w:rPr>
                <w:t>30</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06">
              <w:r>
                <w:rPr>
                  <w:rStyle w:val="InternetLink"/>
                  <w:rFonts w:ascii="Times New Roman;sans-serif" w:hAnsi="Times New Roman;sans-serif"/>
                  <w:b/>
                  <w:strike w:val="false"/>
                  <w:dstrike w:val="false"/>
                  <w:color w:val="000000"/>
                  <w:sz w:val="20"/>
                  <w:u w:val="none"/>
                  <w:effect w:val="none"/>
                </w:rPr>
                <w:t>PART II</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06">
              <w:r>
                <w:rPr>
                  <w:rStyle w:val="InternetLink"/>
                  <w:rFonts w:ascii="Times New Roman;sans-serif" w:hAnsi="Times New Roman;sans-serif"/>
                  <w:b/>
                  <w:strike w:val="false"/>
                  <w:dstrike w:val="false"/>
                  <w:color w:val="000000"/>
                  <w:sz w:val="20"/>
                  <w:u w:val="none"/>
                  <w:effect w:val="none"/>
                </w:rPr>
                <w:t>OTHER INFORMATION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09">
              <w:r>
                <w:rPr>
                  <w:rStyle w:val="InternetLink"/>
                  <w:rFonts w:ascii="Times New Roman;sans-serif" w:hAnsi="Times New Roman;sans-serif"/>
                  <w:b w:val="false"/>
                  <w:strike w:val="false"/>
                  <w:dstrike w:val="false"/>
                  <w:color w:val="000000"/>
                  <w:sz w:val="20"/>
                  <w:u w:val="none"/>
                  <w:effect w:val="none"/>
                </w:rPr>
                <w:t>Item 1.</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09">
              <w:r>
                <w:rPr>
                  <w:rStyle w:val="InternetLink"/>
                  <w:rFonts w:ascii="Times New Roman;sans-serif" w:hAnsi="Times New Roman;sans-serif"/>
                  <w:b w:val="false"/>
                  <w:strike w:val="false"/>
                  <w:dstrike w:val="false"/>
                  <w:color w:val="000000"/>
                  <w:sz w:val="20"/>
                  <w:u w:val="none"/>
                  <w:effect w:val="none"/>
                </w:rPr>
                <w:t>Legal Proceedings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09">
              <w:r>
                <w:rPr>
                  <w:rStyle w:val="InternetLink"/>
                  <w:rFonts w:ascii="Times New Roman;sans-serif" w:hAnsi="Times New Roman;sans-serif"/>
                  <w:b w:val="false"/>
                  <w:strike w:val="false"/>
                  <w:dstrike w:val="false"/>
                  <w:color w:val="0000FF"/>
                  <w:sz w:val="20"/>
                  <w:u w:val="none"/>
                  <w:effect w:val="none"/>
                </w:rPr>
                <w:t>32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12">
              <w:r>
                <w:rPr>
                  <w:rStyle w:val="InternetLink"/>
                  <w:rFonts w:ascii="Times New Roman;sans-serif" w:hAnsi="Times New Roman;sans-serif"/>
                  <w:b w:val="false"/>
                  <w:strike w:val="false"/>
                  <w:dstrike w:val="false"/>
                  <w:color w:val="000000"/>
                  <w:sz w:val="20"/>
                  <w:u w:val="none"/>
                  <w:effect w:val="none"/>
                </w:rPr>
                <w:t>Item 1A.</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12">
              <w:r>
                <w:rPr>
                  <w:rStyle w:val="InternetLink"/>
                  <w:rFonts w:ascii="Times New Roman;sans-serif" w:hAnsi="Times New Roman;sans-serif"/>
                  <w:b w:val="false"/>
                  <w:strike w:val="false"/>
                  <w:dstrike w:val="false"/>
                  <w:color w:val="000000"/>
                  <w:sz w:val="20"/>
                  <w:u w:val="none"/>
                  <w:effect w:val="none"/>
                </w:rPr>
                <w:t>Risk Factors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12">
              <w:r>
                <w:rPr>
                  <w:rStyle w:val="InternetLink"/>
                  <w:rFonts w:ascii="Times New Roman;sans-serif" w:hAnsi="Times New Roman;sans-serif"/>
                  <w:b w:val="false"/>
                  <w:strike w:val="false"/>
                  <w:dstrike w:val="false"/>
                  <w:color w:val="0000FF"/>
                  <w:sz w:val="20"/>
                  <w:u w:val="none"/>
                  <w:effect w:val="none"/>
                </w:rPr>
                <w:t>32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15">
              <w:r>
                <w:rPr>
                  <w:rStyle w:val="InternetLink"/>
                  <w:rFonts w:ascii="Times New Roman;sans-serif" w:hAnsi="Times New Roman;sans-serif"/>
                  <w:b w:val="false"/>
                  <w:strike w:val="false"/>
                  <w:dstrike w:val="false"/>
                  <w:color w:val="000000"/>
                  <w:sz w:val="20"/>
                  <w:u w:val="none"/>
                  <w:effect w:val="none"/>
                </w:rPr>
                <w:t>Item 2.</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15">
              <w:r>
                <w:rPr>
                  <w:rStyle w:val="InternetLink"/>
                  <w:rFonts w:ascii="Times New Roman;sans-serif" w:hAnsi="Times New Roman;sans-serif"/>
                  <w:b w:val="false"/>
                  <w:strike w:val="false"/>
                  <w:dstrike w:val="false"/>
                  <w:color w:val="000000"/>
                  <w:sz w:val="20"/>
                  <w:u w:val="none"/>
                  <w:effect w:val="none"/>
                </w:rPr>
                <w:t>Unregistered Sales of Equity Securities</w:t>
              </w:r>
            </w:hyperlink>
            <w:r>
              <w:rPr>
                <w:rFonts w:ascii="Times New Roman;sans-serif" w:hAnsi="Times New Roman;sans-serif"/>
                <w:b w:val="false"/>
                <w:color w:val="000000"/>
                <w:sz w:val="20"/>
              </w:rPr>
              <w:t xml:space="preserve"> and Use of Proceeds</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15">
              <w:r>
                <w:rPr>
                  <w:rStyle w:val="InternetLink"/>
                  <w:rFonts w:ascii="Times New Roman;sans-serif" w:hAnsi="Times New Roman;sans-serif"/>
                  <w:b w:val="false"/>
                  <w:strike w:val="false"/>
                  <w:dstrike w:val="false"/>
                  <w:color w:val="0000FF"/>
                  <w:sz w:val="20"/>
                  <w:u w:val="none"/>
                  <w:effect w:val="none"/>
                </w:rPr>
                <w:t>32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18">
              <w:r>
                <w:rPr>
                  <w:rStyle w:val="InternetLink"/>
                  <w:rFonts w:ascii="Times New Roman;sans-serif" w:hAnsi="Times New Roman;sans-serif"/>
                  <w:b w:val="false"/>
                  <w:strike w:val="false"/>
                  <w:dstrike w:val="false"/>
                  <w:color w:val="000000"/>
                  <w:sz w:val="20"/>
                  <w:u w:val="none"/>
                  <w:effect w:val="none"/>
                </w:rPr>
                <w:t>Item 3.</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18">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18">
              <w:r>
                <w:rPr>
                  <w:rStyle w:val="InternetLink"/>
                  <w:rFonts w:ascii="Times New Roman;sans-serif" w:hAnsi="Times New Roman;sans-serif"/>
                  <w:b w:val="false"/>
                  <w:strike w:val="false"/>
                  <w:dstrike w:val="false"/>
                  <w:color w:val="0000FF"/>
                  <w:sz w:val="20"/>
                  <w:u w:val="none"/>
                  <w:effect w:val="none"/>
                </w:rPr>
                <w:t>32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21">
              <w:r>
                <w:rPr>
                  <w:rStyle w:val="InternetLink"/>
                  <w:rFonts w:ascii="Times New Roman;sans-serif" w:hAnsi="Times New Roman;sans-serif"/>
                  <w:b w:val="false"/>
                  <w:strike w:val="false"/>
                  <w:dstrike w:val="false"/>
                  <w:color w:val="000000"/>
                  <w:sz w:val="20"/>
                  <w:u w:val="none"/>
                  <w:effect w:val="none"/>
                </w:rPr>
                <w:t>Item 4.</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21">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21">
              <w:r>
                <w:rPr>
                  <w:rStyle w:val="InternetLink"/>
                  <w:rFonts w:ascii="Times New Roman;sans-serif" w:hAnsi="Times New Roman;sans-serif"/>
                  <w:b w:val="false"/>
                  <w:strike w:val="false"/>
                  <w:dstrike w:val="false"/>
                  <w:color w:val="0000FF"/>
                  <w:sz w:val="20"/>
                  <w:u w:val="none"/>
                  <w:effect w:val="none"/>
                </w:rPr>
                <w:t>32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24">
              <w:r>
                <w:rPr>
                  <w:rStyle w:val="InternetLink"/>
                  <w:rFonts w:ascii="Times New Roman;sans-serif" w:hAnsi="Times New Roman;sans-serif"/>
                  <w:b w:val="false"/>
                  <w:strike w:val="false"/>
                  <w:dstrike w:val="false"/>
                  <w:color w:val="000000"/>
                  <w:sz w:val="20"/>
                  <w:u w:val="none"/>
                  <w:effect w:val="none"/>
                </w:rPr>
                <w:t>Item 5</w:t>
              </w:r>
            </w:hyperlink>
            <w:r>
              <w:rPr>
                <w:rFonts w:ascii="Times New Roman;sans-serif" w:hAnsi="Times New Roman;sans-serif"/>
                <w:b w:val="false"/>
                <w:color w:val="000000"/>
                <w:sz w:val="20"/>
              </w:rPr>
              <w:t>.</w:t>
            </w:r>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24">
              <w:r>
                <w:rPr>
                  <w:rStyle w:val="InternetLink"/>
                  <w:rFonts w:ascii="Times New Roman;sans-serif" w:hAnsi="Times New Roman;sans-serif"/>
                  <w:b w:val="false"/>
                  <w:strike w:val="false"/>
                  <w:dstrike w:val="false"/>
                  <w:color w:val="000000"/>
                  <w:sz w:val="20"/>
                  <w:u w:val="none"/>
                  <w:effect w:val="none"/>
                </w:rPr>
                <w:t>Other Information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24">
              <w:r>
                <w:rPr>
                  <w:rStyle w:val="InternetLink"/>
                  <w:rFonts w:ascii="Times New Roman;sans-serif" w:hAnsi="Times New Roman;sans-serif"/>
                  <w:b w:val="false"/>
                  <w:strike w:val="false"/>
                  <w:dstrike w:val="false"/>
                  <w:color w:val="0000FF"/>
                  <w:sz w:val="20"/>
                  <w:u w:val="none"/>
                  <w:effect w:val="none"/>
                </w:rPr>
                <w:t>32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27">
              <w:r>
                <w:rPr>
                  <w:rStyle w:val="InternetLink"/>
                  <w:rFonts w:ascii="Times New Roman;sans-serif" w:hAnsi="Times New Roman;sans-serif"/>
                  <w:b w:val="false"/>
                  <w:strike w:val="false"/>
                  <w:dstrike w:val="false"/>
                  <w:color w:val="000000"/>
                  <w:sz w:val="20"/>
                  <w:u w:val="none"/>
                  <w:effect w:val="none"/>
                </w:rPr>
                <w:t>Item 6.</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078eb4fd410438ca241f836ed9eb164_127">
              <w:r>
                <w:rPr>
                  <w:rStyle w:val="InternetLink"/>
                  <w:rFonts w:ascii="Times New Roman;sans-serif" w:hAnsi="Times New Roman;sans-serif"/>
                  <w:b w:val="false"/>
                  <w:strike w:val="false"/>
                  <w:dstrike w:val="false"/>
                  <w:color w:val="000000"/>
                  <w:sz w:val="20"/>
                  <w:u w:val="none"/>
                  <w:effect w:val="none"/>
                </w:rPr>
                <w:t>Exhibits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27">
              <w:r>
                <w:rPr>
                  <w:rStyle w:val="InternetLink"/>
                  <w:rFonts w:ascii="Times New Roman;sans-serif" w:hAnsi="Times New Roman;sans-serif"/>
                  <w:b w:val="false"/>
                  <w:strike w:val="false"/>
                  <w:dstrike w:val="false"/>
                  <w:color w:val="0000FF"/>
                  <w:sz w:val="20"/>
                  <w:u w:val="none"/>
                  <w:effect w:val="none"/>
                </w:rPr>
                <w:t>33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078eb4fd410438ca241f836ed9eb164_130">
              <w:r>
                <w:rPr>
                  <w:rStyle w:val="InternetLink"/>
                  <w:rFonts w:ascii="Times New Roman;sans-serif" w:hAnsi="Times New Roman;sans-serif"/>
                  <w:b w:val="false"/>
                  <w:strike w:val="false"/>
                  <w:dstrike w:val="false"/>
                  <w:color w:val="000000"/>
                  <w:sz w:val="20"/>
                  <w:u w:val="none"/>
                  <w:effect w:val="none"/>
                </w:rPr>
                <w:t>Signatures</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078eb4fd410438ca241f836ed9eb164_130">
              <w:r>
                <w:rPr>
                  <w:rStyle w:val="InternetLink"/>
                  <w:rFonts w:ascii="Times New Roman;sans-serif" w:hAnsi="Times New Roman;sans-serif"/>
                  <w:b w:val="false"/>
                  <w:strike w:val="false"/>
                  <w:dstrike w:val="false"/>
                  <w:color w:val="0000FF"/>
                  <w:sz w:val="20"/>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progress towards remediation of our material weakness and our objectives for future operations.</w:t>
      </w:r>
    </w:p>
    <w:p>
      <w:pPr>
        <w:pStyle w:val="TextBody"/>
        <w:bidi w:val="0"/>
        <w:spacing w:lineRule="auto" w:line="28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subject to consolidation and the market for technology-enabled services that empower small and medium-sized businesses is relatively immature and unproven; we are subject to economic and political risk; 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 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 real or perceived errors, failures or bugs in our solutions could adversely affect our business results of operations, financial conditions and growth prospects; unauthorized disclosure, destruction or modification of data, disruption of our software or services or cyber breaches could expose us to liability, protracted and costly litigation and damage our reputation; our estimated total addressable market is subject to inherent challenges and uncertainties; failure to effectively develop and expand our sales and marketing capabilities; our ability to increase our customer base and achieve broader market acceptance and utilization of our solutions;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failure to improve our margin, in particular within Marketing Technology Solutions; risks related to a future pandemic, epidemic, or outbreak of infectious disease; failure to achieve our objectives through acquisitions, divestitures or other strategic transactions; revenues and profits generated through acquisitions may be less than anticipated and we may fail to uncover all liabilities of acquisition targets;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significant increased costs as a result of operating as a public company, and our management is required to devote substantial time to new compliance initiatives; as well as the other factors described in our Annual Report on Form 10-K for the year ended December 31, 2023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3"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and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66"/>
        <w:gridCol w:w="2260"/>
        <w:gridCol w:w="2214"/>
        <w:gridCol w:w="211"/>
        <w:gridCol w:w="976"/>
        <w:gridCol w:w="109"/>
        <w:gridCol w:w="109"/>
        <w:gridCol w:w="109"/>
        <w:gridCol w:w="109"/>
        <w:gridCol w:w="211"/>
        <w:gridCol w:w="976"/>
        <w:gridCol w:w="155"/>
      </w:tblGrid>
      <w:tr>
        <w:trPr/>
        <w:tc>
          <w:tcPr>
            <w:tcW w:w="276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expected credit losses of $5.3 million and $6.2 million at March 31, 2024 and December 31,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1,518,064 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 and deferred financing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526,696 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17)</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50,000,000 shares authorized and no shares issued or outstanding as of March 31, 2024 and December 31,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2,000,000,000 shares authorized and 186,161,386 and 186,934,031 shares issued and outstanding at March 31, 2024 and December 31,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1,454,026 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1,518,064 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9945"/>
                <wp:effectExtent l="0" t="0" r="0" b="0"/>
                <wp:wrapNone/>
                <wp:docPr id="4" name="Frame4"/>
                <a:graphic xmlns:a="http://schemas.openxmlformats.org/drawingml/2006/main">
                  <a:graphicData uri="http://schemas.microsoft.com/office/word/2010/wordprocessingShape">
                    <wps:wsp>
                      <wps:cNvSpPr txBox="1"/>
                      <wps:spPr>
                        <a:xfrm>
                          <a:off x="0" y="0"/>
                          <a:ext cx="6480175" cy="82994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and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22"/>
        <w:gridCol w:w="2105"/>
        <w:gridCol w:w="2129"/>
        <w:gridCol w:w="109"/>
        <w:gridCol w:w="129"/>
        <w:gridCol w:w="129"/>
        <w:gridCol w:w="269"/>
        <w:gridCol w:w="1012"/>
        <w:gridCol w:w="129"/>
        <w:gridCol w:w="109"/>
        <w:gridCol w:w="109"/>
        <w:gridCol w:w="109"/>
        <w:gridCol w:w="241"/>
        <w:gridCol w:w="945"/>
        <w:gridCol w:w="159"/>
      </w:tblGrid>
      <w:tr>
        <w:trPr/>
        <w:tc>
          <w:tcPr>
            <w:tcW w:w="252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672" w:type="dxa"/>
            <w:gridSpan w:val="6"/>
            <w:tcBorders/>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technology solutions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presented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held for sale and impairments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loss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 net</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weighted-average shares of common stock outstanding used in computing 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186,635,095 </w:t>
            </w:r>
          </w:p>
        </w:tc>
        <w:tc>
          <w:tcPr>
            <w:tcW w:w="1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190,042,673 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29945"/>
                <wp:effectExtent l="0" t="0" r="0" b="0"/>
                <wp:wrapNone/>
                <wp:docPr id="5" name="Frame5"/>
                <a:graphic xmlns:a="http://schemas.openxmlformats.org/drawingml/2006/main">
                  <a:graphicData uri="http://schemas.microsoft.com/office/word/2010/wordprocessingShape">
                    <wps:wsp>
                      <wps:cNvSpPr txBox="1"/>
                      <wps:spPr>
                        <a:xfrm>
                          <a:off x="0" y="0"/>
                          <a:ext cx="6480175" cy="82994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99"/>
        <w:gridCol w:w="790"/>
        <w:gridCol w:w="794"/>
        <w:gridCol w:w="109"/>
        <w:gridCol w:w="243"/>
        <w:gridCol w:w="423"/>
        <w:gridCol w:w="403"/>
        <w:gridCol w:w="246"/>
        <w:gridCol w:w="384"/>
        <w:gridCol w:w="465"/>
        <w:gridCol w:w="199"/>
        <w:gridCol w:w="211"/>
        <w:gridCol w:w="976"/>
        <w:gridCol w:w="109"/>
        <w:gridCol w:w="255"/>
        <w:gridCol w:w="1018"/>
        <w:gridCol w:w="132"/>
        <w:gridCol w:w="269"/>
        <w:gridCol w:w="942"/>
        <w:gridCol w:w="140"/>
        <w:gridCol w:w="211"/>
        <w:gridCol w:w="826"/>
        <w:gridCol w:w="161"/>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04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 Capital</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14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w:t>
              <w:br/>
              <w:t>Comprehensive</w:t>
              <w:br/>
              <w:t>Loss</w:t>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 Equity</w:t>
            </w:r>
          </w:p>
        </w:tc>
        <w:tc>
          <w:tcPr>
            <w:tcW w:w="1198" w:type="dxa"/>
            <w:gridSpan w:val="3"/>
            <w:tcBorders/>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405"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(619,975)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826,036 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 net</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186,161 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(636,299)</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800,686 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38"/>
        <w:gridCol w:w="737"/>
        <w:gridCol w:w="740"/>
        <w:gridCol w:w="109"/>
        <w:gridCol w:w="256"/>
        <w:gridCol w:w="423"/>
        <w:gridCol w:w="403"/>
        <w:gridCol w:w="259"/>
        <w:gridCol w:w="409"/>
        <w:gridCol w:w="497"/>
        <w:gridCol w:w="212"/>
        <w:gridCol w:w="211"/>
        <w:gridCol w:w="976"/>
        <w:gridCol w:w="109"/>
        <w:gridCol w:w="253"/>
        <w:gridCol w:w="1010"/>
        <w:gridCol w:w="131"/>
        <w:gridCol w:w="285"/>
        <w:gridCol w:w="999"/>
        <w:gridCol w:w="150"/>
        <w:gridCol w:w="211"/>
        <w:gridCol w:w="826"/>
        <w:gridCol w:w="161"/>
      </w:tblGrid>
      <w:tr>
        <w:trPr/>
        <w:tc>
          <w:tcPr>
            <w:tcW w:w="8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 Capital</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w:t>
              <w:br/>
              <w:t>Comprehensive</w:t>
              <w:br/>
              <w:t>Loss</w:t>
            </w:r>
          </w:p>
        </w:tc>
        <w:tc>
          <w:tcPr>
            <w:tcW w:w="14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 Equity</w:t>
            </w:r>
          </w:p>
        </w:tc>
        <w:tc>
          <w:tcPr>
            <w:tcW w:w="1198" w:type="dxa"/>
            <w:gridSpan w:val="3"/>
            <w:tcBorders/>
          </w:tcPr>
          <w:p>
            <w:pPr>
              <w:pStyle w:val="TableContents"/>
              <w:bidi w:val="0"/>
              <w:spacing w:before="0" w:after="283"/>
              <w:jc w:val="left"/>
              <w:rPr>
                <w:sz w:val="4"/>
                <w:szCs w:val="4"/>
              </w:rPr>
            </w:pPr>
            <w:r>
              <w:rPr>
                <w:sz w:val="4"/>
                <w:szCs w:val="4"/>
              </w:rPr>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c>
          <w:tcPr>
            <w:tcW w:w="1434" w:type="dxa"/>
            <w:gridSpan w:val="3"/>
            <w:vMerge w:val="continue"/>
            <w:tcBorders/>
            <w:tcMar>
              <w:top w:w="0" w:type="dxa"/>
              <w:left w:w="0" w:type="dxa"/>
              <w:bottom w:w="0" w:type="dxa"/>
              <w:right w:w="0" w:type="dxa"/>
            </w:tcMar>
            <w:vAlign w:val="center"/>
          </w:tcPr>
          <w:p>
            <w:pPr>
              <w:pStyle w:val="Normal"/>
              <w:bidi w:val="0"/>
              <w:jc w:val="left"/>
              <w:rPr/>
            </w:pPr>
            <w:r>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191,447 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(573,046)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906,693 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ans-serif" w:hAnsi="Times New Roman;sans-serif"/>
                <w:b w:val="false"/>
                <w:color w:val="000000"/>
                <w:sz w:val="20"/>
              </w:rPr>
              <w:t xml:space="preserve">Adoption of ASC 326, </w:t>
            </w:r>
            <w:r>
              <w:rPr>
                <w:rFonts w:ascii="Times New Roman;sans-serif" w:hAnsi="Times New Roman;sans-serif"/>
                <w:b w:val="false"/>
                <w:i/>
                <w:color w:val="000000"/>
                <w:sz w:val="20"/>
              </w:rPr>
              <w:t>Current Expected Credit Losses</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 net</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188,774 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(595,130)</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862,990 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07085"/>
                <wp:effectExtent l="0" t="0" r="0" b="0"/>
                <wp:wrapNone/>
                <wp:docPr id="6" name="Frame6"/>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20"/>
        <w:gridCol w:w="2398"/>
        <w:gridCol w:w="2414"/>
        <w:gridCol w:w="211"/>
        <w:gridCol w:w="779"/>
        <w:gridCol w:w="109"/>
        <w:gridCol w:w="109"/>
        <w:gridCol w:w="109"/>
        <w:gridCol w:w="109"/>
        <w:gridCol w:w="211"/>
        <w:gridCol w:w="779"/>
        <w:gridCol w:w="157"/>
      </w:tblGrid>
      <w:tr>
        <w:trPr/>
        <w:tc>
          <w:tcPr>
            <w:tcW w:w="2820"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operating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non-cash interest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Loss on held for sale and impairments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used in investing activities: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software costs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fitness solutions, net of transaction costs, cash and restricted cash</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used in financing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long-term debt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retirement of common stock</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 including cash and restricted cash classified as held for sale</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including cash and restricted cash classified as held for sale:</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07085"/>
                <wp:effectExtent l="0" t="0" r="0" b="0"/>
                <wp:wrapNone/>
                <wp:docPr id="7" name="Frame7"/>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Nature of the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EverCommerce Inc. and subsidiaries (the “Company” or “EverCommerce”) is a leading provider of integrated software-as-a-service (“SaaS”) solutions or services for service-based small- and medium-sized businesses (“service SMBs”). Our platforms span across the full lifecycle of interactions between consumers and service professionals with vertical-specific applications. Today, the Company serves more than 708,000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(“U.S. GAAP”) for interim financial information. Certain information and disclosures normally included in consolidated financial statements prepared in accordance with U.S. GAAP have been condensed or omitted. Accordingly, these unaudited condensed consolidated financial statements should be read in conjunction with our audited consolidated financial statements for the year ended December 31, 2023 and the related notes (“Annual Report on Form 10-K”). The December 31, 2023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three months ended March 31, 2024 from those disclosed in the annual consolidated financial statements for the year ended December 31, 2023 and the related notes. Certain prior year amounts have been reclassified to conform to the current year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2024, the Company entered into definitive sale and purchase agreements to sell our fitness solutions to Jonas Fitness Portfolio Holdco Inc. (“Jonas Software”) (see Note 4. Disposition and Held for Sale). The sale of American Service Finance LLC., ASF Payment Solutions ULC and Technique Fitness Inc. (collectively, “North American Fitness”), closed simultaneous with signing. The sale of EverCommerce UK, including wholly-owned subsidiaries Fitii UK (MyPTHub and MyPTHub LLC) and ClubWise UK and its wholly-owned subsidiary ClubWise Australia (collectively, “UK Fitness”), is subject to customary closing conditions and regulatory approval by the Financial Conduct Authority and is expected to close during the third quarter of 2024. The divestiture did not qualify for reporting as a discontinued operation. As a result, our unaudited condensed consolidated financial statements include the results of North American Fitness for all periods through the date of sale, while UK Fitness is classified as held for sale prospectively from the date of signing. Unless otherwise specified, the amounts and information presented in the notes to the unaudited condensed consolidated financial statements do not include assets and liabilities that have been reclassified as held for sale as of March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results for the three months ended March 31, 2024 are not necessarily indicative of the results expected for the full year ending December 31, 2024.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U.S.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items subject to such estimates reflected in the unaudited condensed consolidated financial statements include: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expense and estimating standalone selling price, when applicable, for the allocation of transaction price when multiple performance obligations are included in a contract with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Assets and Liabilities Held for Sale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assets and liabilities as held for sale (the “disposal group”) in the period when all the relevant classification criteria have been met. Assets and liabilities held for sale are measured at the lower of carrying value or fair value less costs to sell. Any loss resulting from the measurement is recognized in the period in which the held for sale criteria are met. Conversely, gains are not recognized on the sale of the disposal group until the date of sale. The fair value of the disposal group, less any costs to sell, will be reassessed during each subsequent reporting period it remains classified as held for sale, and any subsequent changes will be reported as an adjustment to the carrying value of the disposal group until the disposal group is no longer classified as held for sale. Upon determining that the disposal group meets the criteria to be classified as held for sale, the Company discontinues depreciation and amortization and the related assets and liabilities are reported as held for sale on the unaudited condensed consolidated balance sheets.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bidi w:val="0"/>
        <w:spacing w:lineRule="auto" w:line="288" w:before="120" w:after="283"/>
        <w:jc w:val="both"/>
        <w:rPr/>
      </w:pPr>
      <w:r>
        <w:rPr>
          <w:rFonts w:ascii="Times New Roman;sans-serif" w:hAnsi="Times New Roman;sans-serif"/>
          <w:b w:val="false"/>
          <w:color w:val="000000"/>
          <w:sz w:val="20"/>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color w:val="000000"/>
        </w:rPr>
        <w:t>“</w:t>
      </w:r>
      <w:r>
        <w:rPr>
          <w:rFonts w:ascii="Times New Roman;sans-serif" w:hAnsi="Times New Roman;sans-serif"/>
          <w:b w:val="false"/>
          <w:i/>
          <w:color w:val="000000"/>
          <w:sz w:val="20"/>
        </w:rPr>
        <w:t>Recently Issued Accounting Pronouncements”</w:t>
      </w:r>
      <w:r>
        <w:rPr>
          <w:color w:val="000000"/>
        </w:rPr>
        <w:t xml:space="preserve"> </w:t>
      </w:r>
      <w:r>
        <w:rPr>
          <w:rFonts w:ascii="Times New Roman;sans-serif" w:hAnsi="Times New Roman;sans-serif"/>
          <w:b w:val="false"/>
          <w:color w:val="000000"/>
          <w:sz w:val="20"/>
        </w:rPr>
        <w:t>section.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our consolidated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issued and adopted</w:t>
      </w:r>
    </w:p>
    <w:p>
      <w:pPr>
        <w:pStyle w:val="TextBody"/>
        <w:bidi w:val="0"/>
        <w:spacing w:lineRule="auto" w:line="288" w:before="120" w:after="283"/>
        <w:jc w:val="both"/>
        <w:rPr/>
      </w:pPr>
      <w:r>
        <w:rPr>
          <w:rFonts w:ascii="Times New Roman;sans-serif" w:hAnsi="Times New Roman;sans-serif"/>
          <w:b w:val="false"/>
          <w:color w:val="000000"/>
          <w:sz w:val="20"/>
        </w:rPr>
        <w:t xml:space="preserve">In June 2016, the FASB issued ASU No. 2016-13, </w:t>
      </w:r>
      <w:r>
        <w:rPr>
          <w:rFonts w:ascii="Times New Roman;sans-serif" w:hAnsi="Times New Roman;sans-serif"/>
          <w:b w:val="false"/>
          <w:i/>
          <w:color w:val="000000"/>
          <w:sz w:val="20"/>
        </w:rPr>
        <w:t xml:space="preserve">Financial Instruments-Credit Losses (Topic 326); Measurement of Credit Losses on Financial Instruments, </w:t>
      </w:r>
      <w:r>
        <w:rPr>
          <w:rFonts w:ascii="Times New Roman;sans-serif" w:hAnsi="Times New Roman;sans-serif"/>
          <w:b w:val="false"/>
          <w:color w:val="000000"/>
          <w:sz w:val="20"/>
        </w:rPr>
        <w:t>which requires the measurement and recognition of expected credit losses for financial assets held at amortized cost, which includes the Company’s accounts receivable and contract assets. This updated standard is effective for annual reporting periods beginning after December 15, 2022. The Company adopted this ASU for the year ended December 31, 2023 and it did not have a material impact on the financial statements.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not yet adopted</w:t>
      </w:r>
    </w:p>
    <w:p>
      <w:pPr>
        <w:pStyle w:val="TextBody"/>
        <w:bidi w:val="0"/>
        <w:spacing w:lineRule="auto" w:line="288" w:before="120" w:after="283"/>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 Improving Reportable Segment Disclosures (Topic 280)</w:t>
      </w:r>
      <w:r>
        <w:rPr>
          <w:rFonts w:ascii="Times New Roman;sans-serif" w:hAnsi="Times New Roman;sans-serif"/>
          <w:b w:val="false"/>
          <w:color w:val="000000"/>
          <w:sz w:val="20"/>
        </w:rPr>
        <w:t>. The update is intended to improve reportable segment disclosure requirements, primarily through enhanced disclosures about significant expenses. The ASU requires disclosures to include significant segment expenses that are regularly provided to the CODM, an amount and description of the composition of other segment items by reportable segment, and any additional measures of a segment's profit or loss used by the CODM when deciding how to allocate resources. The ASU also requires all annual disclosures currently required by Topic 280 to be included in interim periods. All disclosure requirements under ASU 2023-07 are also required for public entities with a single reportable segment. The amendments in this update are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currently evaluating the impact of adopting the amendments in this update on its consolidated financial statements and disclosures.</w:t>
      </w:r>
    </w:p>
    <w:p>
      <w:pPr>
        <w:pStyle w:val="TextBody"/>
        <w:bidi w:val="0"/>
        <w:spacing w:lineRule="auto" w:line="288" w:before="120" w:after="283"/>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is currently evaluating the impact of adopting this update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3. Kickserv Acquisition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2023, the Company acquired 100% of the interest of Norman’s Dojo Inc. (“Kickserv”), a provider of field service management software for home service businesses for approximately $15 million in cash. The acquisition adds offerings for SMBs across diversified portfolios with an opportunity to capture a broader segment of new customers within the Home Services vertical.</w:t>
      </w:r>
    </w:p>
    <w:p>
      <w:pPr>
        <w:pStyle w:val="TextBody"/>
        <w:bidi w:val="0"/>
        <w:spacing w:lineRule="auto" w:line="288" w:before="120" w:after="283"/>
        <w:jc w:val="both"/>
        <w:rPr/>
      </w:pPr>
      <w:r>
        <w:rPr>
          <w:rFonts w:ascii="Times New Roman;sans-serif" w:hAnsi="Times New Roman;sans-serif"/>
          <w:b w:val="false"/>
          <w:color w:val="000000"/>
          <w:sz w:val="20"/>
        </w:rPr>
        <w:t xml:space="preserve">We accounted for the acquisition as a business combination under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Kickserv is not deductible for tax purposes.</w:t>
      </w:r>
    </w:p>
    <w:p>
      <w:pPr>
        <w:pStyle w:val="TextBody"/>
        <w:bidi w:val="0"/>
        <w:spacing w:lineRule="auto" w:line="288" w:before="120" w:after="283"/>
        <w:jc w:val="both"/>
        <w:rPr/>
      </w:pPr>
      <w:r>
        <w:rPr>
          <w:rFonts w:ascii="Times New Roman;sans-serif" w:hAnsi="Times New Roman;sans-serif"/>
          <w:b w:val="false"/>
          <w:color w:val="000000"/>
          <w:sz w:val="20"/>
        </w:rPr>
        <w:t xml:space="preserve">We measured the identifiable assets and liabilities assumed at their acquisition date estimated fair values separately from goodwill, which represent Level 3 fair value measurements as defined in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estimated fair values were determined by management using the assistance of third-party valuation specialists. The valuation methods used to determine the estimated fair value of intangible assets included the income approach—relief from royalty method for developed technology with an estimated useful life of five years, and the income approach—multi period excess earnings method for customer relationships with an estimated useful life of 13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Kickserv since the closing through March 31, 2024, were not material to our condensed consolidated financial statements, nor were they material to our prior period consolidated results on a pro forma basis.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consideration transferred, assets acquired and liabilities assumed at the acquisition date:</w:t>
      </w:r>
    </w:p>
    <w:tbl>
      <w:tblPr>
        <w:tblW w:w="6586" w:type="dxa"/>
        <w:jc w:val="left"/>
        <w:tblInd w:w="0" w:type="dxa"/>
        <w:tblLayout w:type="fixed"/>
        <w:tblCellMar>
          <w:top w:w="28" w:type="dxa"/>
          <w:left w:w="28" w:type="dxa"/>
          <w:bottom w:w="28" w:type="dxa"/>
          <w:right w:w="28" w:type="dxa"/>
        </w:tblCellMar>
      </w:tblPr>
      <w:tblGrid>
        <w:gridCol w:w="1407"/>
        <w:gridCol w:w="1237"/>
        <w:gridCol w:w="1240"/>
        <w:gridCol w:w="109"/>
        <w:gridCol w:w="109"/>
        <w:gridCol w:w="109"/>
        <w:gridCol w:w="109"/>
        <w:gridCol w:w="109"/>
        <w:gridCol w:w="109"/>
        <w:gridCol w:w="109"/>
        <w:gridCol w:w="109"/>
        <w:gridCol w:w="109"/>
        <w:gridCol w:w="109"/>
        <w:gridCol w:w="109"/>
        <w:gridCol w:w="109"/>
        <w:gridCol w:w="271"/>
        <w:gridCol w:w="926"/>
        <w:gridCol w:w="197"/>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August 10, 2023</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transferred: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Intangibles—definite lived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4. Disposition and Held for Sale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2024, we entered into definitive sale and purchase agreements to sell our fitness solutions to Jonas Software. The sale of North American Fitness closed simultaneously with signing. The sale of UK Fitness is subject to customary closing conditions and regulatory approval by the Financial Conduct Authority and is expected to close during the third quarter of 2024. During the three months ended March 31, 2024, we recognized a loss of $4.8 million related to the disposal of North American Fitness, which is included in loss on held for sale and impairments on our unaudited condensed consolidated statements of operations and comprehensive loss. During the three months ended March 31, 2024, we recognized a $3.4 million goodwill impairment charge representing the allocated goodwill to North American Fitness, which is included in loss on held for sale and impairments on the unaudited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UK Fitness disposal group met the held for sale criteria in the first quarter of 2024. As such, the assets and liabilities of the disposal group are classified as held for sale on our unaudited condensed consolidated balance sheets as of March 31, 2024 but did not qualify as discontinued operations as it did not represent a strategic shift that will have a material effect on the Company’s operations and financial results. During the three months ended March 31, 2024, we measured the assets and liabilities held for sale at fair value less costs to sell and recognized a loss of $2.6 million, which is included in loss on held for sale and impairments on our unaudited condensed consolidated statements of operations and comprehensive loss.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assets and liabilities classified as held for sale on our condensed consolidated balance sheets as of March 31, 2024 were as follows:</w:t>
      </w:r>
    </w:p>
    <w:tbl>
      <w:tblPr>
        <w:tblW w:w="6091" w:type="dxa"/>
        <w:jc w:val="left"/>
        <w:tblInd w:w="0" w:type="dxa"/>
        <w:tblLayout w:type="fixed"/>
        <w:tblCellMar>
          <w:top w:w="28" w:type="dxa"/>
          <w:left w:w="28" w:type="dxa"/>
          <w:bottom w:w="28" w:type="dxa"/>
          <w:right w:w="28" w:type="dxa"/>
        </w:tblCellMar>
      </w:tblPr>
      <w:tblGrid>
        <w:gridCol w:w="1246"/>
        <w:gridCol w:w="1097"/>
        <w:gridCol w:w="1106"/>
        <w:gridCol w:w="109"/>
        <w:gridCol w:w="109"/>
        <w:gridCol w:w="109"/>
        <w:gridCol w:w="109"/>
        <w:gridCol w:w="109"/>
        <w:gridCol w:w="109"/>
        <w:gridCol w:w="109"/>
        <w:gridCol w:w="109"/>
        <w:gridCol w:w="109"/>
        <w:gridCol w:w="109"/>
        <w:gridCol w:w="109"/>
        <w:gridCol w:w="109"/>
        <w:gridCol w:w="259"/>
        <w:gridCol w:w="886"/>
        <w:gridCol w:w="189"/>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disaggregation of our revenue from contracts with customers by revenue recognition pattern and geographical market:</w:t>
      </w:r>
    </w:p>
    <w:tbl>
      <w:tblPr>
        <w:tblW w:w="8171" w:type="dxa"/>
        <w:jc w:val="left"/>
        <w:tblInd w:w="0" w:type="dxa"/>
        <w:tblLayout w:type="fixed"/>
        <w:tblCellMar>
          <w:top w:w="28" w:type="dxa"/>
          <w:left w:w="28" w:type="dxa"/>
          <w:bottom w:w="28" w:type="dxa"/>
          <w:right w:w="28" w:type="dxa"/>
        </w:tblCellMar>
      </w:tblPr>
      <w:tblGrid>
        <w:gridCol w:w="1700"/>
        <w:gridCol w:w="1493"/>
        <w:gridCol w:w="1502"/>
        <w:gridCol w:w="109"/>
        <w:gridCol w:w="109"/>
        <w:gridCol w:w="139"/>
        <w:gridCol w:w="139"/>
        <w:gridCol w:w="269"/>
        <w:gridCol w:w="1054"/>
        <w:gridCol w:w="139"/>
        <w:gridCol w:w="109"/>
        <w:gridCol w:w="109"/>
        <w:gridCol w:w="109"/>
        <w:gridCol w:w="211"/>
        <w:gridCol w:w="826"/>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pattern of recognition (timing of transfer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 in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155,456 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geographical market: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pPr>
      <w:r>
        <w:rPr>
          <w:rFonts w:ascii="Times New Roman;sans-serif" w:hAnsi="Times New Roman;sans-serif"/>
          <w:b/>
          <w:color w:val="000000"/>
          <w:sz w:val="20"/>
        </w:rPr>
        <w:t>Contract Balances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contracts from customers as of:</w:t>
      </w:r>
    </w:p>
    <w:tbl>
      <w:tblPr>
        <w:tblW w:w="4922" w:type="dxa"/>
        <w:jc w:val="left"/>
        <w:tblInd w:w="0" w:type="dxa"/>
        <w:tblLayout w:type="fixed"/>
        <w:tblCellMar>
          <w:top w:w="28" w:type="dxa"/>
          <w:left w:w="28" w:type="dxa"/>
          <w:bottom w:w="28" w:type="dxa"/>
          <w:right w:w="28" w:type="dxa"/>
        </w:tblCellMar>
      </w:tblPr>
      <w:tblGrid>
        <w:gridCol w:w="857"/>
        <w:gridCol w:w="754"/>
        <w:gridCol w:w="758"/>
        <w:gridCol w:w="211"/>
        <w:gridCol w:w="721"/>
        <w:gridCol w:w="109"/>
        <w:gridCol w:w="109"/>
        <w:gridCol w:w="109"/>
        <w:gridCol w:w="109"/>
        <w:gridCol w:w="230"/>
        <w:gridCol w:w="787"/>
        <w:gridCol w:w="168"/>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 xml:space="preserve">Accounts receivable, net of allowance for expected credit losses, represent rights to consideration in exchange for products or services that have been transferred by us, when payment is unconditional and only the passage of time is required before payment is due. </w:t>
      </w:r>
    </w:p>
    <w:p>
      <w:pPr>
        <w:pStyle w:val="TextBody"/>
        <w:bidi w:val="0"/>
        <w:spacing w:lineRule="auto" w:line="288" w:before="120" w:after="283"/>
        <w:jc w:val="both"/>
        <w:rPr/>
      </w:pPr>
      <w:r>
        <w:rPr>
          <w:rFonts w:ascii="Times New Roman;sans-serif" w:hAnsi="Times New Roman;sans-serif"/>
          <w:b w:val="false"/>
          <w:i/>
          <w:color w:val="000000"/>
          <w:sz w:val="20"/>
        </w:rPr>
        <w:t xml:space="preserve">Contract assets: </w:t>
      </w:r>
      <w:r>
        <w:rPr>
          <w:rFonts w:ascii="Times New Roman;sans-serif" w:hAnsi="Times New Roman;sans-serif"/>
          <w:b w:val="false"/>
          <w:color w:val="000000"/>
          <w:sz w:val="20"/>
        </w:rPr>
        <w:t xml:space="preserve">Contract assets represent rights to consideration in exchange for products or services that have been transferred (i.e., the performance 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 </w:t>
      </w:r>
    </w:p>
    <w:p>
      <w:pPr>
        <w:pStyle w:val="TextBody"/>
        <w:bidi w:val="0"/>
        <w:spacing w:lineRule="auto" w:line="288" w:before="120" w:after="283"/>
        <w:jc w:val="both"/>
        <w:rPr/>
      </w:pPr>
      <w:r>
        <w:rPr>
          <w:rFonts w:ascii="Times New Roman;sans-serif" w:hAnsi="Times New Roman;sans-serif"/>
          <w:b w:val="false"/>
          <w:i/>
          <w:color w:val="000000"/>
          <w:sz w:val="20"/>
        </w:rPr>
        <w:t>Contract liabilities</w:t>
      </w:r>
      <w:r>
        <w:rPr>
          <w:rFonts w:ascii="Times New Roman;sans-serif" w:hAnsi="Times New Roman;sans-serif"/>
          <w:b w:val="false"/>
          <w:color w:val="000000"/>
          <w:sz w:val="20"/>
        </w:rPr>
        <w:t xml:space="preserve">: Contract liabilities, or deferred revenue, represent our obligation to transfer products or services to a customer for which consideration has been received in advance of the satisfaction of performance obligations. Long-term deferred revenue is included within other non-current liabilities on the unaudited condensed consolidated balance sheets. Revenue recognized from the contract liability balance at December 31, 2023 was $17.2 million for the three months ended March 31, 2024. </w:t>
      </w:r>
    </w:p>
    <w:p>
      <w:pPr>
        <w:pStyle w:val="TextBody"/>
        <w:bidi w:val="0"/>
        <w:spacing w:lineRule="auto" w:line="288" w:before="120" w:after="283"/>
        <w:jc w:val="both"/>
        <w:rPr/>
      </w:pPr>
      <w:r>
        <w:rPr>
          <w:rFonts w:ascii="Times New Roman;sans-serif" w:hAnsi="Times New Roman;sans-serif"/>
          <w:b w:val="false"/>
          <w:i/>
          <w:color w:val="000000"/>
          <w:sz w:val="20"/>
        </w:rPr>
        <w:t>Customer deposits</w:t>
      </w:r>
      <w:r>
        <w:rPr>
          <w:rFonts w:ascii="Times New Roman;sans-serif" w:hAnsi="Times New Roman;sans-serif"/>
          <w:b w:val="false"/>
          <w:color w:val="000000"/>
          <w:sz w:val="20"/>
        </w:rPr>
        <w:t>: Customer deposits relate to payments received in advance for contracts, which allow the customer to terminate a contract and receive a pro rata refund for the unused portion of payments received to date.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our allowance for expected credit losses is as follows as of:</w:t>
      </w:r>
    </w:p>
    <w:tbl>
      <w:tblPr>
        <w:tblW w:w="9669" w:type="dxa"/>
        <w:jc w:val="left"/>
        <w:tblInd w:w="0" w:type="dxa"/>
        <w:tblLayout w:type="fixed"/>
        <w:tblCellMar>
          <w:top w:w="28" w:type="dxa"/>
          <w:left w:w="28" w:type="dxa"/>
          <w:bottom w:w="28" w:type="dxa"/>
          <w:right w:w="28" w:type="dxa"/>
        </w:tblCellMar>
      </w:tblPr>
      <w:tblGrid>
        <w:gridCol w:w="2532"/>
        <w:gridCol w:w="2222"/>
        <w:gridCol w:w="2235"/>
        <w:gridCol w:w="109"/>
        <w:gridCol w:w="109"/>
        <w:gridCol w:w="109"/>
        <w:gridCol w:w="109"/>
        <w:gridCol w:w="211"/>
        <w:gridCol w:w="616"/>
        <w:gridCol w:w="109"/>
        <w:gridCol w:w="109"/>
        <w:gridCol w:w="109"/>
        <w:gridCol w:w="109"/>
        <w:gridCol w:w="211"/>
        <w:gridCol w:w="616"/>
        <w:gridCol w:w="154"/>
      </w:tblGrid>
      <w:tr>
        <w:trPr/>
        <w:tc>
          <w:tcPr>
            <w:tcW w:w="253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adjustment due to implementation of the new credit loss standard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Disposition of North American Fitness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UK Fitness to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color w:val="000000"/>
          <w:sz w:val="20"/>
        </w:rPr>
        <w:t>Remaining Performance Obligations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March 31, 2024 was $19.5 million. The Company expects to recognize approximately 63% of its remaining performance obligations as revenue within the next year, 28% of its remaining performance obligations as revenue the subsequent year, 7% of its remaining performance obligations as revenue in the third year, and the remainder during the two year period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Cost to Obtain and Fulfill a Contract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resulting from costs to obtain contracts are included within prepaid expenses and other current assets for short-term balances and other non-current assets for long-term balances on the Company’s unaudited condensed consolidated balance sheets. The costs to obtain contracts are amortized over five years, which corresponds with the useful life of the related technology. Short-term assets were $9.0 million and $8.6 million at March 31, 2024 and December 31, 2023, respectively, and long-term assets were $17.7 million and $17.9 million at March 31, 2024 and December 31, 2023, respectively. The Company recorded $1.6 million and $1.3 million of amortization expense related to assets for the three months ended March 31, 2024 and 2023, respectively, which is included in sales and marketing expense on the unaudited condensed consolidated statements of operations and comprehensive loss, as well as $0.7 million and $0.5 million for the three months ended March 31, 2024 and 2023, respectively, which is included in cost of revenues on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6.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activity consisted of the following for the three months ended March 31, 2024 (in thousands):</w:t>
      </w:r>
    </w:p>
    <w:tbl>
      <w:tblPr>
        <w:tblW w:w="5255" w:type="dxa"/>
        <w:jc w:val="left"/>
        <w:tblInd w:w="0" w:type="dxa"/>
        <w:tblLayout w:type="fixed"/>
        <w:tblCellMar>
          <w:top w:w="28" w:type="dxa"/>
          <w:left w:w="28" w:type="dxa"/>
          <w:bottom w:w="28" w:type="dxa"/>
          <w:right w:w="28" w:type="dxa"/>
        </w:tblCellMar>
      </w:tblPr>
      <w:tblGrid>
        <w:gridCol w:w="1473"/>
        <w:gridCol w:w="1294"/>
        <w:gridCol w:w="1297"/>
        <w:gridCol w:w="211"/>
        <w:gridCol w:w="82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 to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definitive sale and purchase agreements to sell our fitness solutions, we tested the goodwill balance for impairment as of March 31, 2024 (see Note 4. Disposition and Held for Sale). During the three months ended March 31, 2024, we recognized a $3.4 million goodwill impairment charge representing the allocated goodwill to North American Fitness, which is included in loss on held for sale and impairments on the unaudited condensed consolidated statements of operations and comprehensive loss. There has been no other impairment of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7. Intangible Assets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w:t>
      </w:r>
    </w:p>
    <w:tbl>
      <w:tblPr>
        <w:tblW w:w="7741" w:type="dxa"/>
        <w:jc w:val="left"/>
        <w:tblInd w:w="0" w:type="dxa"/>
        <w:tblLayout w:type="fixed"/>
        <w:tblCellMar>
          <w:top w:w="28" w:type="dxa"/>
          <w:left w:w="28" w:type="dxa"/>
          <w:bottom w:w="28" w:type="dxa"/>
          <w:right w:w="28" w:type="dxa"/>
        </w:tblCellMar>
      </w:tblPr>
      <w:tblGrid>
        <w:gridCol w:w="787"/>
        <w:gridCol w:w="692"/>
        <w:gridCol w:w="695"/>
        <w:gridCol w:w="314"/>
        <w:gridCol w:w="314"/>
        <w:gridCol w:w="316"/>
        <w:gridCol w:w="109"/>
        <w:gridCol w:w="109"/>
        <w:gridCol w:w="109"/>
        <w:gridCol w:w="240"/>
        <w:gridCol w:w="941"/>
        <w:gridCol w:w="124"/>
        <w:gridCol w:w="109"/>
        <w:gridCol w:w="109"/>
        <w:gridCol w:w="109"/>
        <w:gridCol w:w="211"/>
        <w:gridCol w:w="826"/>
        <w:gridCol w:w="10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Useful</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Book</w:t>
              <w:br/>
              <w:t>Value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716,746 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41" w:type="dxa"/>
        <w:jc w:val="left"/>
        <w:tblInd w:w="0" w:type="dxa"/>
        <w:tblLayout w:type="fixed"/>
        <w:tblCellMar>
          <w:top w:w="28" w:type="dxa"/>
          <w:left w:w="28" w:type="dxa"/>
          <w:bottom w:w="28" w:type="dxa"/>
          <w:right w:w="28" w:type="dxa"/>
        </w:tblCellMar>
      </w:tblPr>
      <w:tblGrid>
        <w:gridCol w:w="787"/>
        <w:gridCol w:w="692"/>
        <w:gridCol w:w="695"/>
        <w:gridCol w:w="314"/>
        <w:gridCol w:w="314"/>
        <w:gridCol w:w="316"/>
        <w:gridCol w:w="109"/>
        <w:gridCol w:w="109"/>
        <w:gridCol w:w="109"/>
        <w:gridCol w:w="240"/>
        <w:gridCol w:w="941"/>
        <w:gridCol w:w="124"/>
        <w:gridCol w:w="109"/>
        <w:gridCol w:w="109"/>
        <w:gridCol w:w="109"/>
        <w:gridCol w:w="211"/>
        <w:gridCol w:w="826"/>
        <w:gridCol w:w="10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Useful</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Book</w:t>
              <w:br/>
              <w:t>Value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753,425 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$19.3 million and $23.2 million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Note 8. Property and Equipment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as of:</w:t>
      </w:r>
    </w:p>
    <w:tbl>
      <w:tblPr>
        <w:tblW w:w="5463" w:type="dxa"/>
        <w:jc w:val="left"/>
        <w:tblInd w:w="0" w:type="dxa"/>
        <w:tblLayout w:type="fixed"/>
        <w:tblCellMar>
          <w:top w:w="28" w:type="dxa"/>
          <w:left w:w="28" w:type="dxa"/>
          <w:bottom w:w="28" w:type="dxa"/>
          <w:right w:w="28" w:type="dxa"/>
        </w:tblCellMar>
      </w:tblPr>
      <w:tblGrid>
        <w:gridCol w:w="1054"/>
        <w:gridCol w:w="925"/>
        <w:gridCol w:w="931"/>
        <w:gridCol w:w="211"/>
        <w:gridCol w:w="721"/>
        <w:gridCol w:w="109"/>
        <w:gridCol w:w="109"/>
        <w:gridCol w:w="109"/>
        <w:gridCol w:w="109"/>
        <w:gridCol w:w="230"/>
        <w:gridCol w:w="787"/>
        <w:gridCol w:w="168"/>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$1.1 million and $1.0 million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9. Capitalized Software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consisted of the following as of:</w:t>
      </w:r>
    </w:p>
    <w:tbl>
      <w:tblPr>
        <w:tblW w:w="5253" w:type="dxa"/>
        <w:jc w:val="left"/>
        <w:tblInd w:w="0" w:type="dxa"/>
        <w:tblLayout w:type="fixed"/>
        <w:tblCellMar>
          <w:top w:w="28" w:type="dxa"/>
          <w:left w:w="28" w:type="dxa"/>
          <w:bottom w:w="28" w:type="dxa"/>
          <w:right w:w="28" w:type="dxa"/>
        </w:tblCellMar>
      </w:tblPr>
      <w:tblGrid>
        <w:gridCol w:w="978"/>
        <w:gridCol w:w="858"/>
        <w:gridCol w:w="864"/>
        <w:gridCol w:w="211"/>
        <w:gridCol w:w="721"/>
        <w:gridCol w:w="109"/>
        <w:gridCol w:w="109"/>
        <w:gridCol w:w="109"/>
        <w:gridCol w:w="109"/>
        <w:gridCol w:w="230"/>
        <w:gridCol w:w="787"/>
        <w:gridCol w:w="168"/>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$2.5 million and $1.8 million for the three months ended March 31, 2024 and 2023, respectively. During the ordinary course of business, the Company may determine that certain capitalized features of its software will no longer be used either internally or to deliver value to its customers. During the three months ended March 31, 2023 the Company recorded a $0.3 million charge related to capitalized costs associated with abandoned projects, which was included in general and administrative expense on the unaudited condensed consolidated statements of operations and comprehensive loss. The Company did not have similar charges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120" w:after="283"/>
        <w:jc w:val="both"/>
        <w:rPr/>
      </w:pPr>
      <w:r>
        <w:rPr>
          <w:rFonts w:ascii="Times New Roman;sans-serif" w:hAnsi="Times New Roman;sans-serif"/>
          <w:b w:val="false"/>
          <w:color w:val="000000"/>
          <w:sz w:val="20"/>
        </w:rPr>
        <w:t>The Company leases real estate from unrelated parties under operating lease agreements that have initial terms ranging from one year to 11 years. Some leases include one or more options to renew, generally at our sole discretion, of</w:t>
      </w:r>
      <w:r>
        <w:rPr>
          <w:color w:val="000000"/>
          <w:shd w:fill="FFFFFF" w:val="clear"/>
        </w:rPr>
        <w:t xml:space="preserve"> </w:t>
      </w:r>
      <w:r>
        <w:rPr>
          <w:rFonts w:ascii="Times New Roman;sans-serif" w:hAnsi="Times New Roman;sans-serif"/>
          <w:b w:val="false"/>
          <w:color w:val="000000"/>
          <w:sz w:val="20"/>
          <w:shd w:fill="FFFFFF" w:val="clear"/>
        </w:rPr>
        <w:t xml:space="preserve">five </w:t>
      </w:r>
      <w:r>
        <w:rPr>
          <w:rFonts w:ascii="Times New Roman;sans-serif" w:hAnsi="Times New Roman;sans-serif"/>
          <w:b w:val="false"/>
          <w:color w:val="000000"/>
          <w:sz w:val="20"/>
        </w:rPr>
        <w:t xml:space="preserve">additional years each. </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p>
      <w:pPr>
        <w:pStyle w:val="TextBody"/>
        <w:bidi w:val="0"/>
        <w:spacing w:before="0" w:after="0"/>
        <w:jc w:val="both"/>
        <w:rPr/>
      </w:pPr>
      <w:r>
        <w:rPr/>
      </w:r>
    </w:p>
    <w:tbl>
      <w:tblPr>
        <w:tblW w:w="5064" w:type="dxa"/>
        <w:jc w:val="left"/>
        <w:tblInd w:w="0" w:type="dxa"/>
        <w:tblLayout w:type="fixed"/>
        <w:tblCellMar>
          <w:top w:w="28" w:type="dxa"/>
          <w:left w:w="28" w:type="dxa"/>
          <w:bottom w:w="28" w:type="dxa"/>
          <w:right w:w="28" w:type="dxa"/>
        </w:tblCellMar>
      </w:tblPr>
      <w:tblGrid>
        <w:gridCol w:w="651"/>
        <w:gridCol w:w="572"/>
        <w:gridCol w:w="576"/>
        <w:gridCol w:w="109"/>
        <w:gridCol w:w="109"/>
        <w:gridCol w:w="164"/>
        <w:gridCol w:w="164"/>
        <w:gridCol w:w="318"/>
        <w:gridCol w:w="929"/>
        <w:gridCol w:w="164"/>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ceased use of certain leased premises and subleased certain facilities resulting in impairment charges of $0.4 million and $1.1 million to impair the right-of-use lease assets to their fair value during the three months ended March 31, 2024 and 2023, respectively, which are included in loss on held for sale and impairments on our unaudited condensed consolidated statement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is as follows:</w:t>
      </w:r>
    </w:p>
    <w:tbl>
      <w:tblPr>
        <w:tblW w:w="9324" w:type="dxa"/>
        <w:jc w:val="left"/>
        <w:tblInd w:w="0" w:type="dxa"/>
        <w:tblLayout w:type="fixed"/>
        <w:tblCellMar>
          <w:top w:w="28" w:type="dxa"/>
          <w:left w:w="28" w:type="dxa"/>
          <w:bottom w:w="28" w:type="dxa"/>
          <w:right w:w="28" w:type="dxa"/>
        </w:tblCellMar>
      </w:tblPr>
      <w:tblGrid>
        <w:gridCol w:w="2192"/>
        <w:gridCol w:w="1930"/>
        <w:gridCol w:w="1937"/>
        <w:gridCol w:w="109"/>
        <w:gridCol w:w="109"/>
        <w:gridCol w:w="164"/>
        <w:gridCol w:w="164"/>
        <w:gridCol w:w="318"/>
        <w:gridCol w:w="929"/>
        <w:gridCol w:w="164"/>
        <w:gridCol w:w="109"/>
        <w:gridCol w:w="109"/>
        <w:gridCol w:w="109"/>
        <w:gridCol w:w="211"/>
        <w:gridCol w:w="616"/>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obtained in exchange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included in other non-current assets, accrued expenses and other and other non-current liabilities on the unaudited condensed consolidated balance sheets, related to leases is as follows:</w:t>
      </w:r>
    </w:p>
    <w:tbl>
      <w:tblPr>
        <w:tblW w:w="5627"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30"/>
        <w:gridCol w:w="787"/>
        <w:gridCol w:w="168"/>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t>At March 31, 2024 and December 31, 2023, the weighted average remaining lease term for operating leases was</w:t>
      </w:r>
      <w:r>
        <w:rPr>
          <w:color w:val="000000"/>
          <w:shd w:fill="FFFFFF" w:val="clear"/>
        </w:rPr>
        <w:t xml:space="preserve"> </w:t>
      </w:r>
      <w:r>
        <w:rPr>
          <w:rFonts w:ascii="Times New Roman;sans-serif" w:hAnsi="Times New Roman;sans-serif"/>
          <w:b w:val="false"/>
          <w:color w:val="000000"/>
          <w:sz w:val="20"/>
          <w:shd w:fill="FFFFFF" w:val="clear"/>
        </w:rPr>
        <w:t xml:space="preserve">5.49 years and 5.75 years, respectively, </w:t>
      </w:r>
      <w:r>
        <w:rPr>
          <w:rFonts w:ascii="Times New Roman;sans-serif" w:hAnsi="Times New Roman;sans-serif"/>
          <w:b w:val="false"/>
          <w:color w:val="000000"/>
          <w:sz w:val="20"/>
        </w:rPr>
        <w:t>and the weighted average discount rate w</w:t>
      </w:r>
      <w:r>
        <w:rPr>
          <w:rFonts w:ascii="Times New Roman;sans-serif" w:hAnsi="Times New Roman;sans-serif"/>
          <w:b w:val="false"/>
          <w:color w:val="000000"/>
          <w:sz w:val="20"/>
          <w:shd w:fill="FFFFFF" w:val="clear"/>
        </w:rPr>
        <w:t xml:space="preserve">as 5.1% and </w:t>
      </w:r>
      <w:r>
        <w:rPr>
          <w:rFonts w:ascii="Times New Roman;sans-serif" w:hAnsi="Times New Roman;sans-serif"/>
          <w:b w:val="false"/>
          <w:color w:val="000000"/>
          <w:sz w:val="20"/>
        </w:rPr>
        <w:t>5.1%, respectively</w:t>
      </w:r>
      <w:r>
        <w:rPr>
          <w:rFonts w:ascii="Times New Roman;sans-serif" w:hAnsi="Times New Roman;sans-serif"/>
          <w:b w:val="false"/>
          <w:color w:val="000000"/>
          <w:sz w:val="20"/>
          <w:shd w:fill="FFFFFF" w:val="clear"/>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undiscounted cash flows for each of the next five years and thereafter and reconciliation to the lease liabilities recognized on the balance sheet as of March 31, 2024 is as follows (in thousands):</w:t>
      </w:r>
    </w:p>
    <w:p>
      <w:pPr>
        <w:pStyle w:val="TextBody"/>
        <w:bidi w:val="0"/>
        <w:spacing w:before="0" w:after="0"/>
        <w:jc w:val="both"/>
        <w:rPr/>
      </w:pPr>
      <w:r>
        <w:rPr/>
      </w:r>
    </w:p>
    <w:tbl>
      <w:tblPr>
        <w:tblW w:w="4251" w:type="dxa"/>
        <w:jc w:val="left"/>
        <w:tblInd w:w="0" w:type="dxa"/>
        <w:tblLayout w:type="fixed"/>
        <w:tblCellMar>
          <w:top w:w="28" w:type="dxa"/>
          <w:left w:w="28" w:type="dxa"/>
          <w:bottom w:w="28" w:type="dxa"/>
          <w:right w:w="28" w:type="dxa"/>
        </w:tblCellMar>
      </w:tblPr>
      <w:tblGrid>
        <w:gridCol w:w="1146"/>
        <w:gridCol w:w="1006"/>
        <w:gridCol w:w="1013"/>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11. Long-Term 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w:t>
      </w:r>
    </w:p>
    <w:tbl>
      <w:tblPr>
        <w:tblW w:w="10205" w:type="dxa"/>
        <w:jc w:val="left"/>
        <w:tblInd w:w="0" w:type="dxa"/>
        <w:tblLayout w:type="fixed"/>
        <w:tblCellMar>
          <w:top w:w="28" w:type="dxa"/>
          <w:left w:w="28" w:type="dxa"/>
          <w:bottom w:w="28" w:type="dxa"/>
          <w:right w:w="28" w:type="dxa"/>
        </w:tblCellMar>
      </w:tblPr>
      <w:tblGrid>
        <w:gridCol w:w="2803"/>
        <w:gridCol w:w="2359"/>
        <w:gridCol w:w="2377"/>
        <w:gridCol w:w="211"/>
        <w:gridCol w:w="826"/>
        <w:gridCol w:w="109"/>
        <w:gridCol w:w="109"/>
        <w:gridCol w:w="109"/>
        <w:gridCol w:w="109"/>
        <w:gridCol w:w="211"/>
        <w:gridCol w:w="826"/>
        <w:gridCol w:w="156"/>
      </w:tblGrid>
      <w:tr>
        <w:trPr/>
        <w:tc>
          <w:tcPr>
            <w:tcW w:w="2803"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Term notes with interest payable monthly, interest rate at Adjusted SOFR, plus an applicable margin of 3.25% (8.44074% at March 31, 2024) quarterly principal payments of 0.25% of original principal balance with balloon payment due July 2028</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Revolver with interest payable monthly, interest rate at Adjusted SOFR, plus an applicable margin of 3.25% (8.44464% at March 31, 2024), and outstanding balance due July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on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on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credit agreement, as amended, that provides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as of July 1, 2023, borrowings under the Credit Facilities bear interest at the Company’s option at Alternative Base Rate (“ABR”) plus an applicable rate, or at a forward-looking term rate based upon the secured overnight financing rate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1.0%. The applicable rate for the Term Loans and the Revolver is 3.0% for Adjusted SOFR borrowings and 2.0% for ABR borrowings, in each case subject to change based on our first lien net leverage ratio.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fair value of long-term debt based on trading prices for its debt if available. As of March 31, 2024, the Company obtained trading prices for the term notes outstanding. However, as such trading prices require significant unobservable inputs to the pricing model, such instruments are classified as Level 2. The fair value amounts were approximately $538.9 million and $540.3 million as of March 31, 2024 and December 31, 2023,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October 31, 2022, the Company entered into an interest rate swap agreement (the “Initial Swap”) in connection with the Company’s Credit Facilities for a notional amount of $200.0 million to convert a portion of the floating rate component of the Term Loans from a floating rate to a fixed rate. The Initial Swap agreement has a term of five years with a fixed rate in the agreement of 4.212%, as amended in June 2023. Additionally, effective March 31, 2023, the Company entered into a second interest rate swap agreement (the “Second Swap” and together with the Initial Swap, the “Swap Agreements”) in connection with the Company’s Credit Facilities for a notional amount of $100.0 million to convert a portion of the floating rate component of the Term Loans from a floating rate to a fixed rate. The Second Swap agreement has a term of approximately 4.5 years with a fixed rate in the agreement of 3.951%, as amended in June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Swap Agreements are accounted for as derivatives whereby the fair value of each contract is reported within the unaudited condensed consolidated balance sheets, and related gains or losses resulting from changes in the fair value are reported in interest and other expense, net, in the unaudited condensed consolidated statements of operations and comprehensive loss. As of March 31, 2024 the fair value of the Initial Swap was a liability of $0.6 million while the fair value of the Second Swap was an asset of $0.6 million and are reported in other non-current liabilities and other non-current assets, respectively, on the unaudited condensed consolidated balance sheet. During the three months ended March 31, 2024 and 2023, the related gains and losses resulting from changes in fair value was a gain of $4.8 million and a loss of $4.2 million,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Credit Facilities are subject to certain financial and nonfinancial covenants and are secured by substantially all assets of the Company. As of March 31, 2024, the Company was in compliance with all of its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maturities of the Company’s debt for the years ending December 31 are as follows as of March 31, 2024 (in thousands):</w:t>
      </w:r>
    </w:p>
    <w:tbl>
      <w:tblPr>
        <w:tblW w:w="5331" w:type="dxa"/>
        <w:jc w:val="left"/>
        <w:tblInd w:w="0" w:type="dxa"/>
        <w:tblLayout w:type="fixed"/>
        <w:tblCellMar>
          <w:top w:w="28" w:type="dxa"/>
          <w:left w:w="28" w:type="dxa"/>
          <w:bottom w:w="28" w:type="dxa"/>
          <w:right w:w="28" w:type="dxa"/>
        </w:tblCellMar>
      </w:tblPr>
      <w:tblGrid>
        <w:gridCol w:w="1502"/>
        <w:gridCol w:w="1316"/>
        <w:gridCol w:w="1322"/>
        <w:gridCol w:w="211"/>
        <w:gridCol w:w="82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aggregate maturities of the Company’s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12. Equity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 </w:t>
      </w:r>
    </w:p>
    <w:p>
      <w:pPr>
        <w:pStyle w:val="TextBody"/>
        <w:bidi w:val="0"/>
        <w:spacing w:lineRule="auto" w:line="288" w:before="120" w:after="283"/>
        <w:jc w:val="both"/>
        <w:rPr/>
      </w:pPr>
      <w:r>
        <w:rPr>
          <w:rFonts w:ascii="Times New Roman;sans-serif" w:hAnsi="Times New Roman;sans-serif"/>
          <w:b w:val="false"/>
          <w:color w:val="000000"/>
          <w:sz w:val="20"/>
        </w:rPr>
        <w:t>On June 14, 2022, our board of directors (our “Board”) approved a stock repurchase program (as subsequently amended, the “Repurchase Program”) wi</w:t>
      </w:r>
      <w:r>
        <w:rPr>
          <w:rFonts w:ascii="Times New Roman;sans-serif" w:hAnsi="Times New Roman;sans-serif"/>
          <w:b w:val="false"/>
          <w:color w:val="000000"/>
          <w:sz w:val="20"/>
          <w:shd w:fill="FFFFFF" w:val="clear"/>
        </w:rPr>
        <w:t xml:space="preserve">th authorization to purchase up to $50.0 million in shares of the Company’s common stock through the expiration of the program on December 21, 2022. </w:t>
      </w:r>
      <w:r>
        <w:rPr>
          <w:rFonts w:ascii="Times New Roman;sans-serif" w:hAnsi="Times New Roman;sans-serif"/>
          <w:b w:val="false"/>
          <w:color w:val="000000"/>
          <w:sz w:val="20"/>
        </w:rPr>
        <w:t xml:space="preserve">On November 7, 2022, our Board approved an expansion of the Repurchase Program with authorization to purchase up to an additional $50.0 million in shares of the Company’s common stock ($100.0 million total) and an extension to the expiration of the Repurchase Program through December 31, 2023. On November 5, 2023, our Board of Directors approved an additional expansion of the Repurchase Program with authorization to purchase up to an additional $50.0 million in shares of the Company’s common stock (from $100.0 million to $150.0 million in total) and extended the expiration of the Repurchase Program through December 31, 2024. On December 14, 2023, our Board approved a stock purchase agreement entered into between the Company and Eric Remer, Matt Feierstein, Marc Thompson, Sarah Jordan, Shane Driggers and Evan Berlin, who served as officers of the Company (collectively, the “Selling Stockholders”). On December 19, 2023, as part of our Repurchase Program, the Company repurchased an aggregate of 1,401,472 shares of common stock from the Selling Stockholders at a price of $9.82 per share, for an aggregate price of $13.8 million. </w:t>
      </w:r>
      <w:r>
        <w:rPr>
          <w:rFonts w:ascii="Times New Roman;sans-serif" w:hAnsi="Times New Roman;sans-serif"/>
          <w:b w:val="false"/>
          <w:color w:val="000000"/>
          <w:sz w:val="20"/>
          <w:shd w:fill="FFFFFF" w:val="clear"/>
        </w:rPr>
        <w:t>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repurchased and retired 1.2 million shares of common stock pursuant to the Repurchase Program for $12.1 million including transaction fees and taxes, during the three months ended March 31, 2024. As of March 31, 2024, $27.9 million remained available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13. Stock-Based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Company’s outstanding shares of common stock as of December 31, 2023, as of January 1, 2024 the number of shares reserved for issuance under the 2021 Plan increased by 5.6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the Company’s Board adopted the 2021 Employee Stock Purchase Plan (the “ESPP”). For more information on the ESPP, refer to Note 12. Stock-Based Compensation in the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restricted stock unit (“RSU”) and stock option activity for the three months ended March 31, 2024:</w:t>
      </w:r>
    </w:p>
    <w:tbl>
      <w:tblPr>
        <w:tblW w:w="5253" w:type="dxa"/>
        <w:jc w:val="left"/>
        <w:tblInd w:w="0" w:type="dxa"/>
        <w:tblLayout w:type="fixed"/>
        <w:tblCellMar>
          <w:top w:w="28" w:type="dxa"/>
          <w:left w:w="28" w:type="dxa"/>
          <w:bottom w:w="28" w:type="dxa"/>
          <w:right w:w="28" w:type="dxa"/>
        </w:tblCellMar>
      </w:tblPr>
      <w:tblGrid>
        <w:gridCol w:w="1043"/>
        <w:gridCol w:w="915"/>
        <w:gridCol w:w="921"/>
        <w:gridCol w:w="308"/>
        <w:gridCol w:w="308"/>
        <w:gridCol w:w="186"/>
        <w:gridCol w:w="109"/>
        <w:gridCol w:w="109"/>
        <w:gridCol w:w="109"/>
        <w:gridCol w:w="364"/>
        <w:gridCol w:w="364"/>
        <w:gridCol w:w="517"/>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12,982 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total unrecognized compensation expense was $47.6 million and $7.8 million related to outstanding restricted stock units and stock options,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classified in the unaudited condensed consolidated statements of operations and comprehensive loss as follows:</w:t>
      </w:r>
    </w:p>
    <w:tbl>
      <w:tblPr>
        <w:tblW w:w="6715" w:type="dxa"/>
        <w:jc w:val="left"/>
        <w:tblInd w:w="0" w:type="dxa"/>
        <w:tblLayout w:type="fixed"/>
        <w:tblCellMar>
          <w:top w:w="28" w:type="dxa"/>
          <w:left w:w="28" w:type="dxa"/>
          <w:bottom w:w="28" w:type="dxa"/>
          <w:right w:w="28" w:type="dxa"/>
        </w:tblCellMar>
      </w:tblPr>
      <w:tblGrid>
        <w:gridCol w:w="1246"/>
        <w:gridCol w:w="1100"/>
        <w:gridCol w:w="1104"/>
        <w:gridCol w:w="109"/>
        <w:gridCol w:w="109"/>
        <w:gridCol w:w="164"/>
        <w:gridCol w:w="164"/>
        <w:gridCol w:w="318"/>
        <w:gridCol w:w="929"/>
        <w:gridCol w:w="164"/>
        <w:gridCol w:w="109"/>
        <w:gridCol w:w="109"/>
        <w:gridCol w:w="109"/>
        <w:gridCol w:w="211"/>
        <w:gridCol w:w="616"/>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14. Net Loss Per Share Attributable to Common Stockholders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for the Company’s common stock as of:</w:t>
      </w:r>
    </w:p>
    <w:tbl>
      <w:tblPr>
        <w:tblW w:w="10205" w:type="dxa"/>
        <w:jc w:val="left"/>
        <w:tblInd w:w="0" w:type="dxa"/>
        <w:tblLayout w:type="fixed"/>
        <w:tblCellMar>
          <w:top w:w="28" w:type="dxa"/>
          <w:left w:w="28" w:type="dxa"/>
          <w:bottom w:w="28" w:type="dxa"/>
          <w:right w:w="28" w:type="dxa"/>
        </w:tblCellMar>
      </w:tblPr>
      <w:tblGrid>
        <w:gridCol w:w="2662"/>
        <w:gridCol w:w="2126"/>
        <w:gridCol w:w="2132"/>
        <w:gridCol w:w="109"/>
        <w:gridCol w:w="109"/>
        <w:gridCol w:w="127"/>
        <w:gridCol w:w="127"/>
        <w:gridCol w:w="253"/>
        <w:gridCol w:w="930"/>
        <w:gridCol w:w="130"/>
        <w:gridCol w:w="111"/>
        <w:gridCol w:w="111"/>
        <w:gridCol w:w="111"/>
        <w:gridCol w:w="215"/>
        <w:gridCol w:w="787"/>
        <w:gridCol w:w="165"/>
      </w:tblGrid>
      <w:tr>
        <w:trPr/>
        <w:tc>
          <w:tcPr>
            <w:tcW w:w="266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500" w:type="dxa"/>
            <w:gridSpan w:val="6"/>
            <w:tcBorders/>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amounts)</w:t>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EPS – 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and diluted EPS – weighted-average shares of common stock outstanding used in computing 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potentially dilutive common stock equivalents have been excluded from the computation of diluted net loss per share attributable to common stockholders for the periods presented due to their anti-dilutive effect as of:</w:t>
      </w:r>
    </w:p>
    <w:tbl>
      <w:tblPr>
        <w:tblW w:w="6831" w:type="dxa"/>
        <w:jc w:val="left"/>
        <w:tblInd w:w="0" w:type="dxa"/>
        <w:tblLayout w:type="fixed"/>
        <w:tblCellMar>
          <w:top w:w="28" w:type="dxa"/>
          <w:left w:w="28" w:type="dxa"/>
          <w:bottom w:w="28" w:type="dxa"/>
          <w:right w:w="28" w:type="dxa"/>
        </w:tblCellMar>
      </w:tblPr>
      <w:tblGrid>
        <w:gridCol w:w="1685"/>
        <w:gridCol w:w="1478"/>
        <w:gridCol w:w="1486"/>
        <w:gridCol w:w="360"/>
        <w:gridCol w:w="361"/>
        <w:gridCol w:w="176"/>
        <w:gridCol w:w="109"/>
        <w:gridCol w:w="109"/>
        <w:gridCol w:w="109"/>
        <w:gridCol w:w="360"/>
        <w:gridCol w:w="361"/>
        <w:gridCol w:w="237"/>
      </w:tblGrid>
      <w:tr>
        <w:trPr/>
        <w:tc>
          <w:tcPr>
            <w:tcW w:w="168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and unvested RSUs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pursuant to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outstanding potential common stock</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21,586 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15. Fair Value of Financial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 xml:space="preserve">Valuations based on quoted prices in active markets for identical assets or liabilities that an entity has the ability to access.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 xml:space="preserve">Valuations based on inputs that are supported by little or no market activity and that are significant to the fair value of the assets or liabilities.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between fair value measurement levels during the three months ended March 31, 2024 and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and liabilities measured at fair value on a recurring basis as of:</w:t>
      </w:r>
    </w:p>
    <w:tbl>
      <w:tblPr>
        <w:tblW w:w="8696" w:type="dxa"/>
        <w:jc w:val="left"/>
        <w:tblInd w:w="0" w:type="dxa"/>
        <w:tblLayout w:type="fixed"/>
        <w:tblCellMar>
          <w:top w:w="28" w:type="dxa"/>
          <w:left w:w="28" w:type="dxa"/>
          <w:bottom w:w="28" w:type="dxa"/>
          <w:right w:w="28" w:type="dxa"/>
        </w:tblCellMar>
      </w:tblPr>
      <w:tblGrid>
        <w:gridCol w:w="574"/>
        <w:gridCol w:w="505"/>
        <w:gridCol w:w="511"/>
        <w:gridCol w:w="211"/>
        <w:gridCol w:w="616"/>
        <w:gridCol w:w="109"/>
        <w:gridCol w:w="109"/>
        <w:gridCol w:w="109"/>
        <w:gridCol w:w="109"/>
        <w:gridCol w:w="211"/>
        <w:gridCol w:w="466"/>
        <w:gridCol w:w="109"/>
        <w:gridCol w:w="109"/>
        <w:gridCol w:w="109"/>
        <w:gridCol w:w="109"/>
        <w:gridCol w:w="211"/>
        <w:gridCol w:w="406"/>
        <w:gridCol w:w="109"/>
        <w:gridCol w:w="109"/>
        <w:gridCol w:w="109"/>
        <w:gridCol w:w="109"/>
        <w:gridCol w:w="211"/>
        <w:gridCol w:w="616"/>
        <w:gridCol w:w="109"/>
        <w:gridCol w:w="109"/>
        <w:gridCol w:w="109"/>
        <w:gridCol w:w="109"/>
        <w:gridCol w:w="706"/>
        <w:gridCol w:w="706"/>
        <w:gridCol w:w="1002"/>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r>
    </w:tbl>
    <w:tbl>
      <w:tblPr>
        <w:tblW w:w="8621" w:type="dxa"/>
        <w:jc w:val="left"/>
        <w:tblInd w:w="0" w:type="dxa"/>
        <w:tblLayout w:type="fixed"/>
        <w:tblCellMar>
          <w:top w:w="28" w:type="dxa"/>
          <w:left w:w="28" w:type="dxa"/>
          <w:bottom w:w="28" w:type="dxa"/>
          <w:right w:w="28" w:type="dxa"/>
        </w:tblCellMar>
      </w:tblPr>
      <w:tblGrid>
        <w:gridCol w:w="547"/>
        <w:gridCol w:w="481"/>
        <w:gridCol w:w="487"/>
        <w:gridCol w:w="211"/>
        <w:gridCol w:w="46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706"/>
        <w:gridCol w:w="706"/>
        <w:gridCol w:w="1002"/>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in interim periods has historically been based on our estimated annual effective tax rate. We record cumulative adjustments in the quarter in which a change in the estimated annual effective rate is determined. In the first quarter of 2024, it is the Company’s judgement that the estimated annual effective tax rate did not result in a reliable estimate, so an estimate was determined using year to date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expense was $5.9 million and $0.3 million for the three months ended March 31, 2024 and 2023, respectively. Our effective income tax rate was 56.9% and 1.5% for the three months ended March 31, 2024 and 2023, respectively. The difference in income tax rate for the three months ended March 31, 2024 as compared to the corresponding period in 2023 was driven primarily by an increase in U.S. federal and state income taxes and discrete items, including the sale of North American Fitness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17. Commitments and Contingencies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third-party fulfillment costs and software hosting. Unrecognized future minimum payments due under these agreements are as follows (in thousands):</w:t>
      </w:r>
    </w:p>
    <w:tbl>
      <w:tblPr>
        <w:tblW w:w="4160" w:type="dxa"/>
        <w:jc w:val="left"/>
        <w:tblInd w:w="0" w:type="dxa"/>
        <w:tblLayout w:type="fixed"/>
        <w:tblCellMar>
          <w:top w:w="28" w:type="dxa"/>
          <w:left w:w="28" w:type="dxa"/>
          <w:bottom w:w="28" w:type="dxa"/>
          <w:right w:w="28" w:type="dxa"/>
        </w:tblCellMar>
      </w:tblPr>
      <w:tblGrid>
        <w:gridCol w:w="1113"/>
        <w:gridCol w:w="977"/>
        <w:gridCol w:w="984"/>
        <w:gridCol w:w="211"/>
        <w:gridCol w:w="721"/>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payments due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 II 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The Company believes it has meritorious defenses to the claims of the plaintiff and members of the class and any liability for the alleged claims is not currently probable and the potential loss or range of loss is not reasonably estimable.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applicability of nexus in jurisdictions in which the Company sells products and services. As of March 31, 2024 and December 31, 2023, the Company recorded a liability in the amount of $10.9 million in both periods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18. Geographic Areas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long-lived assets by geographic area as of:</w:t>
      </w:r>
    </w:p>
    <w:tbl>
      <w:tblPr>
        <w:tblW w:w="3752"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30"/>
        <w:gridCol w:w="787"/>
        <w:gridCol w:w="16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2023 (the “Annual Report on Form 10-K”) filed with the Securities and Exchange Commission (“SEC”) on March 14, 2024. Additionally, our historical results are not necessarily indicative of the results that may be expected for any period in the future.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more than 708,000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i/>
          <w:color w:val="000000"/>
          <w:sz w:val="20"/>
        </w:rPr>
        <w:t xml:space="preserve">Business Management Software: </w:t>
      </w:r>
      <w:r>
        <w:rPr>
          <w:rFonts w:ascii="Times New Roman;sans-serif" w:hAnsi="Times New Roman;sans-serif"/>
          <w:b w:val="false"/>
          <w:color w:val="000000"/>
          <w:sz w:val="20"/>
        </w:rPr>
        <w:t xml:space="preserve">Our vertically-tailored Business Management Software is the system of action at the center of a service business’s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i/>
          <w:color w:val="000000"/>
          <w:sz w:val="20"/>
        </w:rPr>
        <w:t xml:space="preserve">Billing &amp; Payment Solutions: </w:t>
      </w:r>
      <w:r>
        <w:rPr>
          <w:rFonts w:ascii="Times New Roman;sans-serif" w:hAnsi="Times New Roman;sans-serif"/>
          <w:b w:val="false"/>
          <w:color w:val="000000"/>
          <w:sz w:val="20"/>
        </w:rPr>
        <w:t xml:space="preserve">Our Billing &amp; Payment Solutions provide integrated payments, billing and invoicing automation and business 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i/>
          <w:color w:val="000000"/>
          <w:sz w:val="20"/>
        </w:rPr>
        <w:t xml:space="preserve">Customer Experience Solutions: </w:t>
      </w:r>
      <w:r>
        <w:rPr>
          <w:rFonts w:ascii="Times New Roman;sans-serif" w:hAnsi="Times New Roman;sans-serif"/>
          <w:b w:val="false"/>
          <w:color w:val="000000"/>
          <w:sz w:val="20"/>
        </w:rPr>
        <w:t>Our Customer Experience Solutions modernize how businesses engage and interact with customers by 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(“VoC”) insights and manage the customer experience lifecycle. These applications include: customer health scoring, customer support systems, real-time alerts, Net Promoter Score-based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i/>
          <w:color w:val="000000"/>
          <w:sz w:val="20"/>
        </w:rPr>
        <w:t xml:space="preserve">Marketing Technology Solutions: </w:t>
      </w:r>
      <w:r>
        <w:rPr>
          <w:rFonts w:ascii="Times New Roman;sans-serif" w:hAnsi="Times New Roman;sans-serif"/>
          <w:b w:val="false"/>
          <w:color w:val="000000"/>
          <w:sz w:val="20"/>
        </w:rPr>
        <w:t>Our Marketing Technology Solutions work with our Customer Experience Solutions to help customers build their 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benefits from attractive unit economics. Approximately 97% of our revenue in the three months ended March 31, 2024 and 2023 was recurring or re-occurring, and we maintained an annualized net pro forma revenue retention rate of approximately 93% for the quarter ended March 31, 2024. Excluding our marketing technology solutions, our annualized net revenue retention rate for our core software and payments solutions was approximately 99% for the three months ended March 31, 2024.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monthly net pro forma revenue retention rate for a particular month as the recurring or re-occurring revenue gained/lost from existing customers, less the recurring or re-occurring revenue lost from cancelled customers, as a percentage of total recurring or re-occurring revenue 12 months prior, divided by 12.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2023 is the difference between the recurring or re-occurring revenue generated in November 2023 and the same such revenue generated in November 2022, for customers with a start date prior to December 1, 2022 and no end date or cancelled relationship on or after November 1, 2023.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2023 is the difference between the recurring or re-occurring revenue generated in November 2023 and the same such revenue generated in November 2022, for customers that cancelled on or after November 1, 2022 and before November 1, 2023. Net pro forma revenue retention is calculated as if acquisitions and dispositions that were closed during the prior period presented were closed on the first day of such period presented. Our calculation of net pro forma revenue retention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net pro forma revenue retention rate may differ from similarly titled metrics presented by other companies.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Sale of Fitness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we entered into definitive sale and purchase agreements to sell our fitness solutions to Jonas Software (see Note 4. Disposition and Held for Sale in this Quarterly Report on Form 10-Q). The sale of North American Fitness closed simultaneously with signing. The sale of UK Fitness is subject to customer closing conditions and regulatory approval by the Financial Conduct Authority and is expected to close during the third quarter of 2024. The assets and liabilities of the UK Fitness disposal group are classified as held for sale and presented within other current assets and other current liabilities on our unaudited condensed consolidated balance sheets as of March 31, 2024. The divestiture did not qualify for reporting as a discontinued operation. As a result, our unaudited condensed consolidated financial statements include the results of North American Fitness for all periods through the date of sale, while the UK Fitness results are included in our results of operations. In connection with the sale of North American Fitness and the classification of assets and liabilities of UK Fitness as held for sale, we recognized a a loss of $4.8 million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disposal of North American Fitness, a goodwill impairment charge of $3.4 million representing the allocated goodwill to North American Fitness and a loss on assets held for sale of $2.6 million related to UK Fitness during the three months ended March 31, 2024, which are included within loss on held for sale and impairments on our unaudited condensed consolidated statements of operations and comprehensive loss.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Impact of Macroeconomic Climate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macroeconomic climate continues to see pressure from global developments such as international geopolitical conflict, terrorism,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20" w:after="283"/>
        <w:jc w:val="both"/>
        <w:rPr/>
      </w:pPr>
      <w:r>
        <w:rPr>
          <w:rFonts w:ascii="Times New Roman;sans-serif" w:hAnsi="Times New Roman;sans-serif"/>
          <w:b w:val="false"/>
          <w:color w:val="000000"/>
          <w:sz w:val="20"/>
        </w:rPr>
        <w:t xml:space="preserve">We believe that our performance and future success depends on a number of factors that present significant opportunities for us but also pose risks and challenges. For discussion of these factors, please see “Part II, Item 7. </w:t>
      </w:r>
      <w:r>
        <w:rPr>
          <w:color w:val="000000"/>
        </w:rPr>
        <w:t>“</w:t>
      </w:r>
      <w:r>
        <w:rPr>
          <w:rFonts w:ascii="Times New Roman;sans-serif" w:hAnsi="Times New Roman;sans-serif"/>
          <w:b w:val="false"/>
          <w:i/>
          <w:color w:val="000000"/>
          <w:sz w:val="20"/>
        </w:rPr>
        <w:t xml:space="preserve">Management’s Discussion and Analysis of Financial Condition and Results of Operations – </w:t>
      </w:r>
      <w:r>
        <w:rPr>
          <w:color w:val="000000"/>
        </w:rPr>
        <w:t>“</w:t>
      </w:r>
      <w:r>
        <w:rPr>
          <w:rFonts w:ascii="Times New Roman;sans-serif" w:hAnsi="Times New Roman;sans-serif"/>
          <w:b w:val="false"/>
          <w:color w:val="000000"/>
          <w:sz w:val="20"/>
        </w:rPr>
        <w:t xml:space="preserve">Key Factors Affecting Our Performance” included in our Annual Report on Form 10-K. For a discussion about why we consider our Non-GAAP measures useful and a discussion of the material risks and limitations of such measures, please see Part II, Item 7. </w:t>
      </w:r>
      <w:r>
        <w:rPr>
          <w:color w:val="000000"/>
        </w:rPr>
        <w:t>“</w:t>
      </w:r>
      <w:r>
        <w:rPr>
          <w:rFonts w:ascii="Times New Roman;sans-serif" w:hAnsi="Times New Roman;sans-serif"/>
          <w:b w:val="false"/>
          <w:i/>
          <w:color w:val="000000"/>
          <w:sz w:val="20"/>
        </w:rPr>
        <w:t>Management’s Discussion and Analysis of Financial Condition and Results of Operations – Key Business and Financial Metrics – Non-GAAP Financial Measures”</w:t>
      </w:r>
      <w:r>
        <w:rPr>
          <w:color w:val="000000"/>
        </w:rPr>
        <w:t xml:space="preserve"> </w:t>
      </w:r>
      <w:r>
        <w:rPr>
          <w:rFonts w:ascii="Times New Roman;sans-serif" w:hAnsi="Times New Roman;sans-serif"/>
          <w:b w:val="false"/>
          <w:color w:val="000000"/>
          <w:sz w:val="20"/>
        </w:rPr>
        <w:t>included in our Annual Report on Form 10-K filed on March 14, 2024.</w:t>
      </w:r>
    </w:p>
    <w:p>
      <w:pPr>
        <w:pStyle w:val="TextBody"/>
        <w:bidi w:val="0"/>
        <w:spacing w:lineRule="auto" w:line="288" w:before="120" w:after="283"/>
        <w:jc w:val="both"/>
        <w:rPr/>
      </w:pPr>
      <w:r>
        <w:rPr>
          <w:rFonts w:ascii="Times New Roman;sans-serif" w:hAnsi="Times New Roman;sans-serif"/>
          <w:b/>
          <w:color w:val="000000"/>
          <w:sz w:val="20"/>
        </w:rPr>
        <w:t>Key Business and Financial Metrics (Non-GAAP Financial Measures</w:t>
      </w:r>
      <w:r>
        <w:rPr>
          <w:rFonts w:ascii="Times New Roman;sans-serif" w:hAnsi="Times New Roman;sans-serif"/>
          <w:b/>
          <w:i/>
          <w:color w:val="000000"/>
          <w:sz w:val="20"/>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and measures of performance determined in accordance with generally accepted accounting principles in the United States (“GAAP”), we believe the following key business and non-GAAP financial measures are useful in evaluating and comparing our financial and operational performance over multiple periods, identifying trends affecting our business, formulating business plans and making strategic decisions.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 Forma Revenue Growth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 Forma Revenue Growth Rate is a key performance measure that our management uses to assess our consolidated operating performance over time. Management also uses this metric for planning and forecasting purposes.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year-over-year Pro Forma Revenue Growth Rate is calculated as though all acquisitions and divestitures completed as of the end of the latest period were completed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and held for sale assets for the reporting periods prior to the date of divestiture, and then calculate our revenue growth rate between the two reported periods. As a result, Pro Forma Revenue Growth Rate includes pro forma revenue from businesses acquired and excludes revenue from businesses divested of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 Forma Revenue Growth rate was 5.7% for the three months ended March 31, 2024, reflective of the underlying growth in our business including new customers and providing more solutions to existing customers.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Gross Profit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gross profit, the most directly comparable financial measure calculated in accordance with GAAP, to Adjusted Gross Profit on a consolidated basis.</w:t>
      </w:r>
    </w:p>
    <w:tbl>
      <w:tblPr>
        <w:tblW w:w="10205" w:type="dxa"/>
        <w:jc w:val="left"/>
        <w:tblInd w:w="0" w:type="dxa"/>
        <w:tblLayout w:type="fixed"/>
        <w:tblCellMar>
          <w:top w:w="28" w:type="dxa"/>
          <w:left w:w="28" w:type="dxa"/>
          <w:bottom w:w="28" w:type="dxa"/>
          <w:right w:w="28" w:type="dxa"/>
        </w:tblCellMar>
      </w:tblPr>
      <w:tblGrid>
        <w:gridCol w:w="1471"/>
        <w:gridCol w:w="1288"/>
        <w:gridCol w:w="1298"/>
        <w:gridCol w:w="109"/>
        <w:gridCol w:w="109"/>
        <w:gridCol w:w="109"/>
        <w:gridCol w:w="109"/>
        <w:gridCol w:w="484"/>
        <w:gridCol w:w="484"/>
        <w:gridCol w:w="485"/>
        <w:gridCol w:w="109"/>
        <w:gridCol w:w="211"/>
        <w:gridCol w:w="826"/>
        <w:gridCol w:w="109"/>
        <w:gridCol w:w="109"/>
        <w:gridCol w:w="109"/>
        <w:gridCol w:w="109"/>
        <w:gridCol w:w="211"/>
        <w:gridCol w:w="826"/>
        <w:gridCol w:w="109"/>
        <w:gridCol w:w="109"/>
        <w:gridCol w:w="109"/>
        <w:gridCol w:w="109"/>
        <w:gridCol w:w="211"/>
        <w:gridCol w:w="616"/>
        <w:gridCol w:w="109"/>
        <w:gridCol w:w="109"/>
        <w:gridCol w:w="159"/>
      </w:tblGrid>
      <w:tr>
        <w:trPr/>
        <w:tc>
          <w:tcPr>
            <w:tcW w:w="147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004" w:type="dxa"/>
            <w:gridSpan w:val="14"/>
            <w:tcBorders/>
          </w:tcPr>
          <w:p>
            <w:pPr>
              <w:pStyle w:val="TableContents"/>
              <w:bidi w:val="0"/>
              <w:spacing w:before="0" w:after="283"/>
              <w:jc w:val="left"/>
              <w:rPr>
                <w:sz w:val="4"/>
                <w:szCs w:val="4"/>
              </w:rPr>
            </w:pPr>
            <w:r>
              <w:rPr>
                <w:sz w:val="4"/>
                <w:szCs w:val="4"/>
              </w:rPr>
            </w:r>
          </w:p>
        </w:tc>
      </w:tr>
      <w:tr>
        <w:trPr/>
        <w:tc>
          <w:tcPr>
            <w:tcW w:w="405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4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allocated to 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calculated as net loss adjusted to exclude interest and other expense, net, income tax expense (benefit), depreciation and amortization, other amortization, stock-based compensation, and transaction-related and other non-recurring costs. Other amortization includes amortization for capitalized contract acquisition costs. Transaction-related costs are specific deal-related costs such as legal fees, financial and tax due diligence, consulting and escrow fees. Other non-recurring costs are expenses such as impairment charges, (gains) losses from disposition and assets held for sale, system implementation costs, severance expense related to planned restructuring activities, and costs associated with integration and transformation improvements. Transaction-related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loss, the most directly comparable financial measure calculated in accordance with GAAP, to Adjusted EBITDA on a consolidated basis.</w:t>
      </w:r>
    </w:p>
    <w:tbl>
      <w:tblPr>
        <w:tblW w:w="10205" w:type="dxa"/>
        <w:jc w:val="left"/>
        <w:tblInd w:w="0" w:type="dxa"/>
        <w:tblLayout w:type="fixed"/>
        <w:tblCellMar>
          <w:top w:w="28" w:type="dxa"/>
          <w:left w:w="28" w:type="dxa"/>
          <w:bottom w:w="28" w:type="dxa"/>
          <w:right w:w="28" w:type="dxa"/>
        </w:tblCellMar>
      </w:tblPr>
      <w:tblGrid>
        <w:gridCol w:w="1444"/>
        <w:gridCol w:w="1222"/>
        <w:gridCol w:w="1253"/>
        <w:gridCol w:w="109"/>
        <w:gridCol w:w="109"/>
        <w:gridCol w:w="109"/>
        <w:gridCol w:w="109"/>
        <w:gridCol w:w="553"/>
        <w:gridCol w:w="553"/>
        <w:gridCol w:w="554"/>
        <w:gridCol w:w="109"/>
        <w:gridCol w:w="211"/>
        <w:gridCol w:w="791"/>
        <w:gridCol w:w="109"/>
        <w:gridCol w:w="109"/>
        <w:gridCol w:w="109"/>
        <w:gridCol w:w="109"/>
        <w:gridCol w:w="211"/>
        <w:gridCol w:w="791"/>
        <w:gridCol w:w="109"/>
        <w:gridCol w:w="109"/>
        <w:gridCol w:w="109"/>
        <w:gridCol w:w="109"/>
        <w:gridCol w:w="211"/>
        <w:gridCol w:w="616"/>
        <w:gridCol w:w="109"/>
        <w:gridCol w:w="109"/>
        <w:gridCol w:w="160"/>
      </w:tblGrid>
      <w:tr>
        <w:trPr/>
        <w:tc>
          <w:tcPr>
            <w:tcW w:w="144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970" w:type="dxa"/>
            <w:gridSpan w:val="14"/>
            <w:tcBorders/>
          </w:tcPr>
          <w:p>
            <w:pPr>
              <w:pStyle w:val="TableContents"/>
              <w:bidi w:val="0"/>
              <w:spacing w:before="0" w:after="283"/>
              <w:jc w:val="left"/>
              <w:rPr>
                <w:sz w:val="4"/>
                <w:szCs w:val="4"/>
              </w:rPr>
            </w:pPr>
            <w:r>
              <w:rPr>
                <w:sz w:val="4"/>
                <w:szCs w:val="4"/>
              </w:rPr>
            </w:r>
          </w:p>
        </w:tc>
      </w:tr>
      <w:tr>
        <w:trPr/>
        <w:tc>
          <w:tcPr>
            <w:tcW w:w="3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69" w:type="dxa"/>
            <w:gridSpan w:val="2"/>
            <w:tcBorders/>
          </w:tcPr>
          <w:p>
            <w:pPr>
              <w:pStyle w:val="TableContents"/>
              <w:bidi w:val="0"/>
              <w:spacing w:before="0" w:after="283"/>
              <w:jc w:val="left"/>
              <w:rPr>
                <w:sz w:val="4"/>
                <w:szCs w:val="4"/>
              </w:rPr>
            </w:pPr>
            <w:r>
              <w:rPr>
                <w:sz w:val="4"/>
                <w:szCs w:val="4"/>
              </w:rPr>
            </w:r>
          </w:p>
        </w:tc>
      </w:tr>
      <w:tr>
        <w:trPr/>
        <w:tc>
          <w:tcPr>
            <w:tcW w:w="3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and other non-recurring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Description of Certain Components of Financial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our accounting policies, see Note 2. Summary of Significant Accounting Policies in the notes to the consolidated financial statements included in our Annual Report on Form 10-K.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pPr>
      <w:r>
        <w:rPr>
          <w:rFonts w:ascii="Times New Roman;sans-serif" w:hAnsi="Times New Roman;sans-serif"/>
          <w:b w:val="false"/>
          <w:color w:val="000000"/>
          <w:sz w:val="20"/>
        </w:rPr>
        <w:t xml:space="preserve">recognition policies are discussed in more detail below under </w:t>
      </w:r>
      <w:r>
        <w:rPr>
          <w:color w:val="000000"/>
        </w:rPr>
        <w:t>“</w:t>
      </w:r>
      <w:r>
        <w:rPr>
          <w:rFonts w:ascii="Times New Roman;sans-serif" w:hAnsi="Times New Roman;sans-serif"/>
          <w:b w:val="false"/>
          <w:i/>
          <w:color w:val="000000"/>
          <w:sz w:val="20"/>
        </w:rPr>
        <w:t>Critical Accounting Policies and Significant Judgments and Estimates.”</w:t>
      </w:r>
    </w:p>
    <w:p>
      <w:pPr>
        <w:pStyle w:val="TextBody"/>
        <w:bidi w:val="0"/>
        <w:spacing w:lineRule="auto" w:line="288" w:before="120" w:after="283"/>
        <w:jc w:val="both"/>
        <w:rPr/>
      </w:pPr>
      <w:r>
        <w:rPr>
          <w:rFonts w:ascii="Times New Roman;sans-serif" w:hAnsi="Times New Roman;sans-serif"/>
          <w:b w:val="false"/>
          <w:i/>
          <w:color w:val="000000"/>
          <w:sz w:val="20"/>
        </w:rPr>
        <w:t>Subscription and Transaction Fees</w:t>
      </w:r>
      <w:r>
        <w:rPr>
          <w:rFonts w:ascii="Times New Roman;sans-serif" w:hAnsi="Times New Roman;sans-serif"/>
          <w:b w:val="false"/>
          <w:color w:val="000000"/>
          <w:sz w:val="20"/>
        </w:rPr>
        <w:t xml:space="preserve">: Revenue includes (i) recurring monthly, quarterly and annual SaaS subscriptions and software license and maintenance fees from the sale of our Business Management, Customer Experience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 </w:t>
      </w:r>
    </w:p>
    <w:p>
      <w:pPr>
        <w:pStyle w:val="TextBody"/>
        <w:bidi w:val="0"/>
        <w:spacing w:lineRule="auto" w:line="288" w:before="120" w:after="283"/>
        <w:jc w:val="both"/>
        <w:rPr/>
      </w:pPr>
      <w:r>
        <w:rPr>
          <w:rFonts w:ascii="Times New Roman;sans-serif" w:hAnsi="Times New Roman;sans-serif"/>
          <w:b w:val="false"/>
          <w:i/>
          <w:color w:val="000000"/>
          <w:sz w:val="20"/>
        </w:rPr>
        <w:t>Marketing Technology Solutions:</w:t>
      </w:r>
      <w:r>
        <w:rPr>
          <w:color w:val="000000"/>
        </w:rPr>
        <w:t xml:space="preserve"> </w:t>
      </w:r>
      <w:r>
        <w:rPr>
          <w:rFonts w:ascii="Times New Roman;sans-serif" w:hAnsi="Times New Roman;sans-serif"/>
          <w:b w:val="false"/>
          <w:color w:val="000000"/>
          <w:sz w:val="20"/>
        </w:rPr>
        <w:t>Revenue includes (i) recurring revenues for managing digital advertising programs on behalf of our customers including website hosting, search engine management and optimization, social media management and blog automation; and (ii) re-occurring fees paid by service professionals for consumer leads generated by our various platforms.</w:t>
      </w:r>
    </w:p>
    <w:p>
      <w:pPr>
        <w:pStyle w:val="TextBody"/>
        <w:bidi w:val="0"/>
        <w:spacing w:lineRule="auto" w:line="288" w:before="120" w:after="283"/>
        <w:jc w:val="both"/>
        <w:rPr/>
      </w:pPr>
      <w:r>
        <w:rPr>
          <w:rFonts w:ascii="Times New Roman;sans-serif" w:hAnsi="Times New Roman;sans-serif"/>
          <w:b w:val="false"/>
          <w:i/>
          <w:color w:val="000000"/>
          <w:sz w:val="20"/>
        </w:rPr>
        <w:t>Other</w:t>
      </w:r>
      <w:r>
        <w:rPr>
          <w:rFonts w:ascii="Times New Roman;sans-serif" w:hAnsi="Times New Roman;sans-serif"/>
          <w:b w:val="false"/>
          <w:color w:val="000000"/>
          <w:sz w:val="20"/>
        </w:rPr>
        <w:t xml:space="preserve">: Revenue includes (i) consulting, implementation, training and other professional services; (ii) website development; (iii) revenue from various business development partnerships; (iv) event income; and (v) hardware sales related to our business management or payment software solutions.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and dispositions. In particular, marketing technology solutions revenue generally has a higher cost of revenue as a percentage of revenue than our subscription and transaction fee revenue. For the three months ended March 31, 2024, revenue from subscription and transaction fees increased 8.8%, and revenue from marketing technology solutions decreased 4.7% compared to the prior year period. To the extent our marketing technology solutions revenue grows at a faster rate, whether by acquisition or otherwise, than our subscription and transaction fees revenue, it could negatively impact our cost of revenues as a percentage of revenue.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for the foreseeable future as we continue to increase investments to support our growth.</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Product Development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for the foreseeable future as we continue to dedicate substantial resources to develop, improve and expand the functionality of our solutions.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primarily relate to intangible assets, property and equipment and capitalized software.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Loss on Held for Sale and Impairments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on held for sale represents the measurement of the UK Fitness disposal group at the lower of its carrying value or fair value less costs to sell in the period the held for sale criteria are met, and subsequent remeasurement each reporting period the disposal group remains classified as held for sale. Impairments include a goodwill impairment charge representing the allocated goodwill to North American Fitness, and a loss on disposition from the sale of North American Fitness representing the difference between the consideration received and the net carrying amount of the assets sold and transaction costs (see Note 4. Disposition and Held for Sale in this Quarterly Report on Form 10-Q). Impairments also include operating lease impairments related to the Company’s decision to cease use of certain leased premises and sublease certain facilities.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and Other Expense,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key components of our results of operations for the periods presented. The period-to-period comparisons of our historical results are not necessarily indicative of our results of operations that may be expected in the future. The following comparative information for results of operations includes the results of North American Fitness for all periods through the date of sale.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2024 and 2023</w:t>
      </w:r>
    </w:p>
    <w:tbl>
      <w:tblPr>
        <w:tblW w:w="10205" w:type="dxa"/>
        <w:jc w:val="left"/>
        <w:tblInd w:w="0" w:type="dxa"/>
        <w:tblLayout w:type="fixed"/>
        <w:tblCellMar>
          <w:top w:w="28" w:type="dxa"/>
          <w:left w:w="28" w:type="dxa"/>
          <w:bottom w:w="28" w:type="dxa"/>
          <w:right w:w="28" w:type="dxa"/>
        </w:tblCellMar>
      </w:tblPr>
      <w:tblGrid>
        <w:gridCol w:w="1536"/>
        <w:gridCol w:w="1334"/>
        <w:gridCol w:w="1349"/>
        <w:gridCol w:w="109"/>
        <w:gridCol w:w="109"/>
        <w:gridCol w:w="109"/>
        <w:gridCol w:w="109"/>
        <w:gridCol w:w="395"/>
        <w:gridCol w:w="395"/>
        <w:gridCol w:w="396"/>
        <w:gridCol w:w="109"/>
        <w:gridCol w:w="211"/>
        <w:gridCol w:w="826"/>
        <w:gridCol w:w="109"/>
        <w:gridCol w:w="109"/>
        <w:gridCol w:w="109"/>
        <w:gridCol w:w="109"/>
        <w:gridCol w:w="211"/>
        <w:gridCol w:w="826"/>
        <w:gridCol w:w="109"/>
        <w:gridCol w:w="109"/>
        <w:gridCol w:w="109"/>
        <w:gridCol w:w="109"/>
        <w:gridCol w:w="211"/>
        <w:gridCol w:w="721"/>
        <w:gridCol w:w="109"/>
        <w:gridCol w:w="109"/>
        <w:gridCol w:w="159"/>
      </w:tblGrid>
      <w:tr>
        <w:trPr/>
        <w:tc>
          <w:tcPr>
            <w:tcW w:w="153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109" w:type="dxa"/>
            <w:gridSpan w:val="14"/>
            <w:tcBorders/>
          </w:tcPr>
          <w:p>
            <w:pPr>
              <w:pStyle w:val="TableContents"/>
              <w:bidi w:val="0"/>
              <w:spacing w:before="0" w:after="283"/>
              <w:jc w:val="left"/>
              <w:rPr>
                <w:sz w:val="4"/>
                <w:szCs w:val="4"/>
              </w:rPr>
            </w:pPr>
            <w:r>
              <w:rPr>
                <w:sz w:val="4"/>
                <w:szCs w:val="4"/>
              </w:rPr>
            </w:r>
          </w:p>
        </w:tc>
      </w:tr>
      <w:tr>
        <w:trPr/>
        <w:tc>
          <w:tcPr>
            <w:tcW w:w="42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4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technology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Cost of revenues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(exclusive of depreciation and amortization presented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Product development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held for sale and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w:t>
      </w:r>
    </w:p>
    <w:tbl>
      <w:tblPr>
        <w:tblW w:w="9534" w:type="dxa"/>
        <w:jc w:val="left"/>
        <w:tblInd w:w="0" w:type="dxa"/>
        <w:tblLayout w:type="fixed"/>
        <w:tblCellMar>
          <w:top w:w="28" w:type="dxa"/>
          <w:left w:w="28" w:type="dxa"/>
          <w:bottom w:w="28" w:type="dxa"/>
          <w:right w:w="28" w:type="dxa"/>
        </w:tblCellMar>
      </w:tblPr>
      <w:tblGrid>
        <w:gridCol w:w="1246"/>
        <w:gridCol w:w="1100"/>
        <w:gridCol w:w="1104"/>
        <w:gridCol w:w="109"/>
        <w:gridCol w:w="109"/>
        <w:gridCol w:w="109"/>
        <w:gridCol w:w="109"/>
        <w:gridCol w:w="579"/>
        <w:gridCol w:w="579"/>
        <w:gridCol w:w="581"/>
        <w:gridCol w:w="109"/>
        <w:gridCol w:w="211"/>
        <w:gridCol w:w="616"/>
        <w:gridCol w:w="109"/>
        <w:gridCol w:w="109"/>
        <w:gridCol w:w="109"/>
        <w:gridCol w:w="109"/>
        <w:gridCol w:w="211"/>
        <w:gridCol w:w="616"/>
        <w:gridCol w:w="109"/>
        <w:gridCol w:w="109"/>
        <w:gridCol w:w="109"/>
        <w:gridCol w:w="109"/>
        <w:gridCol w:w="211"/>
        <w:gridCol w:w="691"/>
        <w:gridCol w:w="109"/>
        <w:gridCol w:w="109"/>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864" w:type="dxa"/>
            <w:gridSpan w:val="14"/>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2024 and 2023 (percentage of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key components of operating costs within our results of operations as a percentage of revenue for the three months ended March 31, 2024 compared to the same period in 2023.</w:t>
      </w:r>
    </w:p>
    <w:tbl>
      <w:tblPr>
        <w:tblW w:w="10205" w:type="dxa"/>
        <w:jc w:val="left"/>
        <w:tblInd w:w="0" w:type="dxa"/>
        <w:tblLayout w:type="fixed"/>
        <w:tblCellMar>
          <w:top w:w="28" w:type="dxa"/>
          <w:left w:w="28" w:type="dxa"/>
          <w:bottom w:w="28" w:type="dxa"/>
          <w:right w:w="28" w:type="dxa"/>
        </w:tblCellMar>
      </w:tblPr>
      <w:tblGrid>
        <w:gridCol w:w="2389"/>
        <w:gridCol w:w="2049"/>
        <w:gridCol w:w="2063"/>
        <w:gridCol w:w="307"/>
        <w:gridCol w:w="309"/>
        <w:gridCol w:w="390"/>
        <w:gridCol w:w="139"/>
        <w:gridCol w:w="139"/>
        <w:gridCol w:w="139"/>
        <w:gridCol w:w="307"/>
        <w:gridCol w:w="309"/>
        <w:gridCol w:w="390"/>
        <w:gridCol w:w="109"/>
        <w:gridCol w:w="109"/>
        <w:gridCol w:w="109"/>
        <w:gridCol w:w="234"/>
        <w:gridCol w:w="236"/>
        <w:gridCol w:w="478"/>
      </w:tblGrid>
      <w:tr>
        <w:trPr/>
        <w:tc>
          <w:tcPr>
            <w:tcW w:w="238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65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275" w:type="dxa"/>
            <w:gridSpan w:val="6"/>
            <w:tcBorders/>
          </w:tcPr>
          <w:p>
            <w:pPr>
              <w:pStyle w:val="TableContents"/>
              <w:bidi w:val="0"/>
              <w:spacing w:before="0" w:after="283"/>
              <w:jc w:val="left"/>
              <w:rPr>
                <w:sz w:val="4"/>
                <w:szCs w:val="4"/>
              </w:rPr>
            </w:pPr>
            <w:r>
              <w:rPr>
                <w:sz w:val="4"/>
                <w:szCs w:val="4"/>
              </w:rPr>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presented separately below)</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held for sale and impairments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revenue growth remains a key focus, we remain committed to continued expansion of gross margin, net income and Adjusted EBITDA through ongoing transformation initiatives. As a percentage of revenue, cost of revenues declined from 34.7% to 33.4%, an improvement of approximately 130 basis points resulting in higher gross margin. Additionally, the combination of cost of revenue, sales and marketing, product development and general and administrative costs declined from 86.5% to 82.6%, an improvement of approximately 390 basis points. A discussion on primary drivers of cost reductions resulting in improved margin follows in the subsequent sections.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tbl>
      <w:tblPr>
        <w:tblW w:w="9556" w:type="dxa"/>
        <w:jc w:val="left"/>
        <w:tblInd w:w="0" w:type="dxa"/>
        <w:tblLayout w:type="fixed"/>
        <w:tblCellMar>
          <w:top w:w="28" w:type="dxa"/>
          <w:left w:w="28" w:type="dxa"/>
          <w:bottom w:w="28" w:type="dxa"/>
          <w:right w:w="28" w:type="dxa"/>
        </w:tblCellMar>
      </w:tblPr>
      <w:tblGrid>
        <w:gridCol w:w="1014"/>
        <w:gridCol w:w="890"/>
        <w:gridCol w:w="900"/>
        <w:gridCol w:w="109"/>
        <w:gridCol w:w="109"/>
        <w:gridCol w:w="109"/>
        <w:gridCol w:w="109"/>
        <w:gridCol w:w="579"/>
        <w:gridCol w:w="579"/>
        <w:gridCol w:w="581"/>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322" w:type="dxa"/>
            <w:gridSpan w:val="1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technology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Revenues increased $9.0 million, or 5.6%, for the three months ended March 31, 2024, as compared to the same period in 2023.</w:t>
      </w:r>
      <w:r>
        <w:rPr>
          <w:color w:val="000000"/>
        </w:rPr>
        <w:t xml:space="preserve"> </w:t>
      </w:r>
      <w:r>
        <w:rPr>
          <w:rFonts w:ascii="Times New Roman;sans-serif" w:hAnsi="Times New Roman;sans-serif"/>
          <w:b w:val="false"/>
          <w:color w:val="000000"/>
          <w:sz w:val="20"/>
        </w:rPr>
        <w:t>This increase was driven primarily by an $8.3 million increase from subscription and transaction revenues due to an expansion in our number of customers and certain price increases across our portfolio. Total revenue includes revenue from our fitness solutions (see Note 4. Disposition and Held for Sale in this Quarterly Report on Form 10-Q), of $5.4 million and $6.0 million for the three months ended March 31, 2024 and 2023, respectively. Additionally, there was a $2.6 million increase due to higher transaction volumes processed through our payment platforms. The decline in marketing technology solutions revenues of $1.5 million resulted primarily from a reduction in demand driven by decreases in consumer spending. The decline in other revenue of $0.4 million was driven by revenue related to project implementation services during the three months ended March 31, 2023, which did not recur in the current year. The majority of our revenue growth is attributable to the successful delivery of system of action capabilities to our SMBs in our verticals of home services, health and wellness.</w:t>
      </w:r>
      <w:r>
        <w:rPr>
          <w:color w:val="000000"/>
        </w:rPr>
        <w:t xml:space="preserve"> </w:t>
      </w:r>
      <w:r>
        <w:rPr>
          <w:rFonts w:ascii="Times New Roman;sans-serif" w:hAnsi="Times New Roman;sans-serif"/>
          <w:b w:val="false"/>
          <w:color w:val="000000"/>
          <w:sz w:val="20"/>
        </w:rPr>
        <w:t>The growth of revenue from subscription and transaction fees was 8.8%, partially offset by a reduction in marketing technology solutions and other revenues, which have experienced more volatility in revenue generation than the delivery of services through system of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tbl>
      <w:tblPr>
        <w:tblW w:w="10205" w:type="dxa"/>
        <w:jc w:val="left"/>
        <w:tblInd w:w="0" w:type="dxa"/>
        <w:tblLayout w:type="fixed"/>
        <w:tblCellMar>
          <w:top w:w="28" w:type="dxa"/>
          <w:left w:w="28" w:type="dxa"/>
          <w:bottom w:w="28" w:type="dxa"/>
          <w:right w:w="28" w:type="dxa"/>
        </w:tblCellMar>
      </w:tblPr>
      <w:tblGrid>
        <w:gridCol w:w="1647"/>
        <w:gridCol w:w="1447"/>
        <w:gridCol w:w="1451"/>
        <w:gridCol w:w="109"/>
        <w:gridCol w:w="109"/>
        <w:gridCol w:w="109"/>
        <w:gridCol w:w="109"/>
        <w:gridCol w:w="421"/>
        <w:gridCol w:w="421"/>
        <w:gridCol w:w="422"/>
        <w:gridCol w:w="109"/>
        <w:gridCol w:w="347"/>
        <w:gridCol w:w="337"/>
        <w:gridCol w:w="339"/>
        <w:gridCol w:w="109"/>
        <w:gridCol w:w="109"/>
        <w:gridCol w:w="109"/>
        <w:gridCol w:w="229"/>
        <w:gridCol w:w="336"/>
        <w:gridCol w:w="340"/>
        <w:gridCol w:w="109"/>
        <w:gridCol w:w="109"/>
        <w:gridCol w:w="109"/>
        <w:gridCol w:w="211"/>
        <w:gridCol w:w="466"/>
        <w:gridCol w:w="109"/>
        <w:gridCol w:w="109"/>
        <w:gridCol w:w="109"/>
        <w:gridCol w:w="109"/>
        <w:gridCol w:w="156"/>
      </w:tblGrid>
      <w:tr>
        <w:trPr/>
        <w:tc>
          <w:tcPr>
            <w:tcW w:w="16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828" w:type="dxa"/>
            <w:gridSpan w:val="16"/>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83" w:type="dxa"/>
            <w:gridSpan w:val="4"/>
            <w:tcBorders/>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presented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Cost of revenues increased by $0.8 million, or 1.5%, for the three months ended March 31, 2024 as compared to the same period in 2023. The increase is primarily comprised of</w:t>
      </w:r>
      <w:r>
        <w:rPr>
          <w:color w:val="000000"/>
        </w:rPr>
        <w:t xml:space="preserve"> </w:t>
      </w:r>
      <w:r>
        <w:rPr>
          <w:rFonts w:ascii="Times New Roman;sans-serif" w:hAnsi="Times New Roman;sans-serif"/>
          <w:b w:val="false"/>
          <w:color w:val="000000"/>
          <w:sz w:val="20"/>
        </w:rPr>
        <w:t>an additional $1.8 million of lead generation and ad spend subject to resale to customers, $1.3 million of outsourced services, $0.7 million of application programming interface fees, and $0.4 million of software hosting expenses, partially offset by a $1.7 million decrease in communication services and a $1.3 million decrease in personnel and compensation expense.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8112"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579"/>
        <w:gridCol w:w="579"/>
        <w:gridCol w:w="581"/>
        <w:gridCol w:w="109"/>
        <w:gridCol w:w="347"/>
        <w:gridCol w:w="337"/>
        <w:gridCol w:w="339"/>
        <w:gridCol w:w="109"/>
        <w:gridCol w:w="109"/>
        <w:gridCol w:w="109"/>
        <w:gridCol w:w="229"/>
        <w:gridCol w:w="336"/>
        <w:gridCol w:w="340"/>
        <w:gridCol w:w="109"/>
        <w:gridCol w:w="109"/>
        <w:gridCol w:w="109"/>
        <w:gridCol w:w="211"/>
        <w:gridCol w:w="691"/>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051" w:type="dxa"/>
            <w:gridSpan w:val="16"/>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by $1.1 million, or 3.7%, for the three months ended March 31, 2024 as compared to the same period in 2023. The decrease was driven primarily by a $0.7 million reduction in personnel and compensation expense and $0.3 million in partner/broker commissions.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Product Development</w:t>
      </w:r>
    </w:p>
    <w:tbl>
      <w:tblPr>
        <w:tblW w:w="7895"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109"/>
        <w:gridCol w:w="579"/>
        <w:gridCol w:w="579"/>
        <w:gridCol w:w="581"/>
        <w:gridCol w:w="109"/>
        <w:gridCol w:w="334"/>
        <w:gridCol w:w="298"/>
        <w:gridCol w:w="303"/>
        <w:gridCol w:w="109"/>
        <w:gridCol w:w="109"/>
        <w:gridCol w:w="109"/>
        <w:gridCol w:w="220"/>
        <w:gridCol w:w="298"/>
        <w:gridCol w:w="303"/>
        <w:gridCol w:w="109"/>
        <w:gridCol w:w="109"/>
        <w:gridCol w:w="109"/>
        <w:gridCol w:w="196"/>
        <w:gridCol w:w="556"/>
        <w:gridCol w:w="109"/>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817" w:type="dxa"/>
            <w:gridSpan w:val="16"/>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Product development expenses</w:t>
      </w:r>
      <w:r>
        <w:rPr>
          <w:color w:val="000000"/>
        </w:rPr>
        <w:t xml:space="preserve"> </w:t>
      </w:r>
      <w:r>
        <w:rPr>
          <w:rFonts w:ascii="Times New Roman;sans-serif" w:hAnsi="Times New Roman;sans-serif"/>
          <w:b w:val="false"/>
          <w:color w:val="000000"/>
          <w:sz w:val="20"/>
        </w:rPr>
        <w:t>increased by $1.5 million, or 8.0%, for the three months ended March 31, 2024 as compared to the same period in 2023. The increase was a result of continued investment in our technology and teams to support our various solutions as well as centralized security operations, information technology and cloud engineering, driven by an additional $0.8 million of personnel and compensation expense, $0.4 million of software and tools expense, and $0.4 million of outsourced services.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8303" w:type="dxa"/>
        <w:jc w:val="left"/>
        <w:tblInd w:w="0" w:type="dxa"/>
        <w:tblLayout w:type="fixed"/>
        <w:tblCellMar>
          <w:top w:w="28" w:type="dxa"/>
          <w:left w:w="28" w:type="dxa"/>
          <w:bottom w:w="28" w:type="dxa"/>
          <w:right w:w="28" w:type="dxa"/>
        </w:tblCellMar>
      </w:tblPr>
      <w:tblGrid>
        <w:gridCol w:w="837"/>
        <w:gridCol w:w="735"/>
        <w:gridCol w:w="737"/>
        <w:gridCol w:w="109"/>
        <w:gridCol w:w="109"/>
        <w:gridCol w:w="109"/>
        <w:gridCol w:w="109"/>
        <w:gridCol w:w="579"/>
        <w:gridCol w:w="579"/>
        <w:gridCol w:w="581"/>
        <w:gridCol w:w="109"/>
        <w:gridCol w:w="347"/>
        <w:gridCol w:w="337"/>
        <w:gridCol w:w="339"/>
        <w:gridCol w:w="109"/>
        <w:gridCol w:w="109"/>
        <w:gridCol w:w="109"/>
        <w:gridCol w:w="229"/>
        <w:gridCol w:w="336"/>
        <w:gridCol w:w="340"/>
        <w:gridCol w:w="109"/>
        <w:gridCol w:w="109"/>
        <w:gridCol w:w="109"/>
        <w:gridCol w:w="211"/>
        <w:gridCol w:w="218"/>
        <w:gridCol w:w="218"/>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687" w:type="dxa"/>
            <w:gridSpan w:val="1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General and administrative expenses</w:t>
      </w:r>
      <w:r>
        <w:rPr>
          <w:color w:val="000000"/>
        </w:rPr>
        <w:t xml:space="preserve"> </w:t>
      </w:r>
      <w:r>
        <w:rPr>
          <w:rFonts w:ascii="Times New Roman;sans-serif" w:hAnsi="Times New Roman;sans-serif"/>
          <w:b w:val="false"/>
          <w:color w:val="000000"/>
          <w:sz w:val="20"/>
        </w:rPr>
        <w:t>decreased by $0.1 million, or 0.2%, for the three months ended March 31, 2024 as compared to the same period in 2023. The decrease was driven primarily by a $1.9 million reduction in stock-based compensation expense, $0.6 million in facility expense, and $0.3 million in personnel and compensation expense, partially offset by a $2.4 million increase in professional fees primarily related to transformation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8952" w:type="dxa"/>
        <w:jc w:val="left"/>
        <w:tblInd w:w="0" w:type="dxa"/>
        <w:tblLayout w:type="fixed"/>
        <w:tblCellMar>
          <w:top w:w="28" w:type="dxa"/>
          <w:left w:w="28" w:type="dxa"/>
          <w:bottom w:w="28" w:type="dxa"/>
          <w:right w:w="28" w:type="dxa"/>
        </w:tblCellMar>
      </w:tblPr>
      <w:tblGrid>
        <w:gridCol w:w="939"/>
        <w:gridCol w:w="826"/>
        <w:gridCol w:w="829"/>
        <w:gridCol w:w="109"/>
        <w:gridCol w:w="109"/>
        <w:gridCol w:w="109"/>
        <w:gridCol w:w="109"/>
        <w:gridCol w:w="579"/>
        <w:gridCol w:w="579"/>
        <w:gridCol w:w="581"/>
        <w:gridCol w:w="109"/>
        <w:gridCol w:w="347"/>
        <w:gridCol w:w="337"/>
        <w:gridCol w:w="339"/>
        <w:gridCol w:w="109"/>
        <w:gridCol w:w="109"/>
        <w:gridCol w:w="109"/>
        <w:gridCol w:w="229"/>
        <w:gridCol w:w="336"/>
        <w:gridCol w:w="340"/>
        <w:gridCol w:w="109"/>
        <w:gridCol w:w="109"/>
        <w:gridCol w:w="109"/>
        <w:gridCol w:w="211"/>
        <w:gridCol w:w="691"/>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051" w:type="dxa"/>
            <w:gridSpan w:val="16"/>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decreased by $3.0 million, or 11.6%, for the three months ended March 31, 2024 as compared to the same period in 2023. The reduction in depreciation and amortization was driven primarily by the reduced rate of replacement assets resulting from a slowdown in business acquisitions. Specifically, these decreases were driven primarily by $3.8 million in intangible assets’ amortization, partially offset by $0.7 million of additional capitalized software amortization and $0.1 million of property and equipment depreciation.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Loss on Held for Sale and Impairments</w:t>
      </w:r>
    </w:p>
    <w:tbl>
      <w:tblPr>
        <w:tblW w:w="9463" w:type="dxa"/>
        <w:jc w:val="left"/>
        <w:tblInd w:w="0" w:type="dxa"/>
        <w:tblLayout w:type="fixed"/>
        <w:tblCellMar>
          <w:top w:w="28" w:type="dxa"/>
          <w:left w:w="28" w:type="dxa"/>
          <w:bottom w:w="28" w:type="dxa"/>
          <w:right w:w="28" w:type="dxa"/>
        </w:tblCellMar>
      </w:tblPr>
      <w:tblGrid>
        <w:gridCol w:w="1152"/>
        <w:gridCol w:w="1011"/>
        <w:gridCol w:w="1017"/>
        <w:gridCol w:w="109"/>
        <w:gridCol w:w="109"/>
        <w:gridCol w:w="109"/>
        <w:gridCol w:w="109"/>
        <w:gridCol w:w="579"/>
        <w:gridCol w:w="579"/>
        <w:gridCol w:w="581"/>
        <w:gridCol w:w="109"/>
        <w:gridCol w:w="347"/>
        <w:gridCol w:w="337"/>
        <w:gridCol w:w="339"/>
        <w:gridCol w:w="109"/>
        <w:gridCol w:w="109"/>
        <w:gridCol w:w="109"/>
        <w:gridCol w:w="229"/>
        <w:gridCol w:w="284"/>
        <w:gridCol w:w="287"/>
        <w:gridCol w:w="109"/>
        <w:gridCol w:w="109"/>
        <w:gridCol w:w="109"/>
        <w:gridCol w:w="211"/>
        <w:gridCol w:w="721"/>
        <w:gridCol w:w="109"/>
        <w:gridCol w:w="109"/>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976" w:type="dxa"/>
            <w:gridSpan w:val="16"/>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held for sale and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on held for sale and impairments increased by $10.2 million as compared to the same period in 2023. In March 2024, we entered into definitive sale and purchase agreements to sell our fitness solutions (see Note 4. Disposition and Held for Sale in this Quarterly Report on Form 10-Q). The North American Fitness transaction resulted in a loss on disposal of $4.8 million and a goodwill impairment charge of $3.4 million representing allocated goodwill. Additionally, we recognized a loss on held for sale of $2.6 million during the three months ended March 31, 2024, which represents the measurement of the UK Fitness disposal group at fair value less costs to sell. We did not have similar expenses during the three months ended March 31, 2023. These increases were partially offset by lower right-of-use lease asset impairments charges of $0.7 million as compared to the same period in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and Other Expense, net</w:t>
      </w:r>
    </w:p>
    <w:tbl>
      <w:tblPr>
        <w:tblW w:w="8832"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109"/>
        <w:gridCol w:w="579"/>
        <w:gridCol w:w="579"/>
        <w:gridCol w:w="581"/>
        <w:gridCol w:w="109"/>
        <w:gridCol w:w="347"/>
        <w:gridCol w:w="284"/>
        <w:gridCol w:w="287"/>
        <w:gridCol w:w="109"/>
        <w:gridCol w:w="109"/>
        <w:gridCol w:w="109"/>
        <w:gridCol w:w="229"/>
        <w:gridCol w:w="336"/>
        <w:gridCol w:w="340"/>
        <w:gridCol w:w="109"/>
        <w:gridCol w:w="109"/>
        <w:gridCol w:w="109"/>
        <w:gridCol w:w="211"/>
        <w:gridCol w:w="691"/>
        <w:gridCol w:w="109"/>
        <w:gridCol w:w="109"/>
        <w:gridCol w:w="109"/>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051" w:type="dxa"/>
            <w:gridSpan w:val="16"/>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expense, net, decreased by $9.4 million, or 61.9%, for the three months ended March 31, 2024 as compared to the same period in 2023. The decrease was driven primarily by volatility of interest rates, resulting in an unrealized gain of $4.8 million on the interest rate swaps recorded during the three months ended March 31, 2024 as compared to an unrealized loss of $4.2 million recorded in the comparative period, and a $0.5 million increase in interest income.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tbl>
      <w:tblPr>
        <w:tblW w:w="7961" w:type="dxa"/>
        <w:jc w:val="left"/>
        <w:tblInd w:w="0" w:type="dxa"/>
        <w:tblLayout w:type="fixed"/>
        <w:tblCellMar>
          <w:top w:w="28" w:type="dxa"/>
          <w:left w:w="28" w:type="dxa"/>
          <w:bottom w:w="28" w:type="dxa"/>
          <w:right w:w="28" w:type="dxa"/>
        </w:tblCellMar>
      </w:tblPr>
      <w:tblGrid>
        <w:gridCol w:w="625"/>
        <w:gridCol w:w="548"/>
        <w:gridCol w:w="552"/>
        <w:gridCol w:w="109"/>
        <w:gridCol w:w="109"/>
        <w:gridCol w:w="109"/>
        <w:gridCol w:w="109"/>
        <w:gridCol w:w="579"/>
        <w:gridCol w:w="579"/>
        <w:gridCol w:w="581"/>
        <w:gridCol w:w="109"/>
        <w:gridCol w:w="347"/>
        <w:gridCol w:w="343"/>
        <w:gridCol w:w="347"/>
        <w:gridCol w:w="109"/>
        <w:gridCol w:w="109"/>
        <w:gridCol w:w="109"/>
        <w:gridCol w:w="229"/>
        <w:gridCol w:w="268"/>
        <w:gridCol w:w="272"/>
        <w:gridCol w:w="109"/>
        <w:gridCol w:w="109"/>
        <w:gridCol w:w="109"/>
        <w:gridCol w:w="211"/>
        <w:gridCol w:w="691"/>
        <w:gridCol w:w="109"/>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915" w:type="dxa"/>
            <w:gridSpan w:val="16"/>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20"/>
        </w:rPr>
        <w:t>Income tax expense increased</w:t>
      </w:r>
      <w:r>
        <w:rPr>
          <w:color w:val="000000"/>
        </w:rPr>
        <w:t xml:space="preserve"> </w:t>
      </w:r>
      <w:r>
        <w:rPr>
          <w:rFonts w:ascii="Times New Roman;sans-serif" w:hAnsi="Times New Roman;sans-serif"/>
          <w:b w:val="false"/>
          <w:color w:val="000000"/>
          <w:sz w:val="20"/>
        </w:rPr>
        <w:t>by $5.6 million for the three months ended March 31, 2024 as compared to the corresponding period in 2023, with the change driven primarily by an increase in U.S. federal and state income taxes and discrete items, including the sale of North American Fitness during the three months ended March 31, 2024.</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our primary sources of liquidity have been net cash provided by operating activities, proceeds from equity issuances and proceeds from long-term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liquidity for items such as strategic investments in the ongoing transformation of our business and infrastructure, our recent business acquisition of Kickserv and share repurchases authorized through our Repurchase Program (defined below). For a description of our recent acquisitions, see Note 3. Acquisitions in our Annual Report on Form 10-K and Note 3. Kickserv Acquisition in this Quarterly Report on Form 10-Q. Absent significant deterioration of market conditions, we expect that working capital requirements, capital expenditures, acquisitions, the Repurchase Program, debt servicing and lease obligations will be our principal needs for liquidity going forward.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cash, cash equivalents and restricted cash of $92.9 million, $190.0 million of available borrowing capacity under our Revolver (as defined below) and $536.3 million outstanding under our Term Loans (as defined below).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pPr>
      <w:r>
        <w:rPr>
          <w:rFonts w:ascii="Times New Roman;sans-serif" w:hAnsi="Times New Roman;sans-serif"/>
          <w:b w:val="false"/>
          <w:color w:val="000000"/>
          <w:sz w:val="20"/>
        </w:rPr>
        <w:t>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cash flow data for the periods indicated therein:</w:t>
      </w:r>
    </w:p>
    <w:tbl>
      <w:tblPr>
        <w:tblW w:w="7269" w:type="dxa"/>
        <w:jc w:val="left"/>
        <w:tblInd w:w="0" w:type="dxa"/>
        <w:tblLayout w:type="fixed"/>
        <w:tblCellMar>
          <w:top w:w="28" w:type="dxa"/>
          <w:left w:w="28" w:type="dxa"/>
          <w:bottom w:w="28" w:type="dxa"/>
          <w:right w:w="28" w:type="dxa"/>
        </w:tblCellMar>
      </w:tblPr>
      <w:tblGrid>
        <w:gridCol w:w="1716"/>
        <w:gridCol w:w="1510"/>
        <w:gridCol w:w="1514"/>
        <w:gridCol w:w="211"/>
        <w:gridCol w:w="721"/>
        <w:gridCol w:w="109"/>
        <w:gridCol w:w="109"/>
        <w:gridCol w:w="109"/>
        <w:gridCol w:w="109"/>
        <w:gridCol w:w="211"/>
        <w:gridCol w:w="79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 from Operating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$13.3 million for the three months ended March 31, 2024, compared to $12.7 million for the three months ended March 31, 2023. Changes in net cash provided by operating activities resulted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cash provided by operating activities for the three months ended March 31, 2024 compared to the three months ended March 31, 2023 was primarily due to higher cash collections from our subscription and transaction fees and marketing technology solutions of approximately $6.3 million, higher interest income of $0.6 million and lower interest payments of $0.3 million, partially offset by higher costs directly related to the delivery of our services and products of $4.3 million, higher investments made to support the growth of our business of $2.5 million and higher taxes of $0.5 million.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 from Investing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net cash used in investing activities of $3.6 million related primarily to costs to develop software of $4.4 million and $0.4 million used for purchases of property and equipment, partially offset by proceeds from the sale of North American Fitness, net of transaction costs, cash and restricted cash sold for approximately $1.2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net cash used in investing activities of $4.9 million related primarily to costs to develop software of $4.4 million and the remainder was used primarily for purchases of property and equipment.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 from Financing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net cash used in financing activities of $12.4 million related primarily to the repurchase and retirement of shares of our common stock of $12.1 million.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net cash used in financing activities of $30.4 million related primarily to the repurchase and retirement of shares of our common stock of $29.6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our repurchase and retirement of shares of our common stock, refer to Note 12. Equity in the notes to the unaudited condensed consolidated financial statements included in this Quarterly Report on Form 10-Q.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 credit agreement, as amended, that provides for two term loans for an aggregate principal amount of $550.0 million (“Term Loans”), a revolver with a capacity of $190.0 million (“Revolver”) and a sub-limit of the Revolver available for letters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up to an aggregate face amount of $20.0 million. These debt arrangements are collectively referred to herein as the (“Credit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as of July 1, 2023, borrowings under the Credit Facilities bear interest at the Company’s option at ABR plus an applicable rate, or at a forward-looking term rate based upon the secured overnight financing rate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October 31, 2022, we entered into an interest rate swap agreement in connection with the Company’s Credit Facilities for a notional amount of $200.0 million to convert a portion of the floating rate component of the Term Loans from a floating rate to a fixed rate (the “Initial Swap”). The Initial Swap has a term of five years with a fixed rate in the agreement of 4.212%, as amended in June 2023. Additionally, effective March 31, 2023, the Company entered into a second interest rate swap agreement in connection with the Company’s Credit Facilities for a notional amount of $100.0 million to convert a portion of the floating rate component of the Term Loans from a floating rate to a fixed rate (the “Second Swap”). The Second Swap has a term of approximately 4.5 years with a fixed rate in the agreement of 3.951%, as amended in June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Revolver has a variable commitment fee, which is based on our first lien leverage ratio. We expect the commitment fee to range from 0.25% to 0.375% per annum. We are obligated to pay a fixed fronting fee for letters of credit of 0.125% per annum.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borrowed under the Revolver may be repaid and re-borrowed through maturity of the Revolver in July 2026. The Term Loans mature in July 2028. The Term Loans may be repaid or prepaid but may not be re-borrowed.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$536.3 million outstanding under our Credit Facilities, all of which was related to the Term Loans as no amounts were outstanding under the Revolver. The effective interest rate on the Term Loans was approximately 8.4% for the three months ended March 31, 2024, excluding the effect of any interest rate swap agreements.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were in compliance with the covenants under the Credit Facilities.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both"/>
        <w:rPr/>
      </w:pPr>
      <w:r>
        <w:rPr>
          <w:rFonts w:ascii="Times New Roman;sans-serif" w:hAnsi="Times New Roman;sans-serif"/>
          <w:b w:val="false"/>
          <w:color w:val="000000"/>
          <w:sz w:val="20"/>
        </w:rPr>
        <w:t>On June 14, 2022, our Board of Directors approved the stock repurchase program (as subsequently amended, the “Repurchase Program”) wi</w:t>
      </w:r>
      <w:r>
        <w:rPr>
          <w:rFonts w:ascii="Times New Roman;sans-serif" w:hAnsi="Times New Roman;sans-serif"/>
          <w:b w:val="false"/>
          <w:color w:val="000000"/>
          <w:sz w:val="20"/>
          <w:shd w:fill="FFFFFF" w:val="clear"/>
        </w:rPr>
        <w:t xml:space="preserve">th authorization to purchase up to $50.0 million in shares of the Company’s common stock through the expiration of the program on December 21, 2022. </w:t>
      </w:r>
      <w:r>
        <w:rPr>
          <w:rFonts w:ascii="Times New Roman;sans-serif" w:hAnsi="Times New Roman;sans-serif"/>
          <w:b w:val="false"/>
          <w:color w:val="000000"/>
          <w:sz w:val="20"/>
        </w:rPr>
        <w:t xml:space="preserve">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On November 5, 2023, our Board approved an additional expansion of the Repurchase Program with authorization to purchase up to an additional $50.0 million in shares of the Company’s common stock (from $100.0 million to $150.0 million in total) and extended the expiration of the Repurchase Program through December 31, 2024. </w:t>
      </w:r>
      <w:r>
        <w:rPr>
          <w:rFonts w:ascii="Times New Roman;sans-serif" w:hAnsi="Times New Roman;sans-serif"/>
          <w:b w:val="false"/>
          <w:color w:val="000000"/>
          <w:sz w:val="20"/>
          <w:shd w:fill="FFFFFF" w:val="clear"/>
        </w:rPr>
        <w:t xml:space="preserve">Repurchases under the program may be made in the open market, in privately negotiated transactions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repurchased and retired 1.2 million shares of common stock for approximately $12.1 million, including transaction fees and taxes, during the three months ended March 31, 2024. As of March 31, 2024, $27.9 million remained available under the Repurchase Program.</w:t>
      </w: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contractual obligations as of March 31, 2024 from those disclosed in our Annual Report on Form 10-K.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Notes 10. Leases, 11. Long-Term Debt and 17. Commitments and Contingencies in the notes to the unaudited condensed consolidated financial statements included in this Quarterly Report on Form 10-Q for a discussion of our operating leases, debt and contractual obligations, respectively.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 </w:t>
      </w:r>
    </w:p>
    <w:p>
      <w:pPr>
        <w:pStyle w:val="TextBody"/>
        <w:bidi w:val="0"/>
        <w:spacing w:lineRule="auto" w:line="288" w:before="120" w:after="283"/>
        <w:jc w:val="both"/>
        <w:rPr/>
      </w:pPr>
      <w:r>
        <w:rPr>
          <w:rFonts w:ascii="Times New Roman;sans-serif" w:hAnsi="Times New Roman;sans-serif"/>
          <w:b w:val="false"/>
          <w:color w:val="000000"/>
          <w:sz w:val="20"/>
        </w:rPr>
        <w:t xml:space="preserve">Our critical accounting policies are described in Part II Item 7, </w:t>
      </w:r>
      <w:r>
        <w:rPr>
          <w:color w:val="000000"/>
        </w:rPr>
        <w:t>“</w:t>
      </w:r>
      <w:r>
        <w:rPr>
          <w:rFonts w:ascii="Times New Roman;sans-serif" w:hAnsi="Times New Roman;sans-serif"/>
          <w:b w:val="false"/>
          <w:i/>
          <w:color w:val="000000"/>
          <w:sz w:val="20"/>
        </w:rPr>
        <w:t>Management’s Discussion and Analysis of Financial Condition and Results of Operations—Critical Accounting Policies”</w:t>
      </w:r>
      <w:r>
        <w:rPr>
          <w:color w:val="000000"/>
        </w:rPr>
        <w:t xml:space="preserve"> </w:t>
      </w:r>
      <w:r>
        <w:rPr>
          <w:rFonts w:ascii="Times New Roman;sans-serif" w:hAnsi="Times New Roman;sans-serif"/>
          <w:b w:val="false"/>
          <w:color w:val="000000"/>
          <w:sz w:val="20"/>
        </w:rPr>
        <w:t>in our Annual Report on Form 10-K. During the three months ended March 31, 2024, there were no material changes to our critical accounting policies from those discussed in our Annual Report on Form 10-K.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Election Under the Jumpstart Our Business Startups Act of 2012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pPr>
      <w:r>
        <w:rPr>
          <w:rFonts w:ascii="Times New Roman;sans-serif" w:hAnsi="Times New Roman;sans-serif"/>
          <w:b w:val="false"/>
          <w:color w:val="000000"/>
          <w:sz w:val="20"/>
        </w:rPr>
        <w:t xml:space="preserve">There have been no material changes to our disclosures regarding market risk as described in our Annual Report on Form 10-K under the heading Part II. Item 7A. </w:t>
      </w:r>
      <w:r>
        <w:rPr>
          <w:color w:val="000000"/>
        </w:rPr>
        <w:t>“</w:t>
      </w:r>
      <w:r>
        <w:rPr>
          <w:rFonts w:ascii="Times New Roman;sans-serif" w:hAnsi="Times New Roman;sans-serif"/>
          <w:b w:val="false"/>
          <w:i/>
          <w:color w:val="000000"/>
          <w:sz w:val="20"/>
        </w:rPr>
        <w:t>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both"/>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March 31, 2024, our disclosure controls and procedures were not effective at the reasonable assurance level, due to the material weakness in our internal control over financial reporting as described in Part II, Item 9A</w:t>
      </w:r>
      <w:r>
        <w:rPr>
          <w:rFonts w:ascii="Times New Roman;sans-serif" w:hAnsi="Times New Roman;sans-serif"/>
          <w:b w:val="false"/>
          <w:i/>
          <w:color w:val="000000"/>
          <w:sz w:val="20"/>
        </w:rPr>
        <w:t>. “Controls and Procedures”</w:t>
      </w:r>
      <w:r>
        <w:rPr>
          <w:color w:val="000000"/>
        </w:rPr>
        <w:t xml:space="preserve"> </w:t>
      </w:r>
      <w:r>
        <w:rPr>
          <w:rFonts w:ascii="Times New Roman;sans-serif" w:hAnsi="Times New Roman;sans-serif"/>
          <w:b w:val="false"/>
          <w:color w:val="000000"/>
          <w:sz w:val="20"/>
        </w:rPr>
        <w:t>in our</w:t>
      </w:r>
      <w:r>
        <w:rPr>
          <w:color w:val="000000"/>
        </w:rPr>
        <w:t xml:space="preserve"> </w:t>
      </w:r>
      <w:r>
        <w:rPr>
          <w:rFonts w:ascii="Times New Roman;sans-serif" w:hAnsi="Times New Roman;sans-serif"/>
          <w:b w:val="false"/>
          <w:color w:val="000000"/>
          <w:sz w:val="20"/>
        </w:rPr>
        <w:t xml:space="preserve">Annual Report on Form 10-K for the year ended December 31, 2023.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both"/>
        <w:rPr/>
      </w:pPr>
      <w:r>
        <w:rPr>
          <w:rFonts w:ascii="Times New Roman;sans-serif" w:hAnsi="Times New Roman;sans-serif"/>
          <w:b w:val="false"/>
          <w:color w:val="000000"/>
          <w:sz w:val="20"/>
        </w:rPr>
        <w:t>We continue to work to remediate our material weakness in our internal control over financial reporting as described in Part II, Item 9A</w:t>
      </w:r>
      <w:r>
        <w:rPr>
          <w:rFonts w:ascii="Times New Roman;sans-serif" w:hAnsi="Times New Roman;sans-serif"/>
          <w:b w:val="false"/>
          <w:i/>
          <w:color w:val="000000"/>
          <w:sz w:val="20"/>
        </w:rPr>
        <w:t>. “Controls and Procedures”</w:t>
      </w:r>
      <w:r>
        <w:rPr>
          <w:color w:val="000000"/>
        </w:rPr>
        <w:t xml:space="preserve"> </w:t>
      </w:r>
      <w:r>
        <w:rPr>
          <w:rFonts w:ascii="Times New Roman;sans-serif" w:hAnsi="Times New Roman;sans-serif"/>
          <w:b w:val="false"/>
          <w:color w:val="000000"/>
          <w:sz w:val="20"/>
        </w:rPr>
        <w:t>in our</w:t>
      </w:r>
      <w:r>
        <w:rPr>
          <w:color w:val="000000"/>
        </w:rPr>
        <w:t xml:space="preserve"> </w:t>
      </w:r>
      <w:r>
        <w:rPr>
          <w:rFonts w:ascii="Times New Roman;sans-serif" w:hAnsi="Times New Roman;sans-serif"/>
          <w:b w:val="false"/>
          <w:color w:val="000000"/>
          <w:sz w:val="20"/>
        </w:rPr>
        <w:t>Annual Report on Form 10-K for the year ended December 31, 2023. 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pPr>
      <w:r>
        <w:rPr>
          <w:rFonts w:ascii="Times New Roman;sans-serif" w:hAnsi="Times New Roman;sans-serif"/>
          <w:b w:val="false"/>
          <w:color w:val="000000"/>
          <w:sz w:val="20"/>
        </w:rPr>
        <w:t>In addition to the information set forth in this Quarterly Report on Form 10-Q, you should carefully consider the risk factors disclosed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our Annual Report on Form 10-K. There have been no material changes to our risk factors from those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 Purchases of Equity Securities by the Issuer or Affiliated Purchaser</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During the three months ended March 31, 2024, we repurchased approximately $12.1 million </w:t>
      </w:r>
      <w:r>
        <w:rPr>
          <w:rFonts w:ascii="Times New Roman;sans-serif" w:hAnsi="Times New Roman;sans-serif"/>
          <w:b w:val="false"/>
          <w:color w:val="000000"/>
          <w:sz w:val="20"/>
        </w:rPr>
        <w:t>in</w:t>
      </w:r>
      <w:r>
        <w:rPr>
          <w:color w:val="000000"/>
          <w:shd w:fill="FFFFFF" w:val="clear"/>
        </w:rPr>
        <w:t xml:space="preserve"> </w:t>
      </w:r>
      <w:r>
        <w:rPr>
          <w:rFonts w:ascii="Times New Roman;sans-serif" w:hAnsi="Times New Roman;sans-serif"/>
          <w:b w:val="false"/>
          <w:color w:val="000000"/>
          <w:sz w:val="20"/>
          <w:shd w:fill="FFFFFF" w:val="clear"/>
        </w:rPr>
        <w:t>shares of our common stock under our Repurchase Program, including transaction fees and taxes. The stock repurchase activity under our Repurchase Program during the three months ended March 31, 2024 was as follows:</w:t>
      </w:r>
    </w:p>
    <w:tbl>
      <w:tblPr>
        <w:tblW w:w="10205" w:type="dxa"/>
        <w:jc w:val="left"/>
        <w:tblInd w:w="0" w:type="dxa"/>
        <w:tblLayout w:type="fixed"/>
        <w:tblCellMar>
          <w:top w:w="28" w:type="dxa"/>
          <w:left w:w="28" w:type="dxa"/>
          <w:bottom w:w="28" w:type="dxa"/>
          <w:right w:w="28" w:type="dxa"/>
        </w:tblCellMar>
      </w:tblPr>
      <w:tblGrid>
        <w:gridCol w:w="607"/>
        <w:gridCol w:w="476"/>
        <w:gridCol w:w="479"/>
        <w:gridCol w:w="630"/>
        <w:gridCol w:w="432"/>
        <w:gridCol w:w="434"/>
        <w:gridCol w:w="109"/>
        <w:gridCol w:w="109"/>
        <w:gridCol w:w="109"/>
        <w:gridCol w:w="211"/>
        <w:gridCol w:w="616"/>
        <w:gridCol w:w="109"/>
        <w:gridCol w:w="109"/>
        <w:gridCol w:w="109"/>
        <w:gridCol w:w="109"/>
        <w:gridCol w:w="963"/>
        <w:gridCol w:w="787"/>
        <w:gridCol w:w="790"/>
        <w:gridCol w:w="109"/>
        <w:gridCol w:w="109"/>
        <w:gridCol w:w="109"/>
        <w:gridCol w:w="521"/>
        <w:gridCol w:w="1782"/>
        <w:gridCol w:w="387"/>
      </w:tblGrid>
      <w:tr>
        <w:trPr/>
        <w:tc>
          <w:tcPr>
            <w:tcW w:w="60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Average</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price paid</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 xml:space="preserve">Total number of shares purchased as part of publicly announced plans or programs </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 xml:space="preserve">Approximate dollar value of shares that may yet be purchased under the plans or programs </w:t>
            </w:r>
            <w:r>
              <w:rPr>
                <w:rFonts w:ascii="Times New Roman;sans-serif" w:hAnsi="Times New Roman;sans-serif"/>
                <w:b w:val="false"/>
                <w:color w:val="000000"/>
                <w:sz w:val="12"/>
              </w:rPr>
              <w:t>(1)</w:t>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and share amounts)</w:t>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January 1, 2024 - January 31, 2024</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346,713 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346,713 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36,414 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 February 29, 2024</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381,887 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381,887 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32,625 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March 1, 2024 - March 31, 2024</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504,905 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504,905 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(1)On June 14, 2022, our Board approved the Repurchase Program with authorization to purchase up to $50.0 million in shares of the Company’s common stock through the expiration of the program on December 21, 2022. On November 7, 2022, our Board approved an expansion of the Repurchase Program with authorization to purchase up to an additional $50.0 million in shares of the Company’s common stock ($100.0 million total) and an extension to the expiration of the Repurchase Program through December 31, 2023. On November 5, 2023, our Board approved an additional expansion of the Repurchase Program with authorization to purchase up to an additional $50.0 million in shares of the Company’s common stock (from $100.0 million to $150.0 million in total) and extended the expiration of the Repurchase Program through December 31, 2024.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the Board. The Company expects to fund repurchases with existing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374"/>
        <w:gridCol w:w="1352"/>
        <w:gridCol w:w="1357"/>
        <w:gridCol w:w="109"/>
        <w:gridCol w:w="109"/>
        <w:gridCol w:w="109"/>
        <w:gridCol w:w="175"/>
        <w:gridCol w:w="175"/>
        <w:gridCol w:w="176"/>
        <w:gridCol w:w="109"/>
        <w:gridCol w:w="109"/>
        <w:gridCol w:w="109"/>
        <w:gridCol w:w="246"/>
        <w:gridCol w:w="225"/>
        <w:gridCol w:w="171"/>
        <w:gridCol w:w="109"/>
        <w:gridCol w:w="109"/>
        <w:gridCol w:w="109"/>
        <w:gridCol w:w="225"/>
        <w:gridCol w:w="225"/>
        <w:gridCol w:w="226"/>
        <w:gridCol w:w="109"/>
        <w:gridCol w:w="109"/>
        <w:gridCol w:w="109"/>
        <w:gridCol w:w="197"/>
        <w:gridCol w:w="197"/>
        <w:gridCol w:w="198"/>
        <w:gridCol w:w="109"/>
        <w:gridCol w:w="109"/>
        <w:gridCol w:w="109"/>
        <w:gridCol w:w="276"/>
        <w:gridCol w:w="276"/>
        <w:gridCol w:w="400"/>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Filed/</w:t>
            </w:r>
          </w:p>
        </w:tc>
      </w:tr>
      <w:tr>
        <w:trPr/>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Furnished</w:t>
              <w:br/>
              <w:t>Herewith</w:t>
            </w:r>
          </w:p>
        </w:tc>
      </w:tr>
      <w:tr>
        <w:trPr/>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
              <w:r>
                <w:rPr>
                  <w:rStyle w:val="InternetLink"/>
                  <w:rFonts w:ascii="Times New Roman;sans-serif" w:hAnsi="Times New Roman;sans-serif"/>
                  <w:b w:val="false"/>
                  <w:color w:val="0000FF"/>
                  <w:sz w:val="18"/>
                  <w:u w:val="single"/>
                </w:rPr>
                <w:t>Amended and Restated Certificate of Incorporation of EverCommerce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
              <w:r>
                <w:rPr>
                  <w:rStyle w:val="InternetLink"/>
                  <w:rFonts w:ascii="Times New Roman;sans-serif" w:hAnsi="Times New Roman;sans-serif"/>
                  <w:b w:val="false"/>
                  <w:color w:val="0000FF"/>
                  <w:sz w:val="18"/>
                  <w:u w:val="single"/>
                </w:rPr>
                <w:t>Amended and Restated Bylaws of EverCommerce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a101evercommerceamendeda.htm">
              <w:r>
                <w:rPr>
                  <w:rStyle w:val="InternetLink"/>
                  <w:rFonts w:ascii="Times New Roman;sans-serif" w:hAnsi="Times New Roman;sans-serif"/>
                  <w:b w:val="false"/>
                  <w:color w:val="0000FF"/>
                  <w:sz w:val="18"/>
                  <w:u w:val="single"/>
                </w:rPr>
                <w:t>Amended and Restated Non-Employee Director Compensation Policy of EverCommerce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11-certificationofchief.htm">
              <w:r>
                <w:rPr>
                  <w:rStyle w:val="InternetLink"/>
                  <w:rFonts w:ascii="Times New Roman;sans-serif" w:hAnsi="Times New Roman;sans-serif"/>
                  <w:b w:val="false"/>
                  <w:color w:val="0000FF"/>
                  <w:sz w:val="18"/>
                  <w:u w:val="single"/>
                </w:rPr>
                <w:t>Certification of Chief Executive Officer pursuant to Rule 13a-14(a)/15d-14(a)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12-certificationofchief.htm">
              <w:r>
                <w:rPr>
                  <w:rStyle w:val="InternetLink"/>
                  <w:rFonts w:ascii="Times New Roman;sans-serif" w:hAnsi="Times New Roman;sans-serif"/>
                  <w:b w:val="false"/>
                  <w:color w:val="0000FF"/>
                  <w:sz w:val="18"/>
                  <w:u w:val="single"/>
                </w:rPr>
                <w:t>Certification of Chief Financial Officer pursuant to Rule 13a-14(a)/15d-14(a)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21-certificationofchief.htm">
              <w:r>
                <w:rPr>
                  <w:rStyle w:val="InternetLink"/>
                  <w:rFonts w:ascii="Times New Roman;sans-serif" w:hAnsi="Times New Roman;sans-serif"/>
                  <w:b w:val="false"/>
                  <w:color w:val="0000FF"/>
                  <w:sz w:val="18"/>
                  <w:u w:val="single"/>
                </w:rPr>
                <w:t>Certification of Chief Executive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22-certificationofchief.htm">
              <w:r>
                <w:rPr>
                  <w:rStyle w:val="InternetLink"/>
                  <w:rFonts w:ascii="Times New Roman;sans-serif" w:hAnsi="Times New Roman;sans-serif"/>
                  <w:b w:val="false"/>
                  <w:color w:val="0000FF"/>
                  <w:sz w:val="18"/>
                  <w:u w:val="single"/>
                </w:rPr>
                <w:t>Certification of Chief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680" w:type="dxa"/>
        <w:jc w:val="left"/>
        <w:tblInd w:w="0" w:type="dxa"/>
        <w:tblLayout w:type="fixed"/>
        <w:tblCellMar>
          <w:top w:w="28" w:type="dxa"/>
          <w:left w:w="28" w:type="dxa"/>
          <w:bottom w:w="28" w:type="dxa"/>
          <w:right w:w="28" w:type="dxa"/>
        </w:tblCellMar>
      </w:tblPr>
      <w:tblGrid>
        <w:gridCol w:w="603"/>
        <w:gridCol w:w="528"/>
        <w:gridCol w:w="533"/>
        <w:gridCol w:w="109"/>
        <w:gridCol w:w="109"/>
        <w:gridCol w:w="109"/>
        <w:gridCol w:w="345"/>
        <w:gridCol w:w="345"/>
        <w:gridCol w:w="345"/>
        <w:gridCol w:w="773"/>
        <w:gridCol w:w="773"/>
        <w:gridCol w:w="1108"/>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EVERCOMMERCE INC.</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Remer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Eric Remer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Thompson</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 Thompson</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i/>
                <w:color w:val="000000"/>
                <w:sz w:val="20"/>
                <w:shd w:fill="FFFFFF" w:val="clear"/>
              </w:rPr>
              <w:t>(</w:t>
            </w:r>
            <w:r>
              <w:rPr>
                <w:rFonts w:ascii="Times New Roman;sans-serif" w:hAnsi="Times New Roman;sans-serif"/>
                <w:b w:val="false"/>
                <w:i/>
                <w:color w:val="000000"/>
                <w:sz w:val="20"/>
              </w:rPr>
              <w:t>Principal Financial Officer</w:t>
            </w:r>
            <w:r>
              <w:rPr>
                <w:rFonts w:ascii="Times New Roman;sans-serif" w:hAnsi="Times New Roman;sans-serif"/>
                <w:b w:val="false"/>
                <w:i/>
                <w:color w:val="000000"/>
                <w:sz w:val="20"/>
                <w:shd w:fill="FFFFFF" w:val="clear"/>
              </w:rPr>
              <w:t>)</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Ryan H. Siurek</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Ryan H. Siurek</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Accounting Officer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bl>
    <w:p>
      <w:pPr>
        <w:pStyle w:val="TextBody"/>
        <w:bidi w:val="0"/>
        <w:spacing w:before="0" w:after="0"/>
        <w:jc w:val="center"/>
        <w:rPr/>
      </w:pPr>
      <w:bookmarkStart w:id="0" w:name="a101evercommerceamendeda.htm"/>
      <w:bookmarkStart w:id="1" w:name="ksa101evercommerceamendeda"/>
      <w:bookmarkEnd w:id="0"/>
      <w:bookmarkEnd w:id="1"/>
      <w:r>
        <w:rPr/>
        <w:drawing>
          <wp:inline distT="0" distB="0" distL="0" distR="0">
            <wp:extent cx="10048875" cy="1300162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jc w:val="center"/>
        <w:rPr>
          <w:color w:val="FFFFFF"/>
          <w:sz w:val="2"/>
        </w:rPr>
      </w:pPr>
      <w:r>
        <w:rPr>
          <w:color w:val="FFFFFF"/>
          <w:sz w:val="2"/>
        </w:rPr>
        <w:t xml:space="preserve">US-DOCS\107959041.1 EVERCOMMERCE INC. AMENDED AND RESTATED NON-EMPLOYEE DIRECTOR COMPENSATION POLICY Non-employee members of the board of directors (the “Board”) of EverCommerce Inc. (the “Company”) shall be eligible to receive cash and equity compensation as set forth in this Non- Employee Director Compensation Policy (as amended from time to time, this “Policy”). The cash and equity compensation described in this Policy shall be paid or be made, as applicable, automatically and without further action of the Board, to each member of the Board who is not an employee of the Company or any parent or subsidiary of the Company or an affiliate of Providence Strategic Growth Partners L.L.C. or Silver Lake Technology Management L.L.C. (each, a “Non- Employee Director”) who may be eligible to receive such cash or equity compensation, unless such Non-Employee Director declines the receipt of such cash or equity compensation by written notice to the Company. This Policy became effective on June 30, 2021 and is hereby amended and restated effective as of February [23], 2024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1. Cash Compensation. (a) Annual Retainers. Each Non-Employee Director shall receive an annual retainer of $55,000 for service on the Board. (b) Additional Annual Retainers. In addition, a Non-Employee Director shall receive the following annual retainers: (i) Lead Independent Director of the Board. A Non-Employee Director serving as Lead Independent Director of the Board shall receive an additional annual retainer of $15,000 for such service. (ii) Audit Committee. A Non-Employee Director serving as Chairperson of the Audit Committee shall receive an additional annual retainer of $25,000 for such service. A Non-Employee Director serving as a member of the Audit Committee (other than the Chairperson) shall receive an additional annual retainer of $20,000 for such service. (iii) Compensation Committee.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$15,000 for such service. (iv) Nominating and Corporate Governance Committee. A Non- Employee Director serving as Chairperson of the Nominating and Corporate Governance Committee shall receive an additional annual retainer of $20,000 for such service. A Non- Employee Director serving as a member of the Nominating and Corporate Governance Committee (other than the Chairperson) shall receive an additional annual retainer of $10,000 for such service.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Payment of Retainers.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 Employee Director for such calendar quarter pursuant to Sections 1(a) and 1(b), with such prorated portion determined by multiplying such otherwise payable retainer(s) by a fraction, the numerator of which is the number of days during which the Non-Employee Director serves as a Non- Employee Director or in the applicable positions described in Section 1(b) during the applicable calendar quarter and the denominator of which is the number of days in the applicable calendar quarter. 2. Equity Compensation. Non-Employee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(such plan, as may be amended from time to time, the “Equity Plan”)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 (a) Annual Awards. Each Non-Employee Director who (i) serves on the Board as of the date of any annual meeting of the Company’s stockholders (an “Annual Meeting”) and (ii) will continue to serve as a Non-Employee Director immediately following such Annual Meeting shall be automatically granted, on the date of such Annual Meeting, an award of restricted stock units that have an aggregate fair value on the date of such Annual Meeting of $200,000 (as determined in accordance with ASC 718 and with the number of shares of common stock underlying such award subject to adjustment as provided in the Equity Plan). The awards described in this Section 2(a) shall be referred to as the “Annual Awards.” For the avoidance of doubt, a Non-Employee Director elected for the first time to the Board at an Annual Meeting shall receive only an Annual Award in connection with such election, and shall not receive any Initial Award on the date of such Annual Meeting as well. (b) Initial Awards. Except as otherwise determined by the Board, each Non- Employee Director who is initially elected or appointed to the Board on any date other than the date of an Annual Meeting shall be automatically granted, on the date of such Non-Employee Director’s initial election or appointment (such Non-Employee Director’s “Start Date”), an award of restricted stock units that have an aggregate fair value on such Non-Employee Director’s Start Date equal to the product of (i) $200,000 (as determined in accordance with ASC 718)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(with the number of shares of common stock underlying each such award subject to adjustment as provided in the Equity Plan). The awards described in this Section 2(b) shall be referred to as “Initial Awards.” For the avoidance of doubt, no Non-Employee Director shall be granted more than one Initial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 Termination of Employment of Employee Directors.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employment with the Company and any parent or subsidiary of the Company, Annual Awards as described in Section 2(a) above. (d) Vesting of Awards Granted to Non-Employee Directors. Each Annual Award and Initial Award shall vest and become exercisable on the earlier of (i) the day immediately preceding the date of the first Annual Meeting following the date of grant and (ii) the first anniversary of the date of grant, subject to the Non-Employee Director continuing in service on the Board through the applicable vesting date. No portion of an Annual Award or Initial Award that is unvested or unexercisable at the time of a Non-Employee Director’s termination of service on the Board shall become vested and exercisable thereafter. All of a Non-Employee Director’s Annual Awards and Initial Awards shall vest in full immediately prior to the occurrence of a Change in Control (as defined in the Equity Plan), to the extent outstanding at such time.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Eric Remer, certify that:</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EverCommerce Inc.;</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62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954"/>
        <w:gridCol w:w="954"/>
        <w:gridCol w:w="134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Remer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Eric Remer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p>
            <w:pPr>
              <w:pStyle w:val="TableContents"/>
              <w:bidi w:val="0"/>
              <w:spacing w:lineRule="auto" w:line="240" w:before="0" w:after="3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Marc Thompson, certify that:</w:t>
      </w:r>
    </w:p>
    <w:p>
      <w:pPr>
        <w:pStyle w:val="TextBody"/>
        <w:bidi w:val="0"/>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EverCommerce Inc.;</w:t>
      </w:r>
    </w:p>
    <w:p>
      <w:pPr>
        <w:pStyle w:val="TextBody"/>
        <w:bidi w:val="0"/>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both"/>
        <w:rPr/>
      </w:pPr>
      <w:r>
        <w:rPr/>
      </w:r>
    </w:p>
    <w:tbl>
      <w:tblPr>
        <w:tblW w:w="481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716"/>
        <w:gridCol w:w="716"/>
        <w:gridCol w:w="101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Thompson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 Thompson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 xml:space="preserve">Chief Financial Officer </w:t>
            </w:r>
          </w:p>
          <w:p>
            <w:pPr>
              <w:pStyle w:val="TableContents"/>
              <w:bidi w:val="0"/>
              <w:spacing w:lineRule="auto" w:line="240" w:before="0" w:after="3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EverCommerce Inc. (the “Company”) for the period ended March 31,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562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954"/>
        <w:gridCol w:w="954"/>
        <w:gridCol w:w="134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Remer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Eric Remer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p>
            <w:pPr>
              <w:pStyle w:val="TableContents"/>
              <w:bidi w:val="0"/>
              <w:spacing w:lineRule="auto" w:line="240" w:before="0" w:after="3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EverCommerce Inc. (the “Company”) for the period ended March 31,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481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716"/>
        <w:gridCol w:w="716"/>
        <w:gridCol w:w="101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Thompson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 Thompson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 xml:space="preserve">Chief Financial Officer </w:t>
            </w:r>
          </w:p>
          <w:p>
            <w:pPr>
              <w:pStyle w:val="TableContents"/>
              <w:bidi w:val="0"/>
              <w:spacing w:lineRule="auto" w:line="240" w:before="0" w:after="3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53145/000114036121023912/nt10022251x16_ex3-1.htm" TargetMode="External"/><Relationship Id="rId3" Type="http://schemas.openxmlformats.org/officeDocument/2006/relationships/hyperlink" Target="https://www.sec.gov/Archives/edgar/data/0001853145/000114036121023912/nt10022251x16_ex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21602</Words>
  <Characters>121242</Characters>
  <CharactersWithSpaces>141552</CharactersWithSpaces>
  <Paragraphs>2111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a101evercommerceamendeda</dc:title>
</cp:coreProperties>
</file>