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640" w:hanging="614"/>
        <w:spacing w:after="0" w:line="182" w:lineRule="auto"/>
        <w:tabs>
          <w:tab w:leader="none" w:pos="640" w:val="left"/>
        </w:tabs>
        <w:numPr>
          <w:ilvl w:val="0"/>
          <w:numId w:val="1"/>
        </w:numPr>
        <w:rPr>
          <w:rFonts w:ascii="MS PGothic" w:cs="MS PGothic" w:eastAsia="MS PGothic" w:hAnsi="MS PGothic"/>
          <w:sz w:val="39"/>
          <w:szCs w:val="39"/>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60"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For the transition period from ___________________ to ___________________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001-40575</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88" w:lineRule="exact"/>
        <w:rPr>
          <w:sz w:val="24"/>
          <w:szCs w:val="24"/>
          <w:color w:val="auto"/>
        </w:rPr>
      </w:pPr>
    </w:p>
    <w:tbl>
      <w:tblPr>
        <w:tblLayout w:type="fixed"/>
        <w:tblInd w:w="2640" w:type="dxa"/>
        <w:tblCellMar>
          <w:top w:w="0" w:type="dxa"/>
          <w:left w:w="0" w:type="dxa"/>
          <w:bottom w:w="0" w:type="dxa"/>
          <w:right w:w="0" w:type="dxa"/>
        </w:tblCellMar>
      </w:tblPr>
      <w:tr>
        <w:trPr>
          <w:trHeight w:val="234"/>
        </w:trPr>
        <w:tc>
          <w:tcPr>
            <w:tcW w:w="370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right"/>
              <w:ind w:right="850"/>
              <w:spacing w:after="0"/>
              <w:rPr>
                <w:sz w:val="20"/>
                <w:szCs w:val="20"/>
                <w:color w:val="auto"/>
              </w:rPr>
            </w:pPr>
            <w:r>
              <w:rPr>
                <w:rFonts w:ascii="Arial" w:cs="Arial" w:eastAsia="Arial" w:hAnsi="Arial"/>
                <w:sz w:val="18"/>
                <w:szCs w:val="18"/>
                <w:b w:val="1"/>
                <w:bCs w:val="1"/>
                <w:color w:val="auto"/>
              </w:rPr>
              <w:t>81-4063248</w:t>
            </w:r>
          </w:p>
        </w:tc>
        <w:tc>
          <w:tcPr>
            <w:tcW w:w="0" w:type="dxa"/>
            <w:vAlign w:val="bottom"/>
          </w:tcPr>
          <w:p>
            <w:pPr>
              <w:spacing w:after="0"/>
              <w:rPr>
                <w:sz w:val="1"/>
                <w:szCs w:val="1"/>
                <w:color w:val="auto"/>
              </w:rPr>
            </w:pPr>
          </w:p>
        </w:tc>
      </w:tr>
      <w:tr>
        <w:trPr>
          <w:trHeight w:val="252"/>
        </w:trPr>
        <w:tc>
          <w:tcPr>
            <w:tcW w:w="370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(State or other jurisdiction of</w:t>
            </w:r>
          </w:p>
        </w:tc>
        <w:tc>
          <w:tcPr>
            <w:tcW w:w="3460" w:type="dxa"/>
            <w:vAlign w:val="bottom"/>
            <w:vMerge w:val="restart"/>
          </w:tcPr>
          <w:p>
            <w:pPr>
              <w:jc w:val="center"/>
              <w:ind w:left="630"/>
              <w:spacing w:after="0"/>
              <w:rPr>
                <w:sz w:val="20"/>
                <w:szCs w:val="20"/>
                <w:color w:val="auto"/>
              </w:rPr>
            </w:pPr>
            <w:r>
              <w:rPr>
                <w:rFonts w:ascii="Arial" w:cs="Arial" w:eastAsia="Arial" w:hAnsi="Arial"/>
                <w:sz w:val="18"/>
                <w:szCs w:val="18"/>
                <w:b w:val="1"/>
                <w:bCs w:val="1"/>
                <w:color w:val="auto"/>
                <w:w w:val="92"/>
              </w:rPr>
              <w:t>(I.R.S. Employer Identification No.)</w:t>
            </w:r>
          </w:p>
        </w:tc>
        <w:tc>
          <w:tcPr>
            <w:tcW w:w="0" w:type="dxa"/>
            <w:vAlign w:val="bottom"/>
          </w:tcPr>
          <w:p>
            <w:pPr>
              <w:spacing w:after="0"/>
              <w:rPr>
                <w:sz w:val="1"/>
                <w:szCs w:val="1"/>
                <w:color w:val="auto"/>
              </w:rPr>
            </w:pPr>
          </w:p>
        </w:tc>
      </w:tr>
      <w:tr>
        <w:trPr>
          <w:trHeight w:val="126"/>
        </w:trPr>
        <w:tc>
          <w:tcPr>
            <w:tcW w:w="3700" w:type="dxa"/>
            <w:vAlign w:val="bottom"/>
            <w:vMerge w:val="restart"/>
          </w:tcPr>
          <w:p>
            <w:pPr>
              <w:jc w:val="center"/>
              <w:ind w:right="630"/>
              <w:spacing w:after="0"/>
              <w:rPr>
                <w:sz w:val="20"/>
                <w:szCs w:val="20"/>
                <w:color w:val="auto"/>
              </w:rPr>
            </w:pPr>
            <w:r>
              <w:rPr>
                <w:rFonts w:ascii="Arial" w:cs="Arial" w:eastAsia="Arial" w:hAnsi="Arial"/>
                <w:sz w:val="18"/>
                <w:szCs w:val="18"/>
                <w:b w:val="1"/>
                <w:bCs w:val="1"/>
                <w:color w:val="auto"/>
                <w:w w:val="91"/>
              </w:rPr>
              <w:t>incorporation or organization)</w:t>
            </w:r>
          </w:p>
        </w:tc>
        <w:tc>
          <w:tcPr>
            <w:tcW w:w="3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00" w:type="dxa"/>
            <w:vAlign w:val="bottom"/>
            <w:vMerge w:val="continue"/>
          </w:tcPr>
          <w:p>
            <w:pPr>
              <w:spacing w:after="0"/>
              <w:rPr>
                <w:sz w:val="9"/>
                <w:szCs w:val="9"/>
                <w:color w:val="auto"/>
              </w:rPr>
            </w:pP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370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3601 Walnut Street, Suite 400</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0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Denver, Colorado</w:t>
            </w:r>
          </w:p>
        </w:tc>
        <w:tc>
          <w:tcPr>
            <w:tcW w:w="3460" w:type="dxa"/>
            <w:vAlign w:val="bottom"/>
          </w:tcPr>
          <w:p>
            <w:pPr>
              <w:jc w:val="right"/>
              <w:ind w:right="1050"/>
              <w:spacing w:after="0"/>
              <w:rPr>
                <w:sz w:val="20"/>
                <w:szCs w:val="20"/>
                <w:color w:val="auto"/>
              </w:rPr>
            </w:pPr>
            <w:r>
              <w:rPr>
                <w:rFonts w:ascii="Arial" w:cs="Arial" w:eastAsia="Arial" w:hAnsi="Arial"/>
                <w:sz w:val="18"/>
                <w:szCs w:val="18"/>
                <w:b w:val="1"/>
                <w:bCs w:val="1"/>
                <w:color w:val="auto"/>
              </w:rPr>
              <w:t>80205</w:t>
            </w:r>
          </w:p>
        </w:tc>
        <w:tc>
          <w:tcPr>
            <w:tcW w:w="0" w:type="dxa"/>
            <w:vAlign w:val="bottom"/>
          </w:tcPr>
          <w:p>
            <w:pPr>
              <w:spacing w:after="0"/>
              <w:rPr>
                <w:sz w:val="1"/>
                <w:szCs w:val="1"/>
                <w:color w:val="auto"/>
              </w:rPr>
            </w:pPr>
          </w:p>
        </w:tc>
      </w:tr>
      <w:tr>
        <w:trPr>
          <w:trHeight w:val="270"/>
        </w:trPr>
        <w:tc>
          <w:tcPr>
            <w:tcW w:w="3700" w:type="dxa"/>
            <w:vAlign w:val="bottom"/>
          </w:tcPr>
          <w:p>
            <w:pPr>
              <w:jc w:val="center"/>
              <w:ind w:right="6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460" w:type="dxa"/>
            <w:vAlign w:val="bottom"/>
          </w:tcPr>
          <w:p>
            <w:pPr>
              <w:jc w:val="center"/>
              <w:ind w:left="610"/>
              <w:spacing w:after="0"/>
              <w:rPr>
                <w:sz w:val="20"/>
                <w:szCs w:val="20"/>
                <w:color w:val="auto"/>
              </w:rPr>
            </w:pPr>
            <w:r>
              <w:rPr>
                <w:rFonts w:ascii="Arial" w:cs="Arial" w:eastAsia="Arial" w:hAnsi="Arial"/>
                <w:sz w:val="18"/>
                <w:szCs w:val="18"/>
                <w:b w:val="1"/>
                <w:bCs w:val="1"/>
                <w:color w:val="auto"/>
                <w:w w:val="94"/>
              </w:rPr>
              <w:t>(Zip Code)</w:t>
            </w:r>
          </w:p>
        </w:tc>
        <w:tc>
          <w:tcPr>
            <w:tcW w:w="0" w:type="dxa"/>
            <w:vAlign w:val="bottom"/>
          </w:tcPr>
          <w:p>
            <w:pPr>
              <w:spacing w:after="0"/>
              <w:rPr>
                <w:sz w:val="1"/>
                <w:szCs w:val="1"/>
                <w:color w:val="auto"/>
              </w:rPr>
            </w:pPr>
          </w:p>
        </w:tc>
      </w:tr>
    </w:tbl>
    <w:p>
      <w:pPr>
        <w:spacing w:after="0" w:line="3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(720) 647-4948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r>
        <w:trPr>
          <w:trHeight w:val="237"/>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$0.00001 par value</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EVCM</w:t>
            </w:r>
          </w:p>
        </w:tc>
        <w:tc>
          <w:tcPr>
            <w:tcW w:w="4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bl>
    <w:p>
      <w:pPr>
        <w:spacing w:after="0" w:line="32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1016635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2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Non-accelerated filer</w:t>
            </w:r>
          </w:p>
        </w:tc>
        <w:tc>
          <w:tcPr>
            <w:tcW w:w="232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920"/>
              <w:spacing w:after="0"/>
              <w:rPr>
                <w:sz w:val="20"/>
                <w:szCs w:val="20"/>
                <w:color w:val="auto"/>
              </w:rPr>
            </w:pPr>
            <w:r>
              <w:rPr>
                <w:rFonts w:ascii="Arial" w:cs="Arial" w:eastAsia="Arial" w:hAnsi="Arial"/>
                <w:sz w:val="18"/>
                <w:szCs w:val="18"/>
                <w:color w:val="auto"/>
              </w:rPr>
              <w:t>Smaller reporting company</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2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2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322" w:lineRule="exact"/>
        <w:rPr>
          <w:sz w:val="20"/>
          <w:szCs w:val="20"/>
          <w:color w:val="auto"/>
        </w:rPr>
      </w:pPr>
    </w:p>
    <w:p>
      <w:pPr>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0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As of August 4, 2023, there were 188,740,693 shares of the registrant’s common stock, par value $0.00001,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 w:name="page3"/>
    <w:bookmarkEnd w:id="2"/>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1160" w:type="dxa"/>
            <w:vAlign w:val="bottom"/>
          </w:tcPr>
          <w:p>
            <w:pPr>
              <w:ind w:left="400"/>
              <w:spacing w:after="0"/>
              <w:rPr>
                <w:sz w:val="20"/>
                <w:szCs w:val="20"/>
                <w:color w:val="auto"/>
              </w:rPr>
            </w:pPr>
            <w:r>
              <w:rPr>
                <w:rFonts w:ascii="Arial" w:cs="Arial" w:eastAsia="Arial" w:hAnsi="Arial"/>
                <w:sz w:val="18"/>
                <w:szCs w:val="18"/>
                <w:color w:val="auto"/>
              </w:rPr>
              <w:t>Page</w:t>
            </w:r>
          </w:p>
        </w:tc>
      </w:tr>
      <w:tr>
        <w:trPr>
          <w:trHeight w:val="27"/>
        </w:trPr>
        <w:tc>
          <w:tcPr>
            <w:tcW w:w="100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9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FINANCIAL INFORMATION</w:t>
            </w: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1000" w:type="dxa"/>
            <w:vAlign w:val="bottom"/>
          </w:tcPr>
          <w:p>
            <w:pPr>
              <w:ind w:left="140"/>
              <w:spacing w:after="0"/>
              <w:rPr>
                <w:sz w:val="20"/>
                <w:szCs w:val="20"/>
                <w:color w:val="auto"/>
              </w:rPr>
            </w:pPr>
            <w:r>
              <w:rPr>
                <w:rFonts w:ascii="Arial" w:cs="Arial" w:eastAsia="Arial" w:hAnsi="Arial"/>
                <w:sz w:val="18"/>
                <w:szCs w:val="18"/>
                <w:color w:val="auto"/>
              </w:rPr>
              <w:t>Item 1.</w:t>
            </w:r>
          </w:p>
        </w:tc>
        <w:tc>
          <w:tcPr>
            <w:tcW w:w="908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1160" w:type="dxa"/>
            <w:vAlign w:val="bottom"/>
          </w:tcPr>
          <w:p>
            <w:pPr>
              <w:spacing w:after="0"/>
              <w:rPr>
                <w:sz w:val="21"/>
                <w:szCs w:val="21"/>
                <w:color w:val="auto"/>
              </w:rPr>
            </w:pPr>
          </w:p>
        </w:tc>
      </w:tr>
      <w:tr>
        <w:trPr>
          <w:trHeight w:val="27"/>
        </w:trPr>
        <w:tc>
          <w:tcPr>
            <w:tcW w:w="100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spacing w:after="0"/>
              <w:rPr>
                <w:sz w:val="21"/>
                <w:szCs w:val="21"/>
                <w:color w:val="auto"/>
              </w:rPr>
            </w:pPr>
          </w:p>
        </w:tc>
        <w:tc>
          <w:tcPr>
            <w:tcW w:w="9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Condensed Consolidated Balance Sheets as of June 30, 2023 (unaudited) and December 31, 2022</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79"/>
              </w:rPr>
              <w:t>1</w:t>
            </w:r>
          </w:p>
        </w:tc>
      </w:tr>
      <w:tr>
        <w:trPr>
          <w:trHeight w:val="229"/>
        </w:trPr>
        <w:tc>
          <w:tcPr>
            <w:tcW w:w="1000" w:type="dxa"/>
            <w:vAlign w:val="bottom"/>
          </w:tcPr>
          <w:p>
            <w:pPr>
              <w:spacing w:after="0"/>
              <w:rPr>
                <w:sz w:val="19"/>
                <w:szCs w:val="19"/>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w w:val="93"/>
              </w:rPr>
              <w:t>Condensed Consolidated Statements of Operations and Comprehensive Loss (unaudited) for the three and six months</w:t>
            </w:r>
          </w:p>
        </w:tc>
        <w:tc>
          <w:tcPr>
            <w:tcW w:w="116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9080" w:type="dxa"/>
            <w:vAlign w:val="bottom"/>
          </w:tcPr>
          <w:p>
            <w:pPr>
              <w:ind w:left="360"/>
              <w:spacing w:after="0"/>
              <w:rPr>
                <w:sz w:val="20"/>
                <w:szCs w:val="20"/>
                <w:color w:val="auto"/>
              </w:rPr>
            </w:pPr>
            <w:r>
              <w:rPr>
                <w:rFonts w:ascii="Arial" w:cs="Arial" w:eastAsia="Arial" w:hAnsi="Arial"/>
                <w:sz w:val="18"/>
                <w:szCs w:val="18"/>
                <w:color w:val="auto"/>
              </w:rPr>
              <w:t>ended June 30, 2023 and 2022</w:t>
            </w:r>
          </w:p>
        </w:tc>
        <w:tc>
          <w:tcPr>
            <w:tcW w:w="1160" w:type="dxa"/>
            <w:vAlign w:val="bottom"/>
          </w:tcPr>
          <w:p>
            <w:pPr>
              <w:jc w:val="center"/>
              <w:spacing w:after="0"/>
              <w:rPr>
                <w:sz w:val="20"/>
                <w:szCs w:val="20"/>
                <w:color w:val="auto"/>
              </w:rPr>
            </w:pPr>
            <w:r>
              <w:rPr>
                <w:rFonts w:ascii="Arial" w:cs="Arial" w:eastAsia="Arial" w:hAnsi="Arial"/>
                <w:sz w:val="18"/>
                <w:szCs w:val="18"/>
                <w:color w:val="0000FF"/>
                <w:w w:val="79"/>
              </w:rPr>
              <w:t>2</w:t>
            </w:r>
          </w:p>
        </w:tc>
      </w:tr>
      <w:tr>
        <w:trPr>
          <w:trHeight w:val="27"/>
        </w:trPr>
        <w:tc>
          <w:tcPr>
            <w:tcW w:w="100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1000" w:type="dxa"/>
            <w:vAlign w:val="bottom"/>
            <w:shd w:val="clear" w:color="auto" w:fill="CCEEFF"/>
          </w:tcPr>
          <w:p>
            <w:pPr>
              <w:spacing w:after="0"/>
              <w:rPr>
                <w:sz w:val="19"/>
                <w:szCs w:val="19"/>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Condensed Consolidated Statements of Convertible Preferred Stock and Stockholders’ Equity (unaudited) for the three and</w:t>
            </w:r>
          </w:p>
        </w:tc>
        <w:tc>
          <w:tcPr>
            <w:tcW w:w="1160" w:type="dxa"/>
            <w:vAlign w:val="bottom"/>
            <w:shd w:val="clear" w:color="auto" w:fill="CCEEFF"/>
          </w:tcPr>
          <w:p>
            <w:pPr>
              <w:spacing w:after="0"/>
              <w:rPr>
                <w:sz w:val="19"/>
                <w:szCs w:val="19"/>
                <w:color w:val="auto"/>
              </w:rPr>
            </w:pPr>
          </w:p>
        </w:tc>
      </w:tr>
      <w:tr>
        <w:trPr>
          <w:trHeight w:val="237"/>
        </w:trPr>
        <w:tc>
          <w:tcPr>
            <w:tcW w:w="1000" w:type="dxa"/>
            <w:vAlign w:val="bottom"/>
            <w:tcBorders>
              <w:bottom w:val="single" w:sz="8" w:color="CCEEFF"/>
            </w:tcBorders>
            <w:shd w:val="clear" w:color="auto" w:fill="CCEEFF"/>
          </w:tcPr>
          <w:p>
            <w:pPr>
              <w:spacing w:after="0"/>
              <w:rPr>
                <w:sz w:val="20"/>
                <w:szCs w:val="20"/>
                <w:color w:val="auto"/>
              </w:rPr>
            </w:pPr>
          </w:p>
        </w:tc>
        <w:tc>
          <w:tcPr>
            <w:tcW w:w="9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six months ended June 30, 2023 and 2022</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79"/>
              </w:rPr>
              <w:t>3</w:t>
            </w:r>
          </w:p>
        </w:tc>
      </w:tr>
      <w:tr>
        <w:trPr>
          <w:trHeight w:val="243"/>
        </w:trPr>
        <w:tc>
          <w:tcPr>
            <w:tcW w:w="1000" w:type="dxa"/>
            <w:vAlign w:val="bottom"/>
          </w:tcPr>
          <w:p>
            <w:pPr>
              <w:spacing w:after="0"/>
              <w:rPr>
                <w:sz w:val="21"/>
                <w:szCs w:val="21"/>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w w:val="96"/>
              </w:rPr>
              <w:t>Condensed Consolidated Statements of Cash Flows (unaudited) for the six months ended June 30, 2023 and 2022</w:t>
            </w:r>
          </w:p>
        </w:tc>
        <w:tc>
          <w:tcPr>
            <w:tcW w:w="1160" w:type="dxa"/>
            <w:vAlign w:val="bottom"/>
          </w:tcPr>
          <w:p>
            <w:pPr>
              <w:jc w:val="center"/>
              <w:spacing w:after="0"/>
              <w:rPr>
                <w:sz w:val="20"/>
                <w:szCs w:val="20"/>
                <w:color w:val="auto"/>
              </w:rPr>
            </w:pPr>
            <w:r>
              <w:rPr>
                <w:rFonts w:ascii="Arial" w:cs="Arial" w:eastAsia="Arial" w:hAnsi="Arial"/>
                <w:sz w:val="18"/>
                <w:szCs w:val="18"/>
                <w:color w:val="0000FF"/>
                <w:w w:val="79"/>
              </w:rPr>
              <w:t>5</w:t>
            </w:r>
          </w:p>
        </w:tc>
      </w:tr>
      <w:tr>
        <w:trPr>
          <w:trHeight w:val="27"/>
        </w:trPr>
        <w:tc>
          <w:tcPr>
            <w:tcW w:w="100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spacing w:after="0"/>
              <w:rPr>
                <w:sz w:val="21"/>
                <w:szCs w:val="21"/>
                <w:color w:val="auto"/>
              </w:rPr>
            </w:pPr>
          </w:p>
        </w:tc>
        <w:tc>
          <w:tcPr>
            <w:tcW w:w="9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Notes to Condensed Consolidated Financial Statements (unaudited)</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79"/>
              </w:rPr>
              <w:t>6</w:t>
            </w:r>
          </w:p>
        </w:tc>
      </w:tr>
      <w:tr>
        <w:trPr>
          <w:trHeight w:val="243"/>
        </w:trPr>
        <w:tc>
          <w:tcPr>
            <w:tcW w:w="1000" w:type="dxa"/>
            <w:vAlign w:val="bottom"/>
          </w:tcPr>
          <w:p>
            <w:pPr>
              <w:ind w:left="140"/>
              <w:spacing w:after="0"/>
              <w:rPr>
                <w:sz w:val="20"/>
                <w:szCs w:val="20"/>
                <w:color w:val="auto"/>
              </w:rPr>
            </w:pPr>
            <w:r>
              <w:rPr>
                <w:rFonts w:ascii="Arial" w:cs="Arial" w:eastAsia="Arial" w:hAnsi="Arial"/>
                <w:sz w:val="18"/>
                <w:szCs w:val="18"/>
                <w:color w:val="auto"/>
              </w:rPr>
              <w:t>Item 2.</w:t>
            </w:r>
          </w:p>
        </w:tc>
        <w:tc>
          <w:tcPr>
            <w:tcW w:w="9080" w:type="dxa"/>
            <w:vAlign w:val="bottom"/>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20</w:t>
            </w:r>
          </w:p>
        </w:tc>
      </w:tr>
      <w:tr>
        <w:trPr>
          <w:trHeight w:val="27"/>
        </w:trPr>
        <w:tc>
          <w:tcPr>
            <w:tcW w:w="100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3.</w:t>
            </w:r>
          </w:p>
        </w:tc>
        <w:tc>
          <w:tcPr>
            <w:tcW w:w="9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38</w:t>
            </w:r>
          </w:p>
        </w:tc>
      </w:tr>
      <w:tr>
        <w:trPr>
          <w:trHeight w:val="243"/>
        </w:trPr>
        <w:tc>
          <w:tcPr>
            <w:tcW w:w="1000" w:type="dxa"/>
            <w:vAlign w:val="bottom"/>
          </w:tcPr>
          <w:p>
            <w:pPr>
              <w:ind w:left="140"/>
              <w:spacing w:after="0"/>
              <w:rPr>
                <w:sz w:val="20"/>
                <w:szCs w:val="20"/>
                <w:color w:val="auto"/>
              </w:rPr>
            </w:pPr>
            <w:r>
              <w:rPr>
                <w:rFonts w:ascii="Arial" w:cs="Arial" w:eastAsia="Arial" w:hAnsi="Arial"/>
                <w:sz w:val="18"/>
                <w:szCs w:val="18"/>
                <w:color w:val="auto"/>
              </w:rPr>
              <w:t>Item 4.</w:t>
            </w:r>
          </w:p>
        </w:tc>
        <w:tc>
          <w:tcPr>
            <w:tcW w:w="9080" w:type="dxa"/>
            <w:vAlign w:val="bottom"/>
          </w:tcPr>
          <w:p>
            <w:pPr>
              <w:ind w:left="200"/>
              <w:spacing w:after="0"/>
              <w:rPr>
                <w:sz w:val="20"/>
                <w:szCs w:val="20"/>
                <w:color w:val="auto"/>
              </w:rPr>
            </w:pPr>
            <w:r>
              <w:rPr>
                <w:rFonts w:ascii="Arial" w:cs="Arial" w:eastAsia="Arial" w:hAnsi="Arial"/>
                <w:sz w:val="18"/>
                <w:szCs w:val="18"/>
                <w:color w:val="auto"/>
              </w:rPr>
              <w:t>Controls and Procedures</w:t>
            </w: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38</w:t>
            </w:r>
          </w:p>
        </w:tc>
      </w:tr>
      <w:tr>
        <w:trPr>
          <w:trHeight w:val="27"/>
        </w:trPr>
        <w:tc>
          <w:tcPr>
            <w:tcW w:w="100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000" w:type="dxa"/>
            <w:vAlign w:val="bottom"/>
            <w:shd w:val="clear" w:color="auto" w:fill="CCEEFF"/>
          </w:tcPr>
          <w:p>
            <w:pPr>
              <w:spacing w:after="0"/>
              <w:rPr>
                <w:sz w:val="23"/>
                <w:szCs w:val="23"/>
                <w:color w:val="auto"/>
              </w:rPr>
            </w:pPr>
          </w:p>
        </w:tc>
        <w:tc>
          <w:tcPr>
            <w:tcW w:w="90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080" w:type="dxa"/>
            <w:vAlign w:val="bottom"/>
          </w:tcPr>
          <w:p>
            <w:pPr>
              <w:ind w:left="200"/>
              <w:spacing w:after="0"/>
              <w:rPr>
                <w:sz w:val="20"/>
                <w:szCs w:val="20"/>
                <w:color w:val="auto"/>
              </w:rPr>
            </w:pPr>
            <w:r>
              <w:rPr>
                <w:rFonts w:ascii="Arial" w:cs="Arial" w:eastAsia="Arial" w:hAnsi="Arial"/>
                <w:sz w:val="18"/>
                <w:szCs w:val="18"/>
                <w:b w:val="1"/>
                <w:bCs w:val="1"/>
                <w:color w:val="auto"/>
              </w:rPr>
              <w:t>OTHER INFORMATION</w:t>
            </w:r>
          </w:p>
        </w:tc>
        <w:tc>
          <w:tcPr>
            <w:tcW w:w="1160" w:type="dxa"/>
            <w:vAlign w:val="bottom"/>
          </w:tcPr>
          <w:p>
            <w:pPr>
              <w:spacing w:after="0"/>
              <w:rPr>
                <w:sz w:val="21"/>
                <w:szCs w:val="21"/>
                <w:color w:val="auto"/>
              </w:rPr>
            </w:pPr>
          </w:p>
        </w:tc>
      </w:tr>
      <w:tr>
        <w:trPr>
          <w:trHeight w:val="27"/>
        </w:trPr>
        <w:tc>
          <w:tcPr>
            <w:tcW w:w="100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1.</w:t>
            </w:r>
          </w:p>
        </w:tc>
        <w:tc>
          <w:tcPr>
            <w:tcW w:w="9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Legal Proceedings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39</w:t>
            </w:r>
          </w:p>
        </w:tc>
      </w:tr>
      <w:tr>
        <w:trPr>
          <w:trHeight w:val="243"/>
        </w:trPr>
        <w:tc>
          <w:tcPr>
            <w:tcW w:w="1000" w:type="dxa"/>
            <w:vAlign w:val="bottom"/>
          </w:tcPr>
          <w:p>
            <w:pPr>
              <w:ind w:left="140"/>
              <w:spacing w:after="0"/>
              <w:rPr>
                <w:sz w:val="20"/>
                <w:szCs w:val="20"/>
                <w:color w:val="auto"/>
              </w:rPr>
            </w:pPr>
            <w:r>
              <w:rPr>
                <w:rFonts w:ascii="Arial" w:cs="Arial" w:eastAsia="Arial" w:hAnsi="Arial"/>
                <w:sz w:val="18"/>
                <w:szCs w:val="18"/>
                <w:color w:val="auto"/>
              </w:rPr>
              <w:t>Item 1A.</w:t>
            </w:r>
          </w:p>
        </w:tc>
        <w:tc>
          <w:tcPr>
            <w:tcW w:w="908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39</w:t>
            </w:r>
          </w:p>
        </w:tc>
      </w:tr>
      <w:tr>
        <w:trPr>
          <w:trHeight w:val="27"/>
        </w:trPr>
        <w:tc>
          <w:tcPr>
            <w:tcW w:w="100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2.</w:t>
            </w:r>
          </w:p>
        </w:tc>
        <w:tc>
          <w:tcPr>
            <w:tcW w:w="9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Unregistered Sales of Equity Securities, Use of Proceeds, and Issuer Purchases of Equity Securities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39</w:t>
            </w:r>
          </w:p>
        </w:tc>
      </w:tr>
      <w:tr>
        <w:trPr>
          <w:trHeight w:val="243"/>
        </w:trPr>
        <w:tc>
          <w:tcPr>
            <w:tcW w:w="1000" w:type="dxa"/>
            <w:vAlign w:val="bottom"/>
          </w:tcPr>
          <w:p>
            <w:pPr>
              <w:ind w:left="140"/>
              <w:spacing w:after="0"/>
              <w:rPr>
                <w:sz w:val="20"/>
                <w:szCs w:val="20"/>
                <w:color w:val="auto"/>
              </w:rPr>
            </w:pPr>
            <w:r>
              <w:rPr>
                <w:rFonts w:ascii="Arial" w:cs="Arial" w:eastAsia="Arial" w:hAnsi="Arial"/>
                <w:sz w:val="18"/>
                <w:szCs w:val="18"/>
                <w:color w:val="auto"/>
              </w:rPr>
              <w:t>Item 3.</w:t>
            </w:r>
          </w:p>
        </w:tc>
        <w:tc>
          <w:tcPr>
            <w:tcW w:w="9080" w:type="dxa"/>
            <w:vAlign w:val="bottom"/>
          </w:tcPr>
          <w:p>
            <w:pPr>
              <w:ind w:left="200"/>
              <w:spacing w:after="0"/>
              <w:rPr>
                <w:sz w:val="20"/>
                <w:szCs w:val="20"/>
                <w:color w:val="auto"/>
              </w:rPr>
            </w:pPr>
            <w:r>
              <w:rPr>
                <w:rFonts w:ascii="Arial" w:cs="Arial" w:eastAsia="Arial" w:hAnsi="Arial"/>
                <w:sz w:val="18"/>
                <w:szCs w:val="18"/>
                <w:color w:val="auto"/>
              </w:rPr>
              <w:t>Defaults Upon Senior Securities</w:t>
            </w: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39</w:t>
            </w:r>
          </w:p>
        </w:tc>
      </w:tr>
      <w:tr>
        <w:trPr>
          <w:trHeight w:val="27"/>
        </w:trPr>
        <w:tc>
          <w:tcPr>
            <w:tcW w:w="100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4.</w:t>
            </w:r>
          </w:p>
        </w:tc>
        <w:tc>
          <w:tcPr>
            <w:tcW w:w="9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Mine Safety Disclosures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40</w:t>
            </w:r>
          </w:p>
        </w:tc>
      </w:tr>
      <w:tr>
        <w:trPr>
          <w:trHeight w:val="243"/>
        </w:trPr>
        <w:tc>
          <w:tcPr>
            <w:tcW w:w="1000" w:type="dxa"/>
            <w:vAlign w:val="bottom"/>
          </w:tcPr>
          <w:p>
            <w:pPr>
              <w:ind w:left="140"/>
              <w:spacing w:after="0"/>
              <w:rPr>
                <w:sz w:val="20"/>
                <w:szCs w:val="20"/>
                <w:color w:val="auto"/>
              </w:rPr>
            </w:pPr>
            <w:r>
              <w:rPr>
                <w:rFonts w:ascii="Arial" w:cs="Arial" w:eastAsia="Arial" w:hAnsi="Arial"/>
                <w:sz w:val="18"/>
                <w:szCs w:val="18"/>
                <w:color w:val="auto"/>
              </w:rPr>
              <w:t>Item 5.</w:t>
            </w:r>
          </w:p>
        </w:tc>
        <w:tc>
          <w:tcPr>
            <w:tcW w:w="9080" w:type="dxa"/>
            <w:vAlign w:val="bottom"/>
          </w:tcPr>
          <w:p>
            <w:pPr>
              <w:ind w:left="200"/>
              <w:spacing w:after="0"/>
              <w:rPr>
                <w:sz w:val="20"/>
                <w:szCs w:val="20"/>
                <w:color w:val="auto"/>
              </w:rPr>
            </w:pPr>
            <w:r>
              <w:rPr>
                <w:rFonts w:ascii="Arial" w:cs="Arial" w:eastAsia="Arial" w:hAnsi="Arial"/>
                <w:sz w:val="18"/>
                <w:szCs w:val="18"/>
                <w:color w:val="auto"/>
              </w:rPr>
              <w:t>Other Information</w:t>
            </w: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40</w:t>
            </w:r>
          </w:p>
        </w:tc>
      </w:tr>
      <w:tr>
        <w:trPr>
          <w:trHeight w:val="27"/>
        </w:trPr>
        <w:tc>
          <w:tcPr>
            <w:tcW w:w="100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6.</w:t>
            </w:r>
          </w:p>
        </w:tc>
        <w:tc>
          <w:tcPr>
            <w:tcW w:w="9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Exhibits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40</w:t>
            </w: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90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42</w:t>
            </w:r>
          </w:p>
        </w:tc>
      </w:tr>
      <w:tr>
        <w:trPr>
          <w:trHeight w:val="1519"/>
        </w:trPr>
        <w:tc>
          <w:tcPr>
            <w:tcW w:w="1000" w:type="dxa"/>
            <w:vAlign w:val="bottom"/>
            <w:tcBorders>
              <w:bottom w:val="single" w:sz="8" w:color="9A9A9A"/>
            </w:tcBorders>
          </w:tcPr>
          <w:p>
            <w:pPr>
              <w:spacing w:after="0"/>
              <w:rPr>
                <w:sz w:val="24"/>
                <w:szCs w:val="24"/>
                <w:color w:val="auto"/>
              </w:rPr>
            </w:pPr>
          </w:p>
        </w:tc>
        <w:tc>
          <w:tcPr>
            <w:tcW w:w="90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macroeconomic and market conditions, equity compensation, business strategy, plans, market growth, future acquisitions and other capital expenditures, progress towards remediation of our material weakness and our objectives for future operations.</w:t>
      </w:r>
    </w:p>
    <w:p>
      <w:pPr>
        <w:spacing w:after="0" w:line="20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our limited operating history and evolving business; our recent growth rates may not be sustainable or indicative of future growth; we may not achieve profitability in the future; we may continue to experience significant quarterly and annual fluctuations in our operating results due to a number of factors, which makes our future operating results difficult to predict; we may reduce our rate of acquisitions and may be unsuccessful in achieving continued growth through acquisitions; revenues and profits generated through acquisitions may be less than anticipated, and we may fail to uncover all liabilities of acquisition targets; we may need to incur additional indebtedness or seek capital through new equity or debt financings, which may not be available to us on acceptable terms or at all; we may not be able to continue to expand our share of our existing vertical markets or expand into new vertical markets; we face intense competition in each of the industries in which we operate; the industries in which we operate are rapidly evolving and the market for technology-enabled services that empower small and medium-sized businesses is relatively immature and unproven; we are subject to economic and political risk; we are dependent on payment card networks and payment processors and if we fail to comply with the applicable requirements of our payment network or payment processors, they can seek to fine us, suspend us or terminate our registrations through our bank sponsors; the inability to keep pace with rapid developments and changes in the electronic payments market or are unable to introduce, develop and market new and enhanced versions of our software solutions; real or perceived errors, failures or bugs in our solutions; unauthorized disclosure, destruction or modification of data, disruption of our software or services or cyber breaches; our estimated total addressable market is subject to inherent challenges and uncertainties; actual or perceived inaccuracies in our operational metrics may harm our reputation; failure to effectively develop and expand our sales and marketing capabilities; failure to maintain and enhance our reputation and brand recognition; inability to retain current customers or to sell additional functionality and services to them may adversely affect our revenue growth; our systems and our third-party providers’ systems may fail or our third-party providers may discontinue providing their services or technology or to us specifically; faster growth of lower margin solutions and services than higher margin solutions and services; the impact of the COVID-19 pandemic and the risk of future pandemics, epidemics or outbreaks of an infectious disease in the United States; economic and political risks, including the business cycles of our clients and changes in the overall level of consumer and commercial spending; our ability to retain and hire skilled personnel; risks related to our indebtedness; risks related to the increasing focus on environmental sustainability and social initiatives; our ability to adequately protect or enforce our intellectual property and other proprietary rights; risk of patent, trademark and other intellectual property infringement claims; risks related to governmental regulation; risks related to our sponsor stockholders agreement and qualifying as a “controlled company” under the rules of The Nasdaq Stock Market; as well as the other factors described in our Annual Report on Form 10-K for the year ended December 31, 2022 (“Annual Report on Form 10-K”), as updated by our other filings with the Securities and Exchange Commission (the “SEC”). The forward-looking statements in this Quarterly Report on Form 10-Q are based upon information available to us as of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jc w:val="both"/>
        <w:spacing w:after="0" w:line="311" w:lineRule="auto"/>
        <w:rPr>
          <w:sz w:val="20"/>
          <w:szCs w:val="20"/>
          <w:color w:val="auto"/>
        </w:rPr>
      </w:pPr>
      <w:r>
        <w:rPr>
          <w:rFonts w:ascii="Arial" w:cs="Arial" w:eastAsia="Arial" w:hAnsi="Arial"/>
          <w:sz w:val="16"/>
          <w:szCs w:val="16"/>
          <w:color w:val="auto"/>
        </w:rPr>
        <w:t>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7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7"/>
        </w:trPr>
        <w:tc>
          <w:tcPr>
            <w:tcW w:w="7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48"/>
        </w:trPr>
        <w:tc>
          <w:tcPr>
            <w:tcW w:w="7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83,066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92,625</w:t>
            </w:r>
          </w:p>
        </w:tc>
      </w:tr>
      <w:tr>
        <w:trPr>
          <w:trHeight w:val="243"/>
        </w:trPr>
        <w:tc>
          <w:tcPr>
            <w:tcW w:w="798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3,199</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79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Accounts receivable, net of allowance for expected credit losses of $6.9 million and $4.7 million at June 30,</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2023 and December 31, 2022,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48,032</w:t>
            </w:r>
          </w:p>
        </w:tc>
      </w:tr>
      <w:tr>
        <w:trPr>
          <w:trHeight w:val="243"/>
        </w:trPr>
        <w:tc>
          <w:tcPr>
            <w:tcW w:w="7980" w:type="dxa"/>
            <w:vAlign w:val="bottom"/>
          </w:tcPr>
          <w:p>
            <w:pPr>
              <w:ind w:left="100"/>
              <w:spacing w:after="0"/>
              <w:rPr>
                <w:sz w:val="20"/>
                <w:szCs w:val="20"/>
                <w:color w:val="auto"/>
              </w:rPr>
            </w:pPr>
            <w:r>
              <w:rPr>
                <w:rFonts w:ascii="Arial" w:cs="Arial" w:eastAsia="Arial" w:hAnsi="Arial"/>
                <w:sz w:val="18"/>
                <w:szCs w:val="18"/>
                <w:color w:val="auto"/>
              </w:rPr>
              <w:t>Contract assets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12,971</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23,760</w:t>
            </w:r>
          </w:p>
        </w:tc>
      </w:tr>
      <w:tr>
        <w:trPr>
          <w:trHeight w:val="237"/>
        </w:trPr>
        <w:tc>
          <w:tcPr>
            <w:tcW w:w="7980" w:type="dxa"/>
            <w:vAlign w:val="bottom"/>
          </w:tcPr>
          <w:p>
            <w:pPr>
              <w:ind w:left="24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177,907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180,587</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11,930</w:t>
            </w:r>
          </w:p>
        </w:tc>
      </w:tr>
      <w:tr>
        <w:trPr>
          <w:trHeight w:val="243"/>
        </w:trPr>
        <w:tc>
          <w:tcPr>
            <w:tcW w:w="7980" w:type="dxa"/>
            <w:vAlign w:val="bottom"/>
          </w:tcPr>
          <w:p>
            <w:pPr>
              <w:ind w:left="100"/>
              <w:spacing w:after="0"/>
              <w:rPr>
                <w:sz w:val="20"/>
                <w:szCs w:val="20"/>
                <w:color w:val="auto"/>
              </w:rPr>
            </w:pPr>
            <w:r>
              <w:rPr>
                <w:rFonts w:ascii="Arial" w:cs="Arial" w:eastAsia="Arial" w:hAnsi="Arial"/>
                <w:sz w:val="18"/>
                <w:szCs w:val="18"/>
                <w:color w:val="auto"/>
              </w:rPr>
              <w:t>Capitalized software, net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37,704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32,554</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46,855</w:t>
            </w:r>
          </w:p>
        </w:tc>
      </w:tr>
      <w:tr>
        <w:trPr>
          <w:trHeight w:val="243"/>
        </w:trPr>
        <w:tc>
          <w:tcPr>
            <w:tcW w:w="7980" w:type="dxa"/>
            <w:vAlign w:val="bottom"/>
          </w:tcPr>
          <w:p>
            <w:pPr>
              <w:ind w:left="10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360,021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405,720</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912,776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914,082</w:t>
            </w:r>
          </w:p>
        </w:tc>
      </w:tr>
      <w:tr>
        <w:trPr>
          <w:trHeight w:val="237"/>
        </w:trPr>
        <w:tc>
          <w:tcPr>
            <w:tcW w:w="798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1,544,164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1,591,728</w:t>
            </w: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8,373</w:t>
            </w:r>
          </w:p>
        </w:tc>
      </w:tr>
      <w:tr>
        <w:trPr>
          <w:trHeight w:val="243"/>
        </w:trPr>
        <w:tc>
          <w:tcPr>
            <w:tcW w:w="7980" w:type="dxa"/>
            <w:vAlign w:val="bottom"/>
          </w:tcPr>
          <w:p>
            <w:pPr>
              <w:ind w:left="100"/>
              <w:spacing w:after="0"/>
              <w:rPr>
                <w:sz w:val="20"/>
                <w:szCs w:val="20"/>
                <w:color w:val="auto"/>
              </w:rPr>
            </w:pPr>
            <w:r>
              <w:rPr>
                <w:rFonts w:ascii="Arial" w:cs="Arial" w:eastAsia="Arial" w:hAnsi="Arial"/>
                <w:sz w:val="18"/>
                <w:szCs w:val="18"/>
                <w:color w:val="auto"/>
              </w:rPr>
              <w:t>Accrued expenses and other</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58,943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56,963</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22,885</w:t>
            </w:r>
          </w:p>
        </w:tc>
      </w:tr>
      <w:tr>
        <w:trPr>
          <w:trHeight w:val="243"/>
        </w:trPr>
        <w:tc>
          <w:tcPr>
            <w:tcW w:w="7980" w:type="dxa"/>
            <w:vAlign w:val="bottom"/>
          </w:tcPr>
          <w:p>
            <w:pPr>
              <w:ind w:left="100"/>
              <w:spacing w:after="0"/>
              <w:rPr>
                <w:sz w:val="20"/>
                <w:szCs w:val="20"/>
                <w:color w:val="auto"/>
              </w:rPr>
            </w:pPr>
            <w:r>
              <w:rPr>
                <w:rFonts w:ascii="Arial" w:cs="Arial" w:eastAsia="Arial" w:hAnsi="Arial"/>
                <w:sz w:val="18"/>
                <w:szCs w:val="18"/>
                <w:color w:val="auto"/>
              </w:rPr>
              <w:t>Customer deposits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11,360</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111,939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105,081</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Long-term debt, net of current maturities and deferred financing costs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528,824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530,946</w:t>
            </w:r>
          </w:p>
        </w:tc>
      </w:tr>
      <w:tr>
        <w:trPr>
          <w:trHeight w:val="264"/>
        </w:trPr>
        <w:tc>
          <w:tcPr>
            <w:tcW w:w="7980" w:type="dxa"/>
            <w:vAlign w:val="bottom"/>
          </w:tcPr>
          <w:p>
            <w:pPr>
              <w:ind w:left="10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49,008</w:t>
            </w:r>
          </w:p>
        </w:tc>
      </w:tr>
      <w:tr>
        <w:trPr>
          <w:trHeight w:val="263"/>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685,035</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15)</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9"/>
        </w:trPr>
        <w:tc>
          <w:tcPr>
            <w:tcW w:w="7980" w:type="dxa"/>
            <w:vAlign w:val="bottom"/>
          </w:tcPr>
          <w:p>
            <w:pPr>
              <w:ind w:left="100"/>
              <w:spacing w:after="0"/>
              <w:rPr>
                <w:sz w:val="20"/>
                <w:szCs w:val="20"/>
                <w:color w:val="auto"/>
              </w:rPr>
            </w:pPr>
            <w:r>
              <w:rPr>
                <w:rFonts w:ascii="Arial" w:cs="Arial" w:eastAsia="Arial" w:hAnsi="Arial"/>
                <w:sz w:val="18"/>
                <w:szCs w:val="18"/>
                <w:color w:val="auto"/>
                <w:w w:val="89"/>
              </w:rPr>
              <w:t>Preferred stock, $0.00001 par value, 50,000,000 shares authorized and no shares issued or outstanding as of</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June 30, 2023 and December 31, 2022</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79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Common stock, $0.00001 par value, 2,000,000,000 shares authorized and 188,636,381 and 191,447,237</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shares issued and outstanding at June 30, 2023 and December 31, 2022,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980" w:type="dxa"/>
            <w:vAlign w:val="bottom"/>
          </w:tcPr>
          <w:p>
            <w:pPr>
              <w:ind w:left="10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(10,198)</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1,466,360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1,489,935</w:t>
            </w:r>
          </w:p>
        </w:tc>
      </w:tr>
      <w:tr>
        <w:trPr>
          <w:trHeight w:val="243"/>
        </w:trPr>
        <w:tc>
          <w:tcPr>
            <w:tcW w:w="798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(596,026)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(573,046)</w:t>
            </w: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859,357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906,693</w:t>
            </w:r>
          </w:p>
        </w:tc>
      </w:tr>
      <w:tr>
        <w:trPr>
          <w:trHeight w:val="264"/>
        </w:trPr>
        <w:tc>
          <w:tcPr>
            <w:tcW w:w="7980" w:type="dxa"/>
            <w:vAlign w:val="bottom"/>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1,544,164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1,591,728</w:t>
            </w: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417"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w w:val="84"/>
              </w:rPr>
              <w:t>2022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40"/>
              <w:spacing w:after="0"/>
              <w:rPr>
                <w:sz w:val="20"/>
                <w:szCs w:val="20"/>
                <w:color w:val="auto"/>
              </w:rPr>
            </w:pPr>
            <w:r>
              <w:rPr>
                <w:rFonts w:ascii="Arial" w:cs="Arial" w:eastAsia="Arial" w:hAnsi="Arial"/>
                <w:sz w:val="18"/>
                <w:szCs w:val="18"/>
                <w:color w:val="auto"/>
              </w:rPr>
              <w:t>Subscription and transaction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130,305</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115,648</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254,125</w:t>
            </w:r>
          </w:p>
        </w:tc>
        <w:tc>
          <w:tcPr>
            <w:tcW w:w="7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223,649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Marketing technology solutions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66,243</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65,064</w:t>
            </w:r>
          </w:p>
        </w:tc>
        <w:tc>
          <w:tcPr>
            <w:tcW w:w="0" w:type="dxa"/>
            <w:vAlign w:val="bottom"/>
          </w:tcPr>
          <w:p>
            <w:pPr>
              <w:spacing w:after="0"/>
              <w:rPr>
                <w:sz w:val="1"/>
                <w:szCs w:val="1"/>
                <w:color w:val="auto"/>
              </w:rPr>
            </w:pPr>
          </w:p>
        </w:tc>
      </w:tr>
      <w:tr>
        <w:trPr>
          <w:trHeight w:val="243"/>
        </w:trPr>
        <w:tc>
          <w:tcPr>
            <w:tcW w:w="458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10,820</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12,109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331,188</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300,822</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Cost of revenues (exclusive of depreciation and amortization</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presented separately below)</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58,185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55,103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114,131</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105,848</w:t>
            </w:r>
          </w:p>
        </w:tc>
        <w:tc>
          <w:tcPr>
            <w:tcW w:w="0" w:type="dxa"/>
            <w:vAlign w:val="bottom"/>
          </w:tcPr>
          <w:p>
            <w:pPr>
              <w:spacing w:after="0"/>
              <w:rPr>
                <w:sz w:val="1"/>
                <w:szCs w:val="1"/>
                <w:color w:val="auto"/>
              </w:rPr>
            </w:pPr>
          </w:p>
        </w:tc>
      </w:tr>
      <w:tr>
        <w:trPr>
          <w:trHeight w:val="243"/>
        </w:trPr>
        <w:tc>
          <w:tcPr>
            <w:tcW w:w="458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61,574</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60,091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Product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37,034</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35,060</w:t>
            </w:r>
          </w:p>
        </w:tc>
        <w:tc>
          <w:tcPr>
            <w:tcW w:w="0" w:type="dxa"/>
            <w:vAlign w:val="bottom"/>
          </w:tcPr>
          <w:p>
            <w:pPr>
              <w:spacing w:after="0"/>
              <w:rPr>
                <w:sz w:val="1"/>
                <w:szCs w:val="1"/>
                <w:color w:val="auto"/>
              </w:rPr>
            </w:pPr>
          </w:p>
        </w:tc>
      </w:tr>
      <w:tr>
        <w:trPr>
          <w:trHeight w:val="243"/>
        </w:trPr>
        <w:tc>
          <w:tcPr>
            <w:tcW w:w="458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70,015</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64,584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51,940</w:t>
            </w:r>
          </w:p>
        </w:tc>
        <w:tc>
          <w:tcPr>
            <w:tcW w:w="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54,911</w:t>
            </w:r>
          </w:p>
        </w:tc>
        <w:tc>
          <w:tcPr>
            <w:tcW w:w="0" w:type="dxa"/>
            <w:vAlign w:val="bottom"/>
          </w:tcPr>
          <w:p>
            <w:pPr>
              <w:spacing w:after="0"/>
              <w:rPr>
                <w:sz w:val="1"/>
                <w:szCs w:val="1"/>
                <w:color w:val="auto"/>
              </w:rPr>
            </w:pPr>
          </w:p>
        </w:tc>
      </w:tr>
      <w:tr>
        <w:trPr>
          <w:trHeight w:val="236"/>
        </w:trPr>
        <w:tc>
          <w:tcPr>
            <w:tcW w:w="4580" w:type="dxa"/>
            <w:vAlign w:val="bottom"/>
          </w:tcPr>
          <w:p>
            <w:pPr>
              <w:ind w:left="24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168,270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163,350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334,694</w:t>
            </w:r>
          </w:p>
        </w:tc>
        <w:tc>
          <w:tcPr>
            <w:tcW w:w="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320,494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(19,672)</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(19,949)</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(12,180)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58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b w:val="1"/>
                <w:bCs w:val="1"/>
                <w:color w:val="auto"/>
                <w:w w:val="91"/>
              </w:rPr>
              <w:t>Net loss attributable to common stockholders before</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income tax benefit (expense)</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(23,455)</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(31,852)</w:t>
            </w:r>
          </w:p>
        </w:tc>
        <w:tc>
          <w:tcPr>
            <w:tcW w:w="0" w:type="dxa"/>
            <w:vAlign w:val="bottom"/>
          </w:tcPr>
          <w:p>
            <w:pPr>
              <w:spacing w:after="0"/>
              <w:rPr>
                <w:sz w:val="1"/>
                <w:szCs w:val="1"/>
                <w:color w:val="auto"/>
              </w:rPr>
            </w:pPr>
          </w:p>
        </w:tc>
      </w:tr>
      <w:tr>
        <w:trPr>
          <w:trHeight w:val="264"/>
        </w:trPr>
        <w:tc>
          <w:tcPr>
            <w:tcW w:w="458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8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Net loss attributable to common stockholders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(21,671)</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(26,190)</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Foreign currency translation losses, net</w:t>
            </w:r>
          </w:p>
        </w:tc>
        <w:tc>
          <w:tcPr>
            <w:tcW w:w="3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25"/>
        </w:trPr>
        <w:tc>
          <w:tcPr>
            <w:tcW w:w="4580" w:type="dxa"/>
            <w:vAlign w:val="bottom"/>
          </w:tcPr>
          <w:p>
            <w:pPr>
              <w:ind w:left="680"/>
              <w:spacing w:after="0"/>
              <w:rPr>
                <w:sz w:val="20"/>
                <w:szCs w:val="20"/>
                <w:color w:val="auto"/>
              </w:rPr>
            </w:pPr>
            <w:r>
              <w:rPr>
                <w:rFonts w:ascii="Arial" w:cs="Arial" w:eastAsia="Arial" w:hAnsi="Arial"/>
                <w:sz w:val="18"/>
                <w:szCs w:val="18"/>
                <w:b w:val="1"/>
                <w:bCs w:val="1"/>
                <w:color w:val="auto"/>
              </w:rPr>
              <w:t>Comprehensive loss attributable to common</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680"/>
              <w:spacing w:after="0"/>
              <w:rPr>
                <w:sz w:val="20"/>
                <w:szCs w:val="20"/>
                <w:color w:val="auto"/>
              </w:rPr>
            </w:pPr>
            <w:r>
              <w:rPr>
                <w:rFonts w:ascii="Arial" w:cs="Arial" w:eastAsia="Arial" w:hAnsi="Arial"/>
                <w:sz w:val="18"/>
                <w:szCs w:val="18"/>
                <w:b w:val="1"/>
                <w:bCs w:val="1"/>
                <w:color w:val="auto"/>
              </w:rPr>
              <w:t>stockholders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(1,578)</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(21,050)</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(22,452)</w:t>
            </w:r>
          </w:p>
        </w:tc>
        <w:tc>
          <w:tcPr>
            <w:tcW w:w="7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(35,023)</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5"/>
              </w:rPr>
              <w:t>Basic and diluted net loss per share attributable to common</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5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74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32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500" w:type="dxa"/>
            <w:vAlign w:val="bottom"/>
            <w:gridSpan w:val="2"/>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500" w:type="dxa"/>
            <w:vAlign w:val="bottom"/>
            <w:gridSpan w:val="2"/>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3"/>
              </w:rPr>
              <w:t>Basic and diluted weighted-average shares of common stock</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188,277,209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w w:val="99"/>
              </w:rPr>
              <w:t>195,650,334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189,157,212</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w w:val="91"/>
              </w:rPr>
              <w:t>195,541,998</w:t>
            </w: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outstanding used in computing net loss per share</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5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0"/>
              </w:rPr>
              <w:t>Preferred Stock</w:t>
            </w:r>
          </w:p>
        </w:tc>
        <w:tc>
          <w:tcPr>
            <w:tcW w:w="15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1"/>
              </w:rPr>
              <w:t>Common Stock</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7"/>
        </w:trPr>
        <w:tc>
          <w:tcPr>
            <w:tcW w:w="3080" w:type="dxa"/>
            <w:vAlign w:val="bottom"/>
          </w:tcPr>
          <w:p>
            <w:pPr>
              <w:spacing w:after="0"/>
              <w:rPr>
                <w:sz w:val="14"/>
                <w:szCs w:val="14"/>
                <w:color w:val="auto"/>
              </w:rPr>
            </w:pPr>
          </w:p>
        </w:tc>
        <w:tc>
          <w:tcPr>
            <w:tcW w:w="1540" w:type="dxa"/>
            <w:vAlign w:val="bottom"/>
            <w:tcBorders>
              <w:bottom w:val="single" w:sz="8" w:color="auto"/>
            </w:tcBorders>
            <w:gridSpan w:val="3"/>
            <w:vMerge w:val="continue"/>
          </w:tcPr>
          <w:p>
            <w:pPr>
              <w:spacing w:after="0"/>
              <w:rPr>
                <w:sz w:val="14"/>
                <w:szCs w:val="14"/>
                <w:color w:val="auto"/>
              </w:rPr>
            </w:pPr>
          </w:p>
        </w:tc>
        <w:tc>
          <w:tcPr>
            <w:tcW w:w="1500" w:type="dxa"/>
            <w:vAlign w:val="bottom"/>
            <w:tcBorders>
              <w:bottom w:val="single" w:sz="8" w:color="auto"/>
            </w:tcBorders>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79"/>
              <w:spacing w:after="0" w:line="142" w:lineRule="exact"/>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4"/>
                <w:szCs w:val="14"/>
                <w:color w:val="auto"/>
              </w:rPr>
            </w:pPr>
          </w:p>
        </w:tc>
        <w:tc>
          <w:tcPr>
            <w:tcW w:w="1120" w:type="dxa"/>
            <w:vAlign w:val="bottom"/>
          </w:tcPr>
          <w:p>
            <w:pPr>
              <w:jc w:val="right"/>
              <w:ind w:right="79"/>
              <w:spacing w:after="0" w:line="142" w:lineRule="exact"/>
              <w:rPr>
                <w:sz w:val="20"/>
                <w:szCs w:val="20"/>
                <w:color w:val="auto"/>
              </w:rPr>
            </w:pPr>
            <w:r>
              <w:rPr>
                <w:rFonts w:ascii="Arial" w:cs="Arial" w:eastAsia="Arial" w:hAnsi="Arial"/>
                <w:sz w:val="16"/>
                <w:szCs w:val="16"/>
                <w:b w:val="1"/>
                <w:bCs w:val="1"/>
                <w:color w:val="auto"/>
                <w:w w:val="93"/>
              </w:rPr>
              <w:t>Accumulated</w:t>
            </w:r>
          </w:p>
        </w:tc>
        <w:tc>
          <w:tcPr>
            <w:tcW w:w="120" w:type="dxa"/>
            <w:vAlign w:val="bottom"/>
          </w:tcPr>
          <w:p>
            <w:pPr>
              <w:spacing w:after="0"/>
              <w:rPr>
                <w:sz w:val="14"/>
                <w:szCs w:val="14"/>
                <w:color w:val="auto"/>
              </w:rPr>
            </w:pPr>
          </w:p>
        </w:tc>
        <w:tc>
          <w:tcPr>
            <w:tcW w:w="1180" w:type="dxa"/>
            <w:vAlign w:val="bottom"/>
          </w:tcPr>
          <w:p>
            <w:pPr>
              <w:jc w:val="center"/>
              <w:ind w:right="19"/>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160" w:type="dxa"/>
            <w:vAlign w:val="bottom"/>
          </w:tcPr>
          <w:p>
            <w:pPr>
              <w:jc w:val="center"/>
              <w:ind w:right="39"/>
              <w:spacing w:after="0" w:line="14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7"/>
        </w:trPr>
        <w:tc>
          <w:tcPr>
            <w:tcW w:w="308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6"/>
                <w:szCs w:val="16"/>
                <w:b w:val="1"/>
                <w:bCs w:val="1"/>
                <w:color w:val="auto"/>
              </w:rPr>
              <w:t>Amount</w:t>
            </w: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Amount</w:t>
            </w:r>
          </w:p>
        </w:tc>
        <w:tc>
          <w:tcPr>
            <w:tcW w:w="12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Paid-In Capital</w:t>
            </w:r>
          </w:p>
        </w:tc>
        <w:tc>
          <w:tcPr>
            <w:tcW w:w="14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191,447</w:t>
            </w: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1,489,935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(573,046)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906,693</w:t>
            </w:r>
          </w:p>
        </w:tc>
        <w:tc>
          <w:tcPr>
            <w:tcW w:w="0" w:type="dxa"/>
            <w:vAlign w:val="bottom"/>
          </w:tcPr>
          <w:p>
            <w:pPr>
              <w:spacing w:after="0"/>
              <w:rPr>
                <w:sz w:val="1"/>
                <w:szCs w:val="1"/>
                <w:color w:val="auto"/>
              </w:rPr>
            </w:pPr>
          </w:p>
        </w:tc>
      </w:tr>
      <w:tr>
        <w:trPr>
          <w:trHeight w:val="220"/>
        </w:trPr>
        <w:tc>
          <w:tcPr>
            <w:tcW w:w="3080" w:type="dxa"/>
            <w:vAlign w:val="bottom"/>
          </w:tcPr>
          <w:p>
            <w:pPr>
              <w:ind w:left="100"/>
              <w:spacing w:after="0"/>
              <w:rPr>
                <w:sz w:val="20"/>
                <w:szCs w:val="20"/>
                <w:color w:val="auto"/>
              </w:rPr>
            </w:pPr>
            <w:r>
              <w:rPr>
                <w:rFonts w:ascii="Arial" w:cs="Arial" w:eastAsia="Arial" w:hAnsi="Arial"/>
                <w:sz w:val="16"/>
                <w:szCs w:val="16"/>
                <w:color w:val="auto"/>
              </w:rPr>
              <w:t>Common stock issued upon vesting of</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6"/>
                <w:szCs w:val="16"/>
                <w:color w:val="auto"/>
              </w:rPr>
              <w:t>restricted stock units</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3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Stock-based compensation</w:t>
            </w:r>
          </w:p>
        </w:tc>
        <w:tc>
          <w:tcPr>
            <w:tcW w:w="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7,514</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7,514</w:t>
            </w:r>
          </w:p>
        </w:tc>
        <w:tc>
          <w:tcPr>
            <w:tcW w:w="0" w:type="dxa"/>
            <w:vAlign w:val="bottom"/>
          </w:tcPr>
          <w:p>
            <w:pPr>
              <w:spacing w:after="0"/>
              <w:rPr>
                <w:sz w:val="1"/>
                <w:szCs w:val="1"/>
                <w:color w:val="auto"/>
              </w:rPr>
            </w:pPr>
          </w:p>
        </w:tc>
      </w:tr>
      <w:tr>
        <w:trPr>
          <w:trHeight w:val="233"/>
        </w:trPr>
        <w:tc>
          <w:tcPr>
            <w:tcW w:w="3080" w:type="dxa"/>
            <w:vAlign w:val="bottom"/>
          </w:tcPr>
          <w:p>
            <w:pPr>
              <w:ind w:left="100"/>
              <w:spacing w:after="0"/>
              <w:rPr>
                <w:sz w:val="20"/>
                <w:szCs w:val="20"/>
                <w:color w:val="auto"/>
              </w:rPr>
            </w:pPr>
            <w:r>
              <w:rPr>
                <w:rFonts w:ascii="Arial" w:cs="Arial" w:eastAsia="Arial" w:hAnsi="Arial"/>
                <w:sz w:val="16"/>
                <w:szCs w:val="16"/>
                <w:color w:val="auto"/>
              </w:rPr>
              <w:t>Stock option exercises</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609</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53"/>
        </w:trPr>
        <w:tc>
          <w:tcPr>
            <w:tcW w:w="30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2"/>
              </w:rPr>
              <w:t>Repurchase and retirement of common stock</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(3,124)</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(29,643)</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(29,643)</w:t>
            </w:r>
          </w:p>
        </w:tc>
        <w:tc>
          <w:tcPr>
            <w:tcW w:w="0" w:type="dxa"/>
            <w:vAlign w:val="bottom"/>
          </w:tcPr>
          <w:p>
            <w:pPr>
              <w:spacing w:after="0"/>
              <w:rPr>
                <w:sz w:val="1"/>
                <w:szCs w:val="1"/>
                <w:color w:val="auto"/>
              </w:rPr>
            </w:pPr>
          </w:p>
        </w:tc>
      </w:tr>
      <w:tr>
        <w:trPr>
          <w:trHeight w:val="220"/>
        </w:trPr>
        <w:tc>
          <w:tcPr>
            <w:tcW w:w="3080" w:type="dxa"/>
            <w:vAlign w:val="bottom"/>
          </w:tcPr>
          <w:p>
            <w:pPr>
              <w:ind w:left="100"/>
              <w:spacing w:after="0"/>
              <w:rPr>
                <w:sz w:val="20"/>
                <w:szCs w:val="20"/>
                <w:color w:val="auto"/>
              </w:rPr>
            </w:pPr>
            <w:r>
              <w:rPr>
                <w:rFonts w:ascii="Arial" w:cs="Arial" w:eastAsia="Arial" w:hAnsi="Arial"/>
                <w:sz w:val="16"/>
                <w:szCs w:val="16"/>
                <w:color w:val="auto"/>
              </w:rPr>
              <w:t xml:space="preserve">Adoption of ASC 326, </w:t>
            </w:r>
            <w:r>
              <w:rPr>
                <w:rFonts w:ascii="Arial" w:cs="Arial" w:eastAsia="Arial" w:hAnsi="Arial"/>
                <w:sz w:val="16"/>
                <w:szCs w:val="16"/>
                <w:i w:val="1"/>
                <w:iCs w:val="1"/>
                <w:color w:val="auto"/>
              </w:rPr>
              <w:t>Current Expected</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6"/>
                <w:szCs w:val="16"/>
                <w:i w:val="1"/>
                <w:iCs w:val="1"/>
                <w:color w:val="auto"/>
              </w:rPr>
              <w:t>Credit Losses</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(1,309)</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246"/>
        </w:trPr>
        <w:tc>
          <w:tcPr>
            <w:tcW w:w="3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Foreign currency translation losses, net</w:t>
            </w:r>
          </w:p>
        </w:tc>
        <w:tc>
          <w:tcPr>
            <w:tcW w:w="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36"/>
        </w:trPr>
        <w:tc>
          <w:tcPr>
            <w:tcW w:w="30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Net loss</w:t>
            </w: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(20,775)</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(20,775)</w:t>
            </w:r>
          </w:p>
        </w:tc>
        <w:tc>
          <w:tcPr>
            <w:tcW w:w="0" w:type="dxa"/>
            <w:vAlign w:val="bottom"/>
          </w:tcPr>
          <w:p>
            <w:pPr>
              <w:spacing w:after="0"/>
              <w:rPr>
                <w:sz w:val="1"/>
                <w:szCs w:val="1"/>
                <w:color w:val="auto"/>
              </w:rPr>
            </w:pPr>
          </w:p>
        </w:tc>
      </w:tr>
      <w:tr>
        <w:trPr>
          <w:trHeight w:val="26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188,774</w:t>
            </w: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1,468,415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(595,130)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862,990</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6"/>
                <w:szCs w:val="16"/>
                <w:color w:val="auto"/>
              </w:rPr>
              <w:t>Issuance of common stock for Employee</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0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6"/>
                <w:szCs w:val="16"/>
                <w:color w:val="auto"/>
              </w:rPr>
              <w:t>Stock Purchase Plan</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1,765</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1,765</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Common stock issued upon vesting of</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stock units</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08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6,241</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6,241</w:t>
            </w:r>
          </w:p>
        </w:tc>
        <w:tc>
          <w:tcPr>
            <w:tcW w:w="0" w:type="dxa"/>
            <w:vAlign w:val="bottom"/>
          </w:tcPr>
          <w:p>
            <w:pPr>
              <w:spacing w:after="0"/>
              <w:rPr>
                <w:sz w:val="1"/>
                <w:szCs w:val="1"/>
                <w:color w:val="auto"/>
              </w:rPr>
            </w:pPr>
          </w:p>
        </w:tc>
      </w:tr>
      <w:tr>
        <w:trPr>
          <w:trHeight w:val="246"/>
        </w:trPr>
        <w:tc>
          <w:tcPr>
            <w:tcW w:w="3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Stock option exercises</w:t>
            </w:r>
          </w:p>
        </w:tc>
        <w:tc>
          <w:tcPr>
            <w:tcW w:w="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6"/>
        </w:trPr>
        <w:tc>
          <w:tcPr>
            <w:tcW w:w="3080" w:type="dxa"/>
            <w:vAlign w:val="bottom"/>
          </w:tcPr>
          <w:p>
            <w:pPr>
              <w:ind w:left="100"/>
              <w:spacing w:after="0"/>
              <w:rPr>
                <w:sz w:val="20"/>
                <w:szCs w:val="20"/>
                <w:color w:val="auto"/>
              </w:rPr>
            </w:pPr>
            <w:r>
              <w:rPr>
                <w:rFonts w:ascii="Arial" w:cs="Arial" w:eastAsia="Arial" w:hAnsi="Arial"/>
                <w:sz w:val="16"/>
                <w:szCs w:val="16"/>
                <w:color w:val="auto"/>
                <w:w w:val="92"/>
              </w:rPr>
              <w:t>Repurchase and retirement of common stock</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6"/>
                <w:szCs w:val="16"/>
                <w:color w:val="auto"/>
              </w:rPr>
              <w:t>including taxes</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(10,361)</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(10,361)</w:t>
            </w:r>
          </w:p>
        </w:tc>
        <w:tc>
          <w:tcPr>
            <w:tcW w:w="0" w:type="dxa"/>
            <w:vAlign w:val="bottom"/>
          </w:tcPr>
          <w:p>
            <w:pPr>
              <w:spacing w:after="0"/>
              <w:rPr>
                <w:sz w:val="1"/>
                <w:szCs w:val="1"/>
                <w:color w:val="auto"/>
              </w:rPr>
            </w:pPr>
          </w:p>
        </w:tc>
      </w:tr>
      <w:tr>
        <w:trPr>
          <w:trHeight w:val="246"/>
        </w:trPr>
        <w:tc>
          <w:tcPr>
            <w:tcW w:w="3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Foreign currency translation losses, net</w:t>
            </w:r>
          </w:p>
        </w:tc>
        <w:tc>
          <w:tcPr>
            <w:tcW w:w="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37"/>
        </w:trPr>
        <w:tc>
          <w:tcPr>
            <w:tcW w:w="3080" w:type="dxa"/>
            <w:vAlign w:val="bottom"/>
          </w:tcPr>
          <w:p>
            <w:pPr>
              <w:ind w:left="100"/>
              <w:spacing w:after="0"/>
              <w:rPr>
                <w:sz w:val="20"/>
                <w:szCs w:val="20"/>
                <w:color w:val="auto"/>
              </w:rPr>
            </w:pPr>
            <w:r>
              <w:rPr>
                <w:rFonts w:ascii="Arial" w:cs="Arial" w:eastAsia="Arial" w:hAnsi="Arial"/>
                <w:sz w:val="16"/>
                <w:szCs w:val="16"/>
                <w:color w:val="auto"/>
              </w:rPr>
              <w:t>Net loss</w:t>
            </w: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7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188,636</w:t>
            </w: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1,466,360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859,357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0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Preferred Stock</w:t>
            </w:r>
          </w:p>
        </w:tc>
        <w:tc>
          <w:tcPr>
            <w:tcW w:w="1580" w:type="dxa"/>
            <w:vAlign w:val="bottom"/>
            <w:gridSpan w:val="3"/>
            <w:vMerge w:val="restart"/>
          </w:tcPr>
          <w:p>
            <w:pPr>
              <w:jc w:val="right"/>
              <w:ind w:right="13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190"/>
              <w:spacing w:after="0" w:line="194" w:lineRule="exact"/>
              <w:rPr>
                <w:sz w:val="20"/>
                <w:szCs w:val="20"/>
                <w:color w:val="auto"/>
              </w:rPr>
            </w:pPr>
            <w:r>
              <w:rPr>
                <w:rFonts w:ascii="Arial" w:cs="Arial" w:eastAsia="Arial" w:hAnsi="Arial"/>
                <w:sz w:val="18"/>
                <w:szCs w:val="18"/>
                <w:b w:val="1"/>
                <w:bCs w:val="1"/>
                <w:color w:val="auto"/>
              </w:rPr>
              <w:t>Paid-In</w:t>
            </w:r>
          </w:p>
        </w:tc>
        <w:tc>
          <w:tcPr>
            <w:tcW w:w="1140" w:type="dxa"/>
            <w:vAlign w:val="bottom"/>
            <w:gridSpan w:val="2"/>
            <w:vMerge w:val="restart"/>
          </w:tcPr>
          <w:p>
            <w:pPr>
              <w:jc w:val="right"/>
              <w:spacing w:after="0" w:line="194" w:lineRule="exact"/>
              <w:rPr>
                <w:sz w:val="20"/>
                <w:szCs w:val="20"/>
                <w:color w:val="auto"/>
              </w:rPr>
            </w:pPr>
            <w:r>
              <w:rPr>
                <w:rFonts w:ascii="Arial" w:cs="Arial" w:eastAsia="Arial" w:hAnsi="Arial"/>
                <w:sz w:val="18"/>
                <w:szCs w:val="18"/>
                <w:b w:val="1"/>
                <w:bCs w:val="1"/>
                <w:color w:val="auto"/>
                <w:w w:val="93"/>
              </w:rPr>
              <w:t>Accumulated</w:t>
            </w:r>
          </w:p>
        </w:tc>
        <w:tc>
          <w:tcPr>
            <w:tcW w:w="120" w:type="dxa"/>
            <w:vAlign w:val="bottom"/>
          </w:tcPr>
          <w:p>
            <w:pPr>
              <w:spacing w:after="0"/>
              <w:rPr>
                <w:sz w:val="14"/>
                <w:szCs w:val="14"/>
                <w:color w:val="auto"/>
              </w:rPr>
            </w:pPr>
          </w:p>
        </w:tc>
        <w:tc>
          <w:tcPr>
            <w:tcW w:w="1300" w:type="dxa"/>
            <w:vAlign w:val="bottom"/>
            <w:vMerge w:val="restart"/>
          </w:tcPr>
          <w:p>
            <w:pPr>
              <w:jc w:val="center"/>
              <w:ind w:right="10"/>
              <w:spacing w:after="0" w:line="194" w:lineRule="exact"/>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14"/>
                <w:szCs w:val="14"/>
                <w:color w:val="auto"/>
              </w:rPr>
            </w:pPr>
          </w:p>
        </w:tc>
        <w:tc>
          <w:tcPr>
            <w:tcW w:w="1200" w:type="dxa"/>
            <w:vAlign w:val="bottom"/>
            <w:vMerge w:val="restart"/>
          </w:tcPr>
          <w:p>
            <w:pPr>
              <w:jc w:val="center"/>
              <w:ind w:right="50"/>
              <w:spacing w:after="0" w:line="194"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40" w:type="dxa"/>
            <w:vAlign w:val="bottom"/>
          </w:tcPr>
          <w:p>
            <w:pPr>
              <w:ind w:left="120"/>
              <w:spacing w:after="0"/>
              <w:rPr>
                <w:sz w:val="20"/>
                <w:szCs w:val="20"/>
                <w:color w:val="auto"/>
              </w:rPr>
            </w:pPr>
            <w:r>
              <w:rPr>
                <w:rFonts w:ascii="Arial" w:cs="Arial" w:eastAsia="Arial" w:hAnsi="Arial"/>
                <w:sz w:val="18"/>
                <w:szCs w:val="18"/>
                <w:b w:val="1"/>
                <w:bCs w:val="1"/>
                <w:color w:val="auto"/>
                <w:w w:val="99"/>
              </w:rPr>
              <w:t>Shares</w:t>
            </w:r>
          </w:p>
        </w:tc>
        <w:tc>
          <w:tcPr>
            <w:tcW w:w="8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Shares</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195,384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1,500,643</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(513,230)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985,648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6,135</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Stock option exercises</w:t>
            </w: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100"/>
              <w:spacing w:after="0"/>
              <w:rPr>
                <w:sz w:val="20"/>
                <w:szCs w:val="20"/>
                <w:color w:val="auto"/>
              </w:rPr>
            </w:pPr>
            <w:r>
              <w:rPr>
                <w:rFonts w:ascii="Arial" w:cs="Arial" w:eastAsia="Arial" w:hAnsi="Arial"/>
                <w:sz w:val="18"/>
                <w:szCs w:val="18"/>
                <w:color w:val="auto"/>
                <w:w w:val="91"/>
              </w:rPr>
              <w:t>Foreign currency translation losses, net</w:t>
            </w: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(664)</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2022</w:t>
            </w: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195,510</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1,507,501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(526,539)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color w:val="auto"/>
              </w:rPr>
              <w:t>Issuance of common stock for</w:t>
            </w: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6,508</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Stock option exercises</w:t>
            </w: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tcPr>
          <w:p>
            <w:pPr>
              <w:ind w:left="100"/>
              <w:spacing w:after="0"/>
              <w:rPr>
                <w:sz w:val="20"/>
                <w:szCs w:val="20"/>
                <w:color w:val="auto"/>
              </w:rPr>
            </w:pPr>
            <w:r>
              <w:rPr>
                <w:rFonts w:ascii="Arial" w:cs="Arial" w:eastAsia="Arial" w:hAnsi="Arial"/>
                <w:sz w:val="18"/>
                <w:szCs w:val="18"/>
                <w:color w:val="auto"/>
                <w:w w:val="91"/>
              </w:rPr>
              <w:t>Repurchase and retirement of common</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80"/>
              <w:spacing w:after="0"/>
              <w:rPr>
                <w:sz w:val="20"/>
                <w:szCs w:val="20"/>
                <w:color w:val="auto"/>
              </w:rPr>
            </w:pPr>
            <w:r>
              <w:rPr>
                <w:rFonts w:ascii="Arial" w:cs="Arial" w:eastAsia="Arial" w:hAnsi="Arial"/>
                <w:sz w:val="18"/>
                <w:szCs w:val="18"/>
                <w:color w:val="auto"/>
              </w:rPr>
              <w:t>stock</w:t>
            </w: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(296)</w:t>
            </w:r>
          </w:p>
        </w:tc>
        <w:tc>
          <w:tcPr>
            <w:tcW w:w="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(2,665)</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1"/>
              </w:rPr>
              <w:t>Foreign currency translation losses, net</w:t>
            </w: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100"/>
              <w:spacing w:after="0"/>
              <w:rPr>
                <w:sz w:val="20"/>
                <w:szCs w:val="20"/>
                <w:color w:val="auto"/>
              </w:rPr>
            </w:pPr>
            <w:r>
              <w:rPr>
                <w:rFonts w:ascii="Arial" w:cs="Arial" w:eastAsia="Arial" w:hAnsi="Arial"/>
                <w:sz w:val="18"/>
                <w:szCs w:val="18"/>
                <w:color w:val="auto"/>
              </w:rPr>
              <w:t>Net loss</w:t>
            </w: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(12,881)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(12,881)</w:t>
            </w:r>
          </w:p>
        </w:tc>
        <w:tc>
          <w:tcPr>
            <w:tcW w:w="0" w:type="dxa"/>
            <w:vAlign w:val="bottom"/>
          </w:tcPr>
          <w:p>
            <w:pPr>
              <w:spacing w:after="0"/>
              <w:rPr>
                <w:sz w:val="1"/>
                <w:szCs w:val="1"/>
                <w:color w:val="auto"/>
              </w:rPr>
            </w:pPr>
          </w:p>
        </w:tc>
      </w:tr>
      <w:tr>
        <w:trPr>
          <w:trHeight w:val="27"/>
        </w:trPr>
        <w:tc>
          <w:tcPr>
            <w:tcW w:w="30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2022</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195,528</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1,513,529</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jc w:val="center"/>
        <w:ind w:left="77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77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22860</wp:posOffset>
            </wp:positionV>
            <wp:extent cx="22034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7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(21,671)</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(26,190)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51,940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54,911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12,643</w:t>
            </w:r>
          </w:p>
        </w:tc>
        <w:tc>
          <w:tcPr>
            <w:tcW w:w="0" w:type="dxa"/>
            <w:vAlign w:val="bottom"/>
          </w:tcPr>
          <w:p>
            <w:pPr>
              <w:spacing w:after="0"/>
              <w:rPr>
                <w:sz w:val="1"/>
                <w:szCs w:val="1"/>
                <w:color w:val="auto"/>
              </w:rPr>
            </w:pPr>
          </w:p>
        </w:tc>
      </w:tr>
      <w:tr>
        <w:trPr>
          <w:trHeight w:val="243"/>
        </w:trPr>
        <w:tc>
          <w:tcPr>
            <w:tcW w:w="7780" w:type="dxa"/>
            <w:vAlign w:val="bottom"/>
          </w:tcPr>
          <w:p>
            <w:pPr>
              <w:ind w:left="220"/>
              <w:spacing w:after="0"/>
              <w:rPr>
                <w:sz w:val="20"/>
                <w:szCs w:val="20"/>
                <w:color w:val="auto"/>
              </w:rPr>
            </w:pPr>
            <w:r>
              <w:rPr>
                <w:rFonts w:ascii="Arial" w:cs="Arial" w:eastAsia="Arial" w:hAnsi="Arial"/>
                <w:sz w:val="18"/>
                <w:szCs w:val="18"/>
                <w:color w:val="auto"/>
              </w:rPr>
              <w:t>Deferred taxes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financing costs and non-cash interest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43"/>
        </w:trPr>
        <w:tc>
          <w:tcPr>
            <w:tcW w:w="7780" w:type="dxa"/>
            <w:vAlign w:val="bottom"/>
          </w:tcPr>
          <w:p>
            <w:pPr>
              <w:ind w:left="220"/>
              <w:spacing w:after="0"/>
              <w:rPr>
                <w:sz w:val="20"/>
                <w:szCs w:val="20"/>
                <w:color w:val="auto"/>
              </w:rPr>
            </w:pPr>
            <w:r>
              <w:rPr>
                <w:rFonts w:ascii="Arial" w:cs="Arial" w:eastAsia="Arial" w:hAnsi="Arial"/>
                <w:sz w:val="18"/>
                <w:szCs w:val="18"/>
                <w:color w:val="auto"/>
              </w:rPr>
              <w:t>Bad debt expense</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non-cash items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778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0" w:type="dxa"/>
            <w:vAlign w:val="bottom"/>
          </w:tcPr>
          <w:p>
            <w:pPr>
              <w:spacing w:after="0"/>
              <w:rPr>
                <w:sz w:val="1"/>
                <w:szCs w:val="1"/>
                <w:color w:val="auto"/>
              </w:rPr>
            </w:pPr>
          </w:p>
        </w:tc>
      </w:tr>
      <w:tr>
        <w:trPr>
          <w:trHeight w:val="243"/>
        </w:trPr>
        <w:tc>
          <w:tcPr>
            <w:tcW w:w="778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non-current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43"/>
        </w:trPr>
        <w:tc>
          <w:tcPr>
            <w:tcW w:w="77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Accrued expenses and other</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43"/>
        </w:trPr>
        <w:tc>
          <w:tcPr>
            <w:tcW w:w="778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non-current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7780" w:type="dxa"/>
            <w:vAlign w:val="bottom"/>
          </w:tcPr>
          <w:p>
            <w:pPr>
              <w:ind w:left="440"/>
              <w:spacing w:after="0"/>
              <w:rPr>
                <w:sz w:val="20"/>
                <w:szCs w:val="20"/>
                <w:color w:val="auto"/>
              </w:rPr>
            </w:pPr>
            <w:r>
              <w:rPr>
                <w:rFonts w:ascii="Arial" w:cs="Arial" w:eastAsia="Arial" w:hAnsi="Arial"/>
                <w:sz w:val="18"/>
                <w:szCs w:val="18"/>
                <w:b w:val="1"/>
                <w:bCs w:val="1"/>
                <w:color w:val="auto"/>
              </w:rPr>
              <w:t>Net cash provided by operating activities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41,146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24,002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0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Capitalization of software costs</w:t>
            </w:r>
          </w:p>
        </w:tc>
        <w:tc>
          <w:tcPr>
            <w:tcW w:w="10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0" w:type="dxa"/>
            <w:vAlign w:val="bottom"/>
          </w:tcPr>
          <w:p>
            <w:pPr>
              <w:spacing w:after="0"/>
              <w:rPr>
                <w:sz w:val="1"/>
                <w:szCs w:val="1"/>
                <w:color w:val="auto"/>
              </w:rPr>
            </w:pPr>
          </w:p>
        </w:tc>
      </w:tr>
      <w:tr>
        <w:trPr>
          <w:trHeight w:val="243"/>
        </w:trPr>
        <w:tc>
          <w:tcPr>
            <w:tcW w:w="7780" w:type="dxa"/>
            <w:vAlign w:val="bottom"/>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(10,686)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00"/>
              <w:spacing w:after="0"/>
              <w:rPr>
                <w:sz w:val="20"/>
                <w:szCs w:val="20"/>
                <w:color w:val="auto"/>
              </w:rPr>
            </w:pPr>
            <w:r>
              <w:rPr>
                <w:rFonts w:ascii="Arial" w:cs="Arial" w:eastAsia="Arial" w:hAnsi="Arial"/>
                <w:sz w:val="18"/>
                <w:szCs w:val="18"/>
                <w:color w:val="auto"/>
              </w:rPr>
              <w:t>Payments on debt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Exercise of stock options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43"/>
        </w:trPr>
        <w:tc>
          <w:tcPr>
            <w:tcW w:w="7780" w:type="dxa"/>
            <w:vAlign w:val="bottom"/>
          </w:tcPr>
          <w:p>
            <w:pPr>
              <w:ind w:left="100"/>
              <w:spacing w:after="0"/>
              <w:rPr>
                <w:sz w:val="20"/>
                <w:szCs w:val="20"/>
                <w:color w:val="auto"/>
              </w:rPr>
            </w:pPr>
            <w:r>
              <w:rPr>
                <w:rFonts w:ascii="Arial" w:cs="Arial" w:eastAsia="Arial" w:hAnsi="Arial"/>
                <w:sz w:val="18"/>
                <w:szCs w:val="18"/>
                <w:color w:val="auto"/>
              </w:rPr>
              <w:t>Proceeds from common stock issuance for Employee Stock Purchase Plan</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Repurchase and retirement of common stock</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(39,693)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37"/>
        </w:trPr>
        <w:tc>
          <w:tcPr>
            <w:tcW w:w="7780" w:type="dxa"/>
            <w:vAlign w:val="bottom"/>
          </w:tcPr>
          <w:p>
            <w:pPr>
              <w:ind w:left="220"/>
              <w:spacing w:after="0"/>
              <w:rPr>
                <w:sz w:val="20"/>
                <w:szCs w:val="20"/>
                <w:color w:val="auto"/>
              </w:rPr>
            </w:pPr>
            <w:r>
              <w:rPr>
                <w:rFonts w:ascii="Arial" w:cs="Arial" w:eastAsia="Arial" w:hAnsi="Arial"/>
                <w:sz w:val="18"/>
                <w:szCs w:val="18"/>
                <w:b w:val="1"/>
                <w:bCs w:val="1"/>
                <w:color w:val="auto"/>
              </w:rPr>
              <w:t>Net cash used in financing activities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(39,769)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currency exchange rate changes on cash</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7"/>
        </w:trPr>
        <w:tc>
          <w:tcPr>
            <w:tcW w:w="7780" w:type="dxa"/>
            <w:vAlign w:val="bottom"/>
          </w:tcPr>
          <w:p>
            <w:pPr>
              <w:ind w:left="320"/>
              <w:spacing w:after="0"/>
              <w:rPr>
                <w:sz w:val="20"/>
                <w:szCs w:val="20"/>
                <w:color w:val="auto"/>
              </w:rPr>
            </w:pPr>
            <w:r>
              <w:rPr>
                <w:rFonts w:ascii="Arial" w:cs="Arial" w:eastAsia="Arial" w:hAnsi="Arial"/>
                <w:sz w:val="18"/>
                <w:szCs w:val="18"/>
                <w:b w:val="1"/>
                <w:bCs w:val="1"/>
                <w:color w:val="auto"/>
              </w:rPr>
              <w:t>Net (decrease) increase in cash and cash equivalents and restricted cash</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00"/>
              <w:spacing w:after="0"/>
              <w:rPr>
                <w:sz w:val="20"/>
                <w:szCs w:val="20"/>
                <w:color w:val="auto"/>
              </w:rPr>
            </w:pPr>
            <w:r>
              <w:rPr>
                <w:rFonts w:ascii="Arial" w:cs="Arial" w:eastAsia="Arial" w:hAnsi="Arial"/>
                <w:sz w:val="18"/>
                <w:szCs w:val="18"/>
                <w:color w:val="auto"/>
              </w:rPr>
              <w:t>Beginning of period</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95,824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97,559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End of period</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86,842</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109,147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8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paid for interest</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780" w:type="dxa"/>
            <w:vAlign w:val="bottom"/>
          </w:tcPr>
          <w:p>
            <w:pPr>
              <w:ind w:left="100"/>
              <w:spacing w:after="0"/>
              <w:rPr>
                <w:sz w:val="20"/>
                <w:szCs w:val="20"/>
                <w:color w:val="auto"/>
              </w:rPr>
            </w:pPr>
            <w:r>
              <w:rPr>
                <w:rFonts w:ascii="Arial" w:cs="Arial" w:eastAsia="Arial" w:hAnsi="Arial"/>
                <w:sz w:val="18"/>
                <w:szCs w:val="18"/>
                <w:color w:val="auto"/>
              </w:rPr>
              <w:t>Cash paid for income taxes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1,871</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417"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the Business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EverCommerce Inc. and subsidiaries (the “Company” or “EverCommerce”) is a leading provider of integrated software-as-a-service (“SaaS”) solutions or services for service-based small- and medium-sized businesses (“service SMBs”). Our platform spans across the full lifecycle of interactions between consumers and service professionals with vertical-specific applications. Today, the Company serves more than 685,000 customers across three core verticals: Home Services; Health Services; and Fitness &amp; Wellness Services. Within the core verticals, customers operate within numerous micro-verticals, ranging from home service professionals, such as construction contractors and home maintenance technicians, to physician practices and therapists in the Health Services industry, to personal trainers and salon owners in the Fitness &amp; Wellness sectors. The platform provides vertically-tailored SaaS solutions that address service SMBs’ increasingly nuanced demands, as well as highly complementary solutions that complete end-to-end offerings, allowing service SMBs and EverCommerce to succeed in the market, and provide end consumers more convenient service experiences. The Company is headquartered in Denver, Colorado, and has operations across the United States, Canada, Jordan, United Kingdom, Australia and New Zealand.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for the year ended December 31, 2022 and the related notes (“Annual Report on Form 10-K”). The December 31, 2022 condensed consolidated balance sheet was derived from our audited consolidated financial statements as of that date. Our unaudited interim condensed consolidated financial statements include, in the opinion of management, all adjustments, consisting of normal and recurring items, necessary for the fair statement of the unaudited condensed consolidated financial statements. All intercompany accounts and transactions have been eliminated in consolidation. There have been no significant changes in accounting policies during the six months ended June 30, 2023 from those disclosed in the annual consolidated financial statements for the year ended December 31, 2022 and the related notes. Certain prior-year amounts have been reclassified to conform to the current year presentation.</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operating results for the three and six months ended June 30, 2023 are not necessarily indicative of the results expected for the full year ending December 31,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unaudited condensed consolidated financial statements in conformity with GAAP requires management to make estimates and assumptions that affect certain amounts reported in the unaudited condensed consolidated financial statements, including the accompanying notes. The Company bases its estimates on historical factors, current circumstances, and the experience and judgment of management. The Company evaluates its estimates and assumptions on an ongoing basis. Actual results could differ from those estimates. Significant estimates reflected in the consolidated financial statements include revenue recognition, allowance for doubtful accounts, valuation allowances with respect to deferred tax assets, assumptions underlying the fair value used in the calculation of stock-based compensation, valuation of intangible assets and goodwill and useful lives of tangible and intangible assets,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the extended transition period under the JOBS Act until the earlier of the date that it is (i) no longer an EGC or (ii) affirmatively and irrevocably opts out of the extended transition period provided in the JOBS Act. As a result, the financial statements may not be comparable to companies that comply with the new or revised accounting pronouncements as of public company effective dates. The adoption dates are discussed below to reflect this election within the </w:t>
      </w:r>
      <w:r>
        <w:rPr>
          <w:rFonts w:ascii="Arial" w:cs="Arial" w:eastAsia="Arial" w:hAnsi="Arial"/>
          <w:sz w:val="18"/>
          <w:szCs w:val="18"/>
          <w:i w:val="1"/>
          <w:iCs w:val="1"/>
          <w:color w:val="auto"/>
        </w:rPr>
        <w:t>“Recently Issued Accounting Pronouncements”</w:t>
      </w:r>
      <w:r>
        <w:rPr>
          <w:rFonts w:ascii="Arial" w:cs="Arial" w:eastAsia="Arial" w:hAnsi="Arial"/>
          <w:sz w:val="18"/>
          <w:szCs w:val="18"/>
          <w:color w:val="auto"/>
        </w:rPr>
        <w:t xml:space="preserve"> section.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issued and adopted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requires the measurement and recognition of expected credit losses for financial assets held at amortized cost, which includes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accounts receivable and contract assets. This updated standard is effective for annual reporting periods beginning after December 15, 2022. The Company adopted this ASU for the year ending December 31, 2023 and it did not have a material impact on the financial statements.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October 2021, the FASB issued ASU No. 2021-08, </w:t>
      </w:r>
      <w:r>
        <w:rPr>
          <w:rFonts w:ascii="Arial" w:cs="Arial" w:eastAsia="Arial" w:hAnsi="Arial"/>
          <w:sz w:val="17"/>
          <w:szCs w:val="17"/>
          <w:i w:val="1"/>
          <w:iCs w:val="1"/>
          <w:color w:val="auto"/>
        </w:rPr>
        <w:t>Accounting for Contract Assets and Contract Liabilities from Contracts with Customers</w:t>
      </w:r>
      <w:r>
        <w:rPr>
          <w:rFonts w:ascii="Arial" w:cs="Arial" w:eastAsia="Arial" w:hAnsi="Arial"/>
          <w:sz w:val="17"/>
          <w:szCs w:val="17"/>
          <w:color w:val="auto"/>
        </w:rPr>
        <w:t>, which amends the guidance in ASC 805 to require that an acquirer recognize and measure contract assets and contract liabilities acquired in a business combination in accordance with Topic 606. FASB’s objective in issuing the ASU is to improve the accounting for acquired revenue contracts with customers in a business combination by addressing diversity and inconsistency related to both the recognition of an acquired contract liability and payment terms’ effects on subsequent revenue recognized by the acquirer. This updated standard is effective for annual reporting periods beginning after December 15, 2022. The Company adopted this ASU for the year ending December 31, 2023 and it had no impact on the financial statements, but it will be applicable to future acquisitions and may have an impact in connection with such acquisitions.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the FASB issued ASU No. 2020-04, “Reference Rate Reform (Topic 848): Facilitation of the Effects of Reference Rate Reform on Financial Reporting.”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2024. We do not expect a material impact to our financial statements.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reviewed all other recently issued accounting pronouncements and concluded that they were either not applicable or not expected to have a significant impact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disaggregation of our revenue from contracts with customers by revenue recognition pattern and geographical market: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87"/>
              </w:rPr>
              <w:t>Six months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8"/>
              </w:rPr>
              <w:t>June 30,</w:t>
            </w: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20" w:type="dxa"/>
            <w:vAlign w:val="bottom"/>
            <w:gridSpan w:val="4"/>
          </w:tcPr>
          <w:p>
            <w:pPr>
              <w:jc w:val="right"/>
              <w:ind w:right="89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pattern of recognition (timing of transfer of services):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140"/>
              <w:spacing w:after="0"/>
              <w:rPr>
                <w:sz w:val="20"/>
                <w:szCs w:val="20"/>
                <w:color w:val="auto"/>
              </w:rPr>
            </w:pPr>
            <w:r>
              <w:rPr>
                <w:rFonts w:ascii="Arial" w:cs="Arial" w:eastAsia="Arial" w:hAnsi="Arial"/>
                <w:sz w:val="18"/>
                <w:szCs w:val="18"/>
                <w:color w:val="auto"/>
              </w:rPr>
              <w:t>Point in time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15,419</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13,510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30,157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25,616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Over time</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154,633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143,736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275,206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80" w:type="dxa"/>
            <w:vAlign w:val="bottom"/>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170,052</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157,246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331,188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300,822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geographical market: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152,512</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141,732</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301,477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272,018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80" w:type="dxa"/>
            <w:vAlign w:val="bottom"/>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170,052</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157,246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331,188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300,822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b w:val="1"/>
                <w:bCs w:val="1"/>
                <w:color w:val="auto"/>
              </w:rPr>
              <w:t>Contract Balances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120" w:type="dxa"/>
            <w:vAlign w:val="bottom"/>
            <w:gridSpan w:val="3"/>
          </w:tcPr>
          <w:p>
            <w:pPr>
              <w:spacing w:after="0"/>
              <w:rPr>
                <w:sz w:val="20"/>
                <w:szCs w:val="20"/>
                <w:color w:val="auto"/>
              </w:rPr>
            </w:pPr>
            <w:r>
              <w:rPr>
                <w:rFonts w:ascii="Arial" w:cs="Arial" w:eastAsia="Arial" w:hAnsi="Arial"/>
                <w:sz w:val="18"/>
                <w:szCs w:val="18"/>
                <w:color w:val="auto"/>
                <w:w w:val="92"/>
              </w:rPr>
              <w:t>Supplemental balance sheet information related to contracts from customers as of:</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4"/>
          </w:tcPr>
          <w:p>
            <w:pPr>
              <w:jc w:val="center"/>
              <w:ind w:right="190"/>
              <w:spacing w:after="0"/>
              <w:rPr>
                <w:sz w:val="20"/>
                <w:szCs w:val="20"/>
                <w:color w:val="auto"/>
              </w:rPr>
            </w:pPr>
            <w:r>
              <w:rPr>
                <w:rFonts w:ascii="Arial" w:cs="Arial" w:eastAsia="Arial" w:hAnsi="Arial"/>
                <w:sz w:val="18"/>
                <w:szCs w:val="18"/>
                <w:i w:val="1"/>
                <w:iCs w:val="1"/>
                <w:color w:val="auto"/>
                <w:w w:val="91"/>
              </w:rPr>
              <w:t>(in thousands)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20" w:type="dxa"/>
            <w:vAlign w:val="bottom"/>
            <w:gridSpan w:val="2"/>
          </w:tcPr>
          <w:p>
            <w:pPr>
              <w:spacing w:after="0"/>
              <w:rPr>
                <w:sz w:val="7"/>
                <w:szCs w:val="7"/>
                <w:color w:val="auto"/>
              </w:rPr>
            </w:pPr>
          </w:p>
        </w:tc>
        <w:tc>
          <w:tcPr>
            <w:tcW w:w="1360" w:type="dxa"/>
            <w:vAlign w:val="bottom"/>
          </w:tcPr>
          <w:p>
            <w:pPr>
              <w:spacing w:after="0"/>
              <w:rPr>
                <w:sz w:val="7"/>
                <w:szCs w:val="7"/>
                <w:color w:val="auto"/>
              </w:rPr>
            </w:pPr>
          </w:p>
        </w:tc>
        <w:tc>
          <w:tcPr>
            <w:tcW w:w="400" w:type="dxa"/>
            <w:vAlign w:val="bottom"/>
            <w:gridSpan w:val="2"/>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50,217</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48,032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16,448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12,971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24,898</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Customer deposits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11,612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11,360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revenue</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Accounts receivable, net: </w:t>
      </w:r>
      <w:r>
        <w:rPr>
          <w:rFonts w:ascii="Arial" w:cs="Arial" w:eastAsia="Arial" w:hAnsi="Arial"/>
          <w:sz w:val="17"/>
          <w:szCs w:val="17"/>
          <w:color w:val="auto"/>
        </w:rPr>
        <w:t>Accounts receivable, net of allowance for expected credit losses, represent rights to consideration in exchange for products or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that have been transferred by us, when payment is unconditional and only the passage of time is required before payment is due.</w:t>
      </w:r>
    </w:p>
    <w:p>
      <w:pPr>
        <w:spacing w:after="0" w:line="17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Contract assets: </w:t>
      </w:r>
      <w:r>
        <w:rPr>
          <w:rFonts w:ascii="Arial" w:cs="Arial" w:eastAsia="Arial" w:hAnsi="Arial"/>
          <w:sz w:val="16"/>
          <w:szCs w:val="16"/>
          <w:color w:val="auto"/>
        </w:rPr>
        <w:t>Contract assets represent rights to consideration in exchange for products or services that have been transferred (i.e.,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or portion of the performance obligation has been satisfied), but payment is conditional on something other than the passage of time. These amounts typically relate to contracts that include on-premise licenses and professional services where the right to payment is not present until completion of the contract or achievement of specified milestones and the fair value of products or services transferred exceed this constraint.</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Contract liabilities</w:t>
      </w:r>
      <w:r>
        <w:rPr>
          <w:rFonts w:ascii="Arial" w:cs="Arial" w:eastAsia="Arial" w:hAnsi="Arial"/>
          <w:sz w:val="18"/>
          <w:szCs w:val="18"/>
          <w:color w:val="auto"/>
        </w:rPr>
        <w:t>: Contract liabilities represent our obligation to transfer products or services to a customer for which consideration has been received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the satisfaction of performance obligations. Short-term contract liabilities are included within deferred revenue on the condensed consolidated balance sheets. Long-term contract liabilities are included within long-term deferred revenue, which is classified within other non-current liabilities on the condensed consolidated balance sheets. Revenue recognized from the contract liability balance at December 31, 2022 was $19.0 million for the six months ended June 30, 2023.</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Customer deposits</w:t>
      </w:r>
      <w:r>
        <w:rPr>
          <w:rFonts w:ascii="Arial" w:cs="Arial" w:eastAsia="Arial" w:hAnsi="Arial"/>
          <w:sz w:val="18"/>
          <w:szCs w:val="18"/>
          <w:color w:val="auto"/>
        </w:rPr>
        <w:t>: Customer deposits relate to payments received in advance for contracts, which allow the customer to terminate a contract and receive a</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 refund for the unused portion of payments received to date. In these arrangements, we have concluded there are no enforceable rights and obligations during the period in which the option to cancel is exercisable by the customer and therefore the consideration received is recorded as a customer deposit liability.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Variable consideration accounted for under the variable consideration allocation exception associated with unsatisfied performance obligations or an unsatisfied promise that forms part of a single performance obligation under application of the series guidance have been excluded. Remaining performance obligations generally relate to those which are stand-ready in nature, as found within the subscription and marketing technology solutions revenue streams. The aggregate amount of transaction consideration allocated to remaining performance obligations as of June 30, 2023, was $22.3 million, which is comprised of contracts where the contract term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is in excess of one year. The Company expects to recognize approximately 61% of its remaining performance obligations as revenue within the next year, 27% of its remaining performance obligations as revenue the subsequent year, 9% of its remaining performance obligations as revenue in the third year, and the remainder during the two year period thereafter.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to Obtain and Fulfill a Contract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incurs certain costs to obtain contracts, principally sales and third-party commissions, which the Company capitalizes when the liability has been incurred if they are (i) incremental costs of obtaining a contract, (ii) expected to be recovered and (iii) have an expected amortization period that is greater than one year (as the Company has elected the practical expedient to expense any costs to obtain a contract when the liability is incurred if the amortization period of such costs would be one year or less).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Assets resulting from costs to obtain contracts are included within prepaid expenses and other current assets for short-term balances and other non-current assets for long-term balances on the Company’s consolidated balance sheets. The costs to obtain contracts are amortized over five years, which corresponds with the useful life of the related capitalized software. Short-term assets were $7.6 million and $6.6 million at June 30, 2023 and December 31, 2022, respectively, and long-term assets were $16.8 million and $15.1 million at June 30, 2023 and December 31, 2022, respectively. The Company recorded amortization expense within sales and marketing on the condensed consolidated statements of operations and comprehensive loss of $1.5 million and $1.1 million for the three months ended June 30, 2023 and 2022, respectively, and $2.8 million and $2.0 million for the six months ended June 30, 2023 and 2022, respectively. The Company recorded amortization expense within cost of revenues on the condensed consolidated statements of operations and comprehensive loss of $0.5 million and $0.4 million for the three months ended June 30, 2023 and 2022, respectively, and $1.0 million and $0.8 million for the six months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has concluded that there are no other material costs incurred in fulfillment of customer contracts that are not accounted for under other GAAP, which meet the capitalization criteria under ASC 606 and FASB ASC Topic 340-40, </w:t>
      </w:r>
      <w:r>
        <w:rPr>
          <w:rFonts w:ascii="Arial" w:cs="Arial" w:eastAsia="Arial" w:hAnsi="Arial"/>
          <w:sz w:val="18"/>
          <w:szCs w:val="18"/>
          <w:i w:val="1"/>
          <w:iCs w:val="1"/>
          <w:color w:val="auto"/>
        </w:rPr>
        <w:t>Accounting for Other Assets and Deferred Costs</w:t>
      </w:r>
      <w:r>
        <w:rPr>
          <w:rFonts w:ascii="Arial" w:cs="Arial" w:eastAsia="Arial" w:hAnsi="Arial"/>
          <w:sz w:val="18"/>
          <w:szCs w:val="18"/>
          <w:color w:val="auto"/>
        </w:rPr>
        <w:t xml:space="preserve"> (“ASC 340-40”).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consisted of the following for the six months ended June 30, 2023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914,082</w:t>
            </w:r>
          </w:p>
        </w:tc>
        <w:tc>
          <w:tcPr>
            <w:tcW w:w="0" w:type="dxa"/>
            <w:vAlign w:val="bottom"/>
          </w:tcPr>
          <w:p>
            <w:pPr>
              <w:spacing w:after="0"/>
              <w:rPr>
                <w:sz w:val="1"/>
                <w:szCs w:val="1"/>
                <w:color w:val="auto"/>
              </w:rPr>
            </w:pPr>
          </w:p>
        </w:tc>
      </w:tr>
      <w:tr>
        <w:trPr>
          <w:trHeight w:val="263"/>
        </w:trPr>
        <w:tc>
          <w:tcPr>
            <w:tcW w:w="4240" w:type="dxa"/>
            <w:vAlign w:val="bottom"/>
          </w:tcPr>
          <w:p>
            <w:pPr>
              <w:ind w:left="140"/>
              <w:spacing w:after="0"/>
              <w:rPr>
                <w:sz w:val="20"/>
                <w:szCs w:val="20"/>
                <w:color w:val="auto"/>
              </w:rPr>
            </w:pPr>
            <w:r>
              <w:rPr>
                <w:rFonts w:ascii="Arial" w:cs="Arial" w:eastAsia="Arial" w:hAnsi="Arial"/>
                <w:sz w:val="18"/>
                <w:szCs w:val="18"/>
                <w:color w:val="auto"/>
              </w:rPr>
              <w:t>Effect of foreign currency exchange rate changes</w:t>
            </w:r>
          </w:p>
        </w:tc>
        <w:tc>
          <w:tcPr>
            <w:tcW w:w="1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9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7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912,776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Intangible Assets</w:t>
            </w:r>
          </w:p>
        </w:tc>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24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40" w:type="dxa"/>
            <w:vAlign w:val="bottom"/>
          </w:tcPr>
          <w:p>
            <w:pPr>
              <w:spacing w:after="0"/>
              <w:rPr>
                <w:sz w:val="20"/>
                <w:szCs w:val="20"/>
                <w:color w:val="auto"/>
              </w:rPr>
            </w:pPr>
            <w:r>
              <w:rPr>
                <w:rFonts w:ascii="Arial" w:cs="Arial" w:eastAsia="Arial" w:hAnsi="Arial"/>
                <w:sz w:val="18"/>
                <w:szCs w:val="18"/>
                <w:color w:val="auto"/>
              </w:rPr>
              <w:t>Intangible assets consisted of the following as of:</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8"/>
              </w:rPr>
              <w:t>June 30, 2023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Useful</w:t>
            </w:r>
          </w:p>
        </w:tc>
        <w:tc>
          <w:tcPr>
            <w:tcW w:w="16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Gross 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Net Book</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Life</w:t>
            </w:r>
          </w:p>
        </w:tc>
        <w:tc>
          <w:tcPr>
            <w:tcW w:w="160" w:type="dxa"/>
            <w:vAlign w:val="bottom"/>
          </w:tcPr>
          <w:p>
            <w:pPr>
              <w:spacing w:after="0"/>
              <w:rPr>
                <w:sz w:val="20"/>
                <w:szCs w:val="20"/>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gridSpan w:val="5"/>
          </w:tcPr>
          <w:p>
            <w:pPr>
              <w:jc w:val="center"/>
              <w:ind w:right="260"/>
              <w:spacing w:after="0"/>
              <w:rPr>
                <w:sz w:val="20"/>
                <w:szCs w:val="20"/>
                <w:color w:val="auto"/>
              </w:rPr>
            </w:pPr>
            <w:r>
              <w:rPr>
                <w:rFonts w:ascii="Arial" w:cs="Arial" w:eastAsia="Arial" w:hAnsi="Arial"/>
                <w:sz w:val="18"/>
                <w:szCs w:val="18"/>
                <w:i w:val="1"/>
                <w:iCs w:val="1"/>
                <w:color w:val="auto"/>
                <w:w w:val="91"/>
              </w:rPr>
              <w:t>(in thousands)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2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7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3-20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606,305</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300,889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305,416</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780" w:type="dxa"/>
            <w:vAlign w:val="bottom"/>
          </w:tcPr>
          <w:p>
            <w:pPr>
              <w:jc w:val="center"/>
              <w:ind w:right="10"/>
              <w:spacing w:after="0"/>
              <w:rPr>
                <w:sz w:val="20"/>
                <w:szCs w:val="20"/>
                <w:color w:val="auto"/>
              </w:rPr>
            </w:pPr>
            <w:r>
              <w:rPr>
                <w:rFonts w:ascii="Arial" w:cs="Arial" w:eastAsia="Arial" w:hAnsi="Arial"/>
                <w:sz w:val="18"/>
                <w:szCs w:val="18"/>
                <w:color w:val="auto"/>
                <w:w w:val="89"/>
              </w:rPr>
              <w:t>2-12 years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105,878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67,510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38,368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7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3-10 years</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16,061</w:t>
            </w:r>
          </w:p>
        </w:tc>
        <w:tc>
          <w:tcPr>
            <w:tcW w:w="0" w:type="dxa"/>
            <w:vAlign w:val="bottom"/>
          </w:tcPr>
          <w:p>
            <w:pPr>
              <w:spacing w:after="0"/>
              <w:rPr>
                <w:sz w:val="1"/>
                <w:szCs w:val="1"/>
                <w:color w:val="auto"/>
              </w:rPr>
            </w:pPr>
          </w:p>
        </w:tc>
      </w:tr>
      <w:tr>
        <w:trPr>
          <w:trHeight w:val="263"/>
        </w:trPr>
        <w:tc>
          <w:tcPr>
            <w:tcW w:w="424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780" w:type="dxa"/>
            <w:vAlign w:val="bottom"/>
          </w:tcPr>
          <w:p>
            <w:pPr>
              <w:jc w:val="center"/>
              <w:ind w:right="10"/>
              <w:spacing w:after="0"/>
              <w:rPr>
                <w:sz w:val="20"/>
                <w:szCs w:val="20"/>
                <w:color w:val="auto"/>
              </w:rPr>
            </w:pPr>
            <w:r>
              <w:rPr>
                <w:rFonts w:ascii="Arial" w:cs="Arial" w:eastAsia="Arial" w:hAnsi="Arial"/>
                <w:sz w:val="18"/>
                <w:szCs w:val="18"/>
                <w:color w:val="auto"/>
                <w:w w:val="90"/>
              </w:rPr>
              <w:t>2-5 years</w:t>
            </w: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90"/>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752,740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392,719</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360,021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December 31, 2022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Useful</w:t>
            </w:r>
          </w:p>
        </w:tc>
        <w:tc>
          <w:tcPr>
            <w:tcW w:w="16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Gross 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Net Book</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Life</w:t>
            </w:r>
          </w:p>
        </w:tc>
        <w:tc>
          <w:tcPr>
            <w:tcW w:w="160" w:type="dxa"/>
            <w:vAlign w:val="bottom"/>
          </w:tcPr>
          <w:p>
            <w:pPr>
              <w:spacing w:after="0"/>
              <w:rPr>
                <w:sz w:val="20"/>
                <w:szCs w:val="20"/>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gridSpan w:val="5"/>
          </w:tcPr>
          <w:p>
            <w:pPr>
              <w:jc w:val="center"/>
              <w:ind w:right="260"/>
              <w:spacing w:after="0"/>
              <w:rPr>
                <w:sz w:val="20"/>
                <w:szCs w:val="20"/>
                <w:color w:val="auto"/>
              </w:rPr>
            </w:pPr>
            <w:r>
              <w:rPr>
                <w:rFonts w:ascii="Arial" w:cs="Arial" w:eastAsia="Arial" w:hAnsi="Arial"/>
                <w:sz w:val="18"/>
                <w:szCs w:val="18"/>
                <w:i w:val="1"/>
                <w:iCs w:val="1"/>
                <w:color w:val="auto"/>
                <w:w w:val="91"/>
              </w:rPr>
              <w:t>(in thousands)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2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20" w:type="dxa"/>
            <w:vAlign w:val="bottom"/>
            <w:gridSpan w:val="2"/>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gridSpan w:val="2"/>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7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3-20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605,753</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265,342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340,411</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780" w:type="dxa"/>
            <w:vAlign w:val="bottom"/>
          </w:tcPr>
          <w:p>
            <w:pPr>
              <w:jc w:val="center"/>
              <w:ind w:right="10"/>
              <w:spacing w:after="0"/>
              <w:rPr>
                <w:sz w:val="20"/>
                <w:szCs w:val="20"/>
                <w:color w:val="auto"/>
              </w:rPr>
            </w:pPr>
            <w:r>
              <w:rPr>
                <w:rFonts w:ascii="Arial" w:cs="Arial" w:eastAsia="Arial" w:hAnsi="Arial"/>
                <w:sz w:val="18"/>
                <w:szCs w:val="18"/>
                <w:color w:val="auto"/>
                <w:w w:val="89"/>
              </w:rPr>
              <w:t>2-12 years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105,766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59,208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46,558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7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3-10 years</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18,406</w:t>
            </w:r>
          </w:p>
        </w:tc>
        <w:tc>
          <w:tcPr>
            <w:tcW w:w="0" w:type="dxa"/>
            <w:vAlign w:val="bottom"/>
          </w:tcPr>
          <w:p>
            <w:pPr>
              <w:spacing w:after="0"/>
              <w:rPr>
                <w:sz w:val="1"/>
                <w:szCs w:val="1"/>
                <w:color w:val="auto"/>
              </w:rPr>
            </w:pPr>
          </w:p>
        </w:tc>
      </w:tr>
      <w:tr>
        <w:trPr>
          <w:trHeight w:val="264"/>
        </w:trPr>
        <w:tc>
          <w:tcPr>
            <w:tcW w:w="424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780" w:type="dxa"/>
            <w:vAlign w:val="bottom"/>
          </w:tcPr>
          <w:p>
            <w:pPr>
              <w:jc w:val="center"/>
              <w:ind w:right="10"/>
              <w:spacing w:after="0"/>
              <w:rPr>
                <w:sz w:val="20"/>
                <w:szCs w:val="20"/>
                <w:color w:val="auto"/>
              </w:rPr>
            </w:pPr>
            <w:r>
              <w:rPr>
                <w:rFonts w:ascii="Arial" w:cs="Arial" w:eastAsia="Arial" w:hAnsi="Arial"/>
                <w:sz w:val="18"/>
                <w:szCs w:val="18"/>
                <w:color w:val="auto"/>
                <w:w w:val="90"/>
              </w:rPr>
              <w:t>2-5 years</w:t>
            </w: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9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7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752,052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346,332</w:t>
            </w:r>
          </w:p>
        </w:tc>
        <w:tc>
          <w:tcPr>
            <w:tcW w:w="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405,720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was $22.9 million and $25.3 million for the three months ended June 30, 2023 and 2022, respectively, and $46.1 million and $50.5 million for the six months ended June 30, 2023 and 2022, respectively.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Note 6. Property and Equipment</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7780" w:type="dxa"/>
            <w:vAlign w:val="bottom"/>
          </w:tcPr>
          <w:p>
            <w:pPr>
              <w:spacing w:after="0"/>
              <w:rPr>
                <w:sz w:val="20"/>
                <w:szCs w:val="20"/>
                <w:color w:val="auto"/>
              </w:rPr>
            </w:pPr>
            <w:r>
              <w:rPr>
                <w:rFonts w:ascii="Arial" w:cs="Arial" w:eastAsia="Arial" w:hAnsi="Arial"/>
                <w:sz w:val="18"/>
                <w:szCs w:val="18"/>
                <w:color w:val="auto"/>
              </w:rPr>
              <w:t>Property and equipment consisted of the following as of:</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46"/>
        </w:trPr>
        <w:tc>
          <w:tcPr>
            <w:tcW w:w="7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December 31,</w:t>
            </w:r>
          </w:p>
        </w:tc>
      </w:tr>
      <w:tr>
        <w:trPr>
          <w:trHeight w:val="270"/>
        </w:trPr>
        <w:tc>
          <w:tcPr>
            <w:tcW w:w="7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7"/>
        </w:trPr>
        <w:tc>
          <w:tcPr>
            <w:tcW w:w="7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4"/>
          </w:tcPr>
          <w:p>
            <w:pPr>
              <w:jc w:val="right"/>
              <w:ind w:right="1130"/>
              <w:spacing w:after="0"/>
              <w:rPr>
                <w:sz w:val="20"/>
                <w:szCs w:val="20"/>
                <w:color w:val="auto"/>
              </w:rPr>
            </w:pPr>
            <w:r>
              <w:rPr>
                <w:rFonts w:ascii="Arial" w:cs="Arial" w:eastAsia="Arial" w:hAnsi="Arial"/>
                <w:sz w:val="18"/>
                <w:szCs w:val="18"/>
                <w:i w:val="1"/>
                <w:iCs w:val="1"/>
                <w:color w:val="auto"/>
              </w:rPr>
              <w:t>(in thousands)</w:t>
            </w:r>
          </w:p>
        </w:tc>
      </w:tr>
      <w:tr>
        <w:trPr>
          <w:trHeight w:val="81"/>
        </w:trPr>
        <w:tc>
          <w:tcPr>
            <w:tcW w:w="7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9,327</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3,570</w:t>
            </w: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11,941</w:t>
            </w:r>
          </w:p>
        </w:tc>
      </w:tr>
      <w:tr>
        <w:trPr>
          <w:trHeight w:val="243"/>
        </w:trPr>
        <w:tc>
          <w:tcPr>
            <w:tcW w:w="7780" w:type="dxa"/>
            <w:vAlign w:val="bottom"/>
          </w:tcPr>
          <w:p>
            <w:pPr>
              <w:ind w:left="140"/>
              <w:spacing w:after="0"/>
              <w:rPr>
                <w:sz w:val="20"/>
                <w:szCs w:val="20"/>
                <w:color w:val="auto"/>
              </w:rPr>
            </w:pPr>
            <w:r>
              <w:rPr>
                <w:rFonts w:ascii="Arial" w:cs="Arial" w:eastAsia="Arial" w:hAnsi="Arial"/>
                <w:sz w:val="18"/>
                <w:szCs w:val="18"/>
                <w:color w:val="auto"/>
              </w:rPr>
              <w:t>Total property and equipment</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26,036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24,838</w:t>
            </w: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(12,908)</w:t>
            </w:r>
          </w:p>
        </w:tc>
      </w:tr>
      <w:tr>
        <w:trPr>
          <w:trHeight w:val="270"/>
        </w:trPr>
        <w:tc>
          <w:tcPr>
            <w:tcW w:w="778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11,118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11,930</w:t>
            </w:r>
          </w:p>
        </w:tc>
      </w:tr>
      <w:tr>
        <w:trPr>
          <w:trHeight w:val="21"/>
        </w:trPr>
        <w:tc>
          <w:tcPr>
            <w:tcW w:w="7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$1.0 million and $1.1 million for the three months ended June 30, 2023 and 2022, respectively, and $2.0 million and $2.1 million for the six months ended June 30, 2023 and 2022, respectively.</w:t>
      </w:r>
    </w:p>
    <w:p>
      <w:pPr>
        <w:sectPr>
          <w:pgSz w:w="11900" w:h="16838" w:orient="portrait"/>
          <w:cols w:equalWidth="0" w:num="1">
            <w:col w:w="11240"/>
          </w:cols>
          <w:pgMar w:left="320" w:top="175" w:right="3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Capitalized Software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consisted of the following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715010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Capitalized software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Capitalized software,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300" w:type="dxa"/>
            <w:vAlign w:val="bottom"/>
          </w:tcPr>
          <w:p>
            <w:pPr>
              <w:spacing w:after="0"/>
              <w:rPr>
                <w:sz w:val="23"/>
                <w:szCs w:val="23"/>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7"/>
        </w:trPr>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3160" w:type="dxa"/>
            <w:vAlign w:val="bottom"/>
            <w:gridSpan w:val="4"/>
          </w:tcPr>
          <w:p>
            <w:pPr>
              <w:ind w:left="900"/>
              <w:spacing w:after="0"/>
              <w:rPr>
                <w:sz w:val="20"/>
                <w:szCs w:val="20"/>
                <w:color w:val="auto"/>
              </w:rPr>
            </w:pPr>
            <w:r>
              <w:rPr>
                <w:rFonts w:ascii="Arial" w:cs="Arial" w:eastAsia="Arial" w:hAnsi="Arial"/>
                <w:sz w:val="18"/>
                <w:szCs w:val="18"/>
                <w:i w:val="1"/>
                <w:iCs w:val="1"/>
                <w:color w:val="auto"/>
              </w:rPr>
              <w:t>(in thousands)</w:t>
            </w:r>
          </w:p>
        </w:tc>
      </w:tr>
      <w:tr>
        <w:trPr>
          <w:trHeight w:val="324"/>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center"/>
              <w:ind w:left="650"/>
              <w:spacing w:after="0"/>
              <w:rPr>
                <w:sz w:val="20"/>
                <w:szCs w:val="20"/>
                <w:color w:val="auto"/>
              </w:rPr>
            </w:pPr>
            <w:r>
              <w:rPr>
                <w:rFonts w:ascii="Arial" w:cs="Arial" w:eastAsia="Arial" w:hAnsi="Arial"/>
                <w:sz w:val="18"/>
                <w:szCs w:val="18"/>
                <w:color w:val="auto"/>
                <w:w w:val="90"/>
              </w:rPr>
              <w:t>54,849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center"/>
              <w:ind w:left="750"/>
              <w:spacing w:after="0"/>
              <w:rPr>
                <w:sz w:val="20"/>
                <w:szCs w:val="20"/>
                <w:color w:val="auto"/>
              </w:rPr>
            </w:pPr>
            <w:r>
              <w:rPr>
                <w:rFonts w:ascii="Arial" w:cs="Arial" w:eastAsia="Arial" w:hAnsi="Arial"/>
                <w:sz w:val="18"/>
                <w:szCs w:val="18"/>
                <w:color w:val="auto"/>
                <w:w w:val="87"/>
              </w:rPr>
              <w:t>45,872</w:t>
            </w:r>
          </w:p>
        </w:tc>
      </w:tr>
      <w:tr>
        <w:trPr>
          <w:trHeight w:val="270"/>
        </w:trPr>
        <w:tc>
          <w:tcPr>
            <w:tcW w:w="300" w:type="dxa"/>
            <w:vAlign w:val="bottom"/>
          </w:tcPr>
          <w:p>
            <w:pPr>
              <w:spacing w:after="0"/>
              <w:rPr>
                <w:sz w:val="23"/>
                <w:szCs w:val="23"/>
                <w:color w:val="auto"/>
              </w:rPr>
            </w:pPr>
          </w:p>
        </w:tc>
        <w:tc>
          <w:tcPr>
            <w:tcW w:w="1360" w:type="dxa"/>
            <w:vAlign w:val="bottom"/>
          </w:tcPr>
          <w:p>
            <w:pPr>
              <w:jc w:val="center"/>
              <w:ind w:left="610"/>
              <w:spacing w:after="0"/>
              <w:rPr>
                <w:sz w:val="20"/>
                <w:szCs w:val="20"/>
                <w:color w:val="auto"/>
              </w:rPr>
            </w:pPr>
            <w:r>
              <w:rPr>
                <w:rFonts w:ascii="Arial" w:cs="Arial" w:eastAsia="Arial" w:hAnsi="Arial"/>
                <w:sz w:val="18"/>
                <w:szCs w:val="18"/>
                <w:color w:val="auto"/>
                <w:w w:val="92"/>
              </w:rPr>
              <w:t>(17,145)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center"/>
              <w:ind w:left="730"/>
              <w:spacing w:after="0"/>
              <w:rPr>
                <w:sz w:val="20"/>
                <w:szCs w:val="20"/>
                <w:color w:val="auto"/>
              </w:rPr>
            </w:pPr>
            <w:r>
              <w:rPr>
                <w:rFonts w:ascii="Arial" w:cs="Arial" w:eastAsia="Arial" w:hAnsi="Arial"/>
                <w:sz w:val="18"/>
                <w:szCs w:val="18"/>
                <w:color w:val="auto"/>
                <w:w w:val="92"/>
              </w:rPr>
              <w:t>(13,318)</w:t>
            </w:r>
          </w:p>
        </w:tc>
      </w:tr>
      <w:tr>
        <w:trPr>
          <w:trHeight w:val="27"/>
        </w:trPr>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center"/>
              <w:ind w:left="650"/>
              <w:spacing w:after="0"/>
              <w:rPr>
                <w:sz w:val="20"/>
                <w:szCs w:val="20"/>
                <w:color w:val="auto"/>
              </w:rPr>
            </w:pPr>
            <w:r>
              <w:rPr>
                <w:rFonts w:ascii="Arial" w:cs="Arial" w:eastAsia="Arial" w:hAnsi="Arial"/>
                <w:sz w:val="18"/>
                <w:szCs w:val="18"/>
                <w:color w:val="auto"/>
                <w:w w:val="90"/>
              </w:rPr>
              <w:t>37,704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center"/>
              <w:ind w:left="750"/>
              <w:spacing w:after="0"/>
              <w:rPr>
                <w:sz w:val="20"/>
                <w:szCs w:val="20"/>
                <w:color w:val="auto"/>
              </w:rPr>
            </w:pPr>
            <w:r>
              <w:rPr>
                <w:rFonts w:ascii="Arial" w:cs="Arial" w:eastAsia="Arial" w:hAnsi="Arial"/>
                <w:sz w:val="18"/>
                <w:szCs w:val="18"/>
                <w:color w:val="auto"/>
                <w:w w:val="87"/>
              </w:rPr>
              <w:t>32,554</w:t>
            </w:r>
          </w:p>
        </w:tc>
      </w:tr>
      <w:tr>
        <w:trPr>
          <w:trHeight w:val="27"/>
        </w:trPr>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460"/>
          </w:cols>
          <w:pgMar w:left="320" w:top="175" w:right="339" w:bottom="1440" w:gutter="0" w:footer="0" w:header="0"/>
          <w:type w:val="continuous"/>
        </w:sectPr>
      </w:pP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Amortization expense was $2.0 million and $1.1 million for the three months ended June 30, 2023 and 2022, respectively, and $3.8 million and $2.3 million for the six months ended June 30, 2023 and 2022, respectively. During the ordinary course of business, the Company may determine that certain capitalized features of its software will no longer be used either internally or to deliver value to its customers. The Company recorded a charge to general and administrative on the accompanying condensed consolidated statements of operations and comprehensive loss of $0.2 million and $0.5 million for the three months ended June 30, 2023 and 2022, respectively, and $0.5 million and $0.5 million for the six months ended June 30, 2023 and 2022, respectively, related to capitalized features no longer expected to be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leases real estate from unrelated parties under operating lease agreements that have initial terms ranging from one year to 11 years. Some leases include one or more options to renew, generally at our sole discretion, of five additional years each.</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The components of lease expense are as follows:</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95"/>
        </w:trPr>
        <w:tc>
          <w:tcPr>
            <w:tcW w:w="4060" w:type="dxa"/>
            <w:vAlign w:val="bottom"/>
          </w:tcPr>
          <w:p>
            <w:pPr>
              <w:spacing w:after="0"/>
              <w:rPr>
                <w:sz w:val="24"/>
                <w:szCs w:val="24"/>
                <w:color w:val="auto"/>
              </w:rPr>
            </w:pPr>
          </w:p>
        </w:tc>
        <w:tc>
          <w:tcPr>
            <w:tcW w:w="28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7"/>
              </w:rPr>
              <w:t>Six months ended</w:t>
            </w:r>
          </w:p>
        </w:tc>
        <w:tc>
          <w:tcPr>
            <w:tcW w:w="580" w:type="dxa"/>
            <w:vAlign w:val="bottom"/>
          </w:tcPr>
          <w:p>
            <w:pPr>
              <w:spacing w:after="0"/>
              <w:rPr>
                <w:sz w:val="24"/>
                <w:szCs w:val="24"/>
                <w:color w:val="auto"/>
              </w:rPr>
            </w:pPr>
          </w:p>
        </w:tc>
      </w:tr>
      <w:tr>
        <w:trPr>
          <w:trHeight w:val="234"/>
        </w:trPr>
        <w:tc>
          <w:tcPr>
            <w:tcW w:w="4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4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8"/>
              </w:rPr>
              <w:t>June 30,</w:t>
            </w:r>
          </w:p>
        </w:tc>
        <w:tc>
          <w:tcPr>
            <w:tcW w:w="58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40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5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20"/>
                <w:szCs w:val="20"/>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4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40" w:type="dxa"/>
            <w:vAlign w:val="bottom"/>
            <w:gridSpan w:val="3"/>
          </w:tcPr>
          <w:p>
            <w:pPr>
              <w:jc w:val="right"/>
              <w:ind w:right="530"/>
              <w:spacing w:after="0"/>
              <w:rPr>
                <w:sz w:val="20"/>
                <w:szCs w:val="20"/>
                <w:color w:val="auto"/>
              </w:rPr>
            </w:pPr>
            <w:r>
              <w:rPr>
                <w:rFonts w:ascii="Arial" w:cs="Arial" w:eastAsia="Arial" w:hAnsi="Arial"/>
                <w:sz w:val="18"/>
                <w:szCs w:val="18"/>
                <w:i w:val="1"/>
                <w:iCs w:val="1"/>
                <w:color w:val="auto"/>
                <w:w w:val="96"/>
              </w:rPr>
              <w:t>(in thousands)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81"/>
        </w:trPr>
        <w:tc>
          <w:tcPr>
            <w:tcW w:w="4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180" w:type="dxa"/>
            <w:vAlign w:val="bottom"/>
            <w:tcBorders>
              <w:bottom w:val="single" w:sz="8" w:color="CCEEFF"/>
            </w:tcBorders>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160" w:type="dxa"/>
            <w:vAlign w:val="bottom"/>
            <w:tcBorders>
              <w:bottom w:val="single" w:sz="8" w:color="CCEEFF"/>
            </w:tcBorders>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3,297</w:t>
            </w:r>
          </w:p>
        </w:tc>
        <w:tc>
          <w:tcPr>
            <w:tcW w:w="1240" w:type="dxa"/>
            <w:vAlign w:val="bottom"/>
            <w:tcBorders>
              <w:bottom w:val="single" w:sz="8" w:color="CCEEFF"/>
            </w:tcBorders>
            <w:gridSpan w:val="2"/>
            <w:shd w:val="clear" w:color="auto" w:fill="CCEEFF"/>
          </w:tcPr>
          <w:p>
            <w:pPr>
              <w:jc w:val="center"/>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4,077</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1,109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7"/>
        </w:trPr>
        <w:tc>
          <w:tcPr>
            <w:tcW w:w="4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63"/>
        </w:trPr>
        <w:tc>
          <w:tcPr>
            <w:tcW w:w="4060" w:type="dxa"/>
            <w:vAlign w:val="bottom"/>
          </w:tcPr>
          <w:p>
            <w:pPr>
              <w:ind w:left="140"/>
              <w:spacing w:after="0"/>
              <w:rPr>
                <w:sz w:val="20"/>
                <w:szCs w:val="20"/>
                <w:color w:val="auto"/>
              </w:rPr>
            </w:pPr>
            <w:r>
              <w:rPr>
                <w:rFonts w:ascii="Arial" w:cs="Arial" w:eastAsia="Arial" w:hAnsi="Arial"/>
                <w:sz w:val="18"/>
                <w:szCs w:val="18"/>
                <w:color w:val="auto"/>
              </w:rPr>
              <w:t>Total lease cost</w:t>
            </w: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2,433</w:t>
            </w:r>
          </w:p>
        </w:tc>
        <w:tc>
          <w:tcPr>
            <w:tcW w:w="24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4,555</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center"/>
              <w:ind w:right="9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5,013</w:t>
            </w:r>
          </w:p>
        </w:tc>
      </w:tr>
      <w:tr>
        <w:trPr>
          <w:trHeight w:val="20"/>
        </w:trPr>
        <w:tc>
          <w:tcPr>
            <w:tcW w:w="4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86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Six months ended</w:t>
            </w:r>
          </w:p>
        </w:tc>
        <w:tc>
          <w:tcPr>
            <w:tcW w:w="100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6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2023</w:t>
            </w: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2022</w:t>
            </w:r>
          </w:p>
        </w:tc>
      </w:tr>
      <w:tr>
        <w:trPr>
          <w:trHeight w:val="27"/>
        </w:trPr>
        <w:tc>
          <w:tcPr>
            <w:tcW w:w="4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0" w:type="dxa"/>
            <w:vAlign w:val="bottom"/>
            <w:gridSpan w:val="3"/>
          </w:tcPr>
          <w:p>
            <w:pPr>
              <w:jc w:val="right"/>
              <w:ind w:right="580"/>
              <w:spacing w:after="0"/>
              <w:rPr>
                <w:sz w:val="20"/>
                <w:szCs w:val="20"/>
                <w:color w:val="auto"/>
              </w:rPr>
            </w:pPr>
            <w:r>
              <w:rPr>
                <w:rFonts w:ascii="Arial" w:cs="Arial" w:eastAsia="Arial" w:hAnsi="Arial"/>
                <w:sz w:val="18"/>
                <w:szCs w:val="18"/>
                <w:i w:val="1"/>
                <w:iCs w:val="1"/>
                <w:color w:val="auto"/>
              </w:rPr>
              <w:t>(in thousands)</w:t>
            </w: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81"/>
        </w:trPr>
        <w:tc>
          <w:tcPr>
            <w:tcW w:w="4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operating lease liabilities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1,891</w:t>
            </w:r>
          </w:p>
        </w:tc>
        <w:tc>
          <w:tcPr>
            <w:tcW w:w="116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22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3,733</w:t>
            </w:r>
          </w:p>
        </w:tc>
        <w:tc>
          <w:tcPr>
            <w:tcW w:w="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3,975</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Operating lease assets obtained in exchange for</w:t>
            </w: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16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12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183</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633</w:t>
            </w:r>
          </w:p>
        </w:tc>
      </w:tr>
    </w:tbl>
    <w:p>
      <w:pPr>
        <w:spacing w:after="0" w:line="337"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Supplemental balance sheet information, included in other non-current assets, accrued expenses and other and other non-current liabilities on the consolidated balance sheet, related to leases is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December 31,</w:t>
            </w:r>
          </w:p>
        </w:tc>
      </w:tr>
      <w:tr>
        <w:trPr>
          <w:trHeight w:val="270"/>
        </w:trPr>
        <w:tc>
          <w:tcPr>
            <w:tcW w:w="7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7"/>
        </w:trPr>
        <w:tc>
          <w:tcPr>
            <w:tcW w:w="7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4"/>
          </w:tcPr>
          <w:p>
            <w:pPr>
              <w:jc w:val="right"/>
              <w:ind w:right="1130"/>
              <w:spacing w:after="0"/>
              <w:rPr>
                <w:sz w:val="20"/>
                <w:szCs w:val="20"/>
                <w:color w:val="auto"/>
              </w:rPr>
            </w:pPr>
            <w:r>
              <w:rPr>
                <w:rFonts w:ascii="Arial" w:cs="Arial" w:eastAsia="Arial" w:hAnsi="Arial"/>
                <w:sz w:val="18"/>
                <w:szCs w:val="18"/>
                <w:i w:val="1"/>
                <w:iCs w:val="1"/>
                <w:color w:val="auto"/>
              </w:rPr>
              <w:t>(in thousands)</w:t>
            </w:r>
          </w:p>
        </w:tc>
      </w:tr>
      <w:tr>
        <w:trPr>
          <w:trHeight w:val="81"/>
        </w:trPr>
        <w:tc>
          <w:tcPr>
            <w:tcW w:w="7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21,756</w:t>
            </w:r>
          </w:p>
        </w:tc>
      </w:tr>
      <w:tr>
        <w:trPr>
          <w:trHeight w:val="95"/>
        </w:trPr>
        <w:tc>
          <w:tcPr>
            <w:tcW w:w="7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5,239</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22,500</w:t>
            </w:r>
          </w:p>
        </w:tc>
      </w:tr>
      <w:tr>
        <w:trPr>
          <w:trHeight w:val="27"/>
        </w:trPr>
        <w:tc>
          <w:tcPr>
            <w:tcW w:w="7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3"/>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June 30, 2023 and December 31, 2022, the weighted average remaining lease term for operating leases was 6.09 years and 6.34 years, respectively, and the weighted average discount rate was 4.8%.</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2023</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Future undiscounted cash flows for each of the next five years and thereafter and reconciliation to the lease liabilities recognized on the balance sheet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2023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ended December 31,</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2023 (remainder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2024</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2026</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Thereafter</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Less: imputed interest</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present value of lease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Long-term debt consisted of the following as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jc w:val="both"/>
        <w:ind w:left="780"/>
        <w:spacing w:after="0"/>
        <w:tabs>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3,118</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4,843</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4,424</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4,232</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3,771</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8,452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31750</wp:posOffset>
            </wp:positionV>
            <wp:extent cx="13804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5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28,840</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31750</wp:posOffset>
            </wp:positionV>
            <wp:extent cx="1380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57" w:lineRule="exact"/>
        <w:rPr>
          <w:sz w:val="20"/>
          <w:szCs w:val="20"/>
          <w:color w:val="auto"/>
        </w:rPr>
      </w:pPr>
    </w:p>
    <w:p>
      <w:pPr>
        <w:jc w:val="both"/>
        <w:ind w:left="780"/>
        <w:spacing w:after="0"/>
        <w:tabs>
          <w:tab w:leader="none" w:pos="2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31750</wp:posOffset>
            </wp:positionV>
            <wp:extent cx="13804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57785</wp:posOffset>
            </wp:positionV>
            <wp:extent cx="13804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June 30,</w:t>
      </w:r>
      <w:r>
        <w:rPr>
          <w:sz w:val="20"/>
          <w:szCs w:val="20"/>
          <w:color w:val="auto"/>
        </w:rPr>
        <w:tab/>
      </w:r>
      <w:r>
        <w:rPr>
          <w:rFonts w:ascii="Arial" w:cs="Arial" w:eastAsia="Arial" w:hAnsi="Arial"/>
          <w:sz w:val="15"/>
          <w:szCs w:val="15"/>
          <w:b w:val="1"/>
          <w:bCs w:val="1"/>
          <w:color w:val="auto"/>
        </w:rPr>
        <w:t>December 31,</w:t>
      </w:r>
    </w:p>
    <w:p>
      <w:pPr>
        <w:spacing w:after="0" w:line="63" w:lineRule="exact"/>
        <w:rPr>
          <w:sz w:val="20"/>
          <w:szCs w:val="20"/>
          <w:color w:val="auto"/>
        </w:rPr>
      </w:pPr>
    </w:p>
    <w:p>
      <w:pPr>
        <w:ind w:left="140"/>
        <w:spacing w:after="0"/>
        <w:tabs>
          <w:tab w:leader="none" w:pos="190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34290</wp:posOffset>
            </wp:positionV>
            <wp:extent cx="22034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61"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(in thousands)</w:t>
      </w:r>
    </w:p>
    <w:p>
      <w:pPr>
        <w:spacing w:after="0" w:line="104" w:lineRule="exact"/>
        <w:rPr>
          <w:sz w:val="20"/>
          <w:szCs w:val="20"/>
          <w:color w:val="auto"/>
        </w:rPr>
      </w:pPr>
    </w:p>
    <w:p>
      <w:pPr>
        <w:sectPr>
          <w:pgSz w:w="11900" w:h="16838" w:orient="portrait"/>
          <w:cols w:equalWidth="0" w:num="2">
            <w:col w:w="7580" w:space="720"/>
            <w:col w:w="294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7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97"/>
              </w:rPr>
              <w:t>Term notes with interest payable monthly, interest rate at Adjusted LIBOR or Alternative Base Rate</w:t>
            </w: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5"/>
              </w:rPr>
              <w:t xml:space="preserve">(“ABR”), plus an applicable margin </w:t>
            </w:r>
            <w:r>
              <w:rPr>
                <w:rFonts w:ascii="Arial" w:cs="Arial" w:eastAsia="Arial" w:hAnsi="Arial"/>
                <w:sz w:val="18"/>
                <w:szCs w:val="18"/>
                <w:color w:val="auto"/>
                <w:w w:val="95"/>
                <w:shd w:val="clear" w:color="auto" w:fill="CCEEFF"/>
              </w:rPr>
              <w:t>of 3.25%</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(8.40371%</w:t>
            </w:r>
          </w:p>
        </w:tc>
        <w:tc>
          <w:tcPr>
            <w:tcW w:w="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at</w:t>
            </w:r>
          </w:p>
        </w:tc>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1"/>
              </w:rPr>
              <w:t>June 30, 2023) quarterly principal payments</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of 0.25% of original principal balance with balloon payment due July 2028</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540,375</w:t>
            </w:r>
          </w:p>
        </w:tc>
        <w:tc>
          <w:tcPr>
            <w:tcW w:w="6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543,125</w:t>
            </w:r>
          </w:p>
        </w:tc>
        <w:tc>
          <w:tcPr>
            <w:tcW w:w="0" w:type="dxa"/>
            <w:vAlign w:val="bottom"/>
          </w:tcPr>
          <w:p>
            <w:pPr>
              <w:spacing w:after="0"/>
              <w:rPr>
                <w:sz w:val="1"/>
                <w:szCs w:val="1"/>
                <w:color w:val="auto"/>
              </w:rPr>
            </w:pPr>
          </w:p>
        </w:tc>
      </w:tr>
      <w:tr>
        <w:trPr>
          <w:trHeight w:val="229"/>
        </w:trPr>
        <w:tc>
          <w:tcPr>
            <w:tcW w:w="7780" w:type="dxa"/>
            <w:vAlign w:val="bottom"/>
            <w:gridSpan w:val="4"/>
          </w:tcPr>
          <w:p>
            <w:pPr>
              <w:ind w:left="20"/>
              <w:spacing w:after="0"/>
              <w:rPr>
                <w:sz w:val="20"/>
                <w:szCs w:val="20"/>
                <w:color w:val="auto"/>
              </w:rPr>
            </w:pPr>
            <w:r>
              <w:rPr>
                <w:rFonts w:ascii="Arial" w:cs="Arial" w:eastAsia="Arial" w:hAnsi="Arial"/>
                <w:sz w:val="18"/>
                <w:szCs w:val="18"/>
                <w:color w:val="auto"/>
                <w:w w:val="98"/>
              </w:rPr>
              <w:t>Revolver with interest payable monthly, interest rate at Adjusted LIBOR or ABR, plus an applicable</w:t>
            </w:r>
          </w:p>
        </w:tc>
        <w:tc>
          <w:tcPr>
            <w:tcW w:w="56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80" w:type="dxa"/>
            <w:vAlign w:val="bottom"/>
            <w:gridSpan w:val="4"/>
          </w:tcPr>
          <w:p>
            <w:pPr>
              <w:ind w:left="180"/>
              <w:spacing w:after="0"/>
              <w:rPr>
                <w:sz w:val="20"/>
                <w:szCs w:val="20"/>
                <w:color w:val="auto"/>
              </w:rPr>
            </w:pPr>
            <w:r>
              <w:rPr>
                <w:rFonts w:ascii="Arial" w:cs="Arial" w:eastAsia="Arial" w:hAnsi="Arial"/>
                <w:sz w:val="18"/>
                <w:szCs w:val="18"/>
                <w:color w:val="auto"/>
              </w:rPr>
              <w:t>margin of 3.25% (8.46771% at June 30, 2023), and outstanding balance due July 2026</w:t>
            </w:r>
          </w:p>
        </w:tc>
        <w:tc>
          <w:tcPr>
            <w:tcW w:w="5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Principal debt</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540,375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543,125</w:t>
            </w:r>
          </w:p>
        </w:tc>
        <w:tc>
          <w:tcPr>
            <w:tcW w:w="0" w:type="dxa"/>
            <w:vAlign w:val="bottom"/>
          </w:tcPr>
          <w:p>
            <w:pPr>
              <w:spacing w:after="0"/>
              <w:rPr>
                <w:sz w:val="1"/>
                <w:szCs w:val="1"/>
                <w:color w:val="auto"/>
              </w:rPr>
            </w:pPr>
          </w:p>
        </w:tc>
      </w:tr>
      <w:tr>
        <w:trPr>
          <w:trHeight w:val="243"/>
        </w:trPr>
        <w:tc>
          <w:tcPr>
            <w:tcW w:w="7780" w:type="dxa"/>
            <w:vAlign w:val="bottom"/>
            <w:gridSpan w:val="4"/>
          </w:tcPr>
          <w:p>
            <w:pPr>
              <w:ind w:left="20"/>
              <w:spacing w:after="0"/>
              <w:rPr>
                <w:sz w:val="20"/>
                <w:szCs w:val="20"/>
                <w:color w:val="auto"/>
              </w:rPr>
            </w:pPr>
            <w:r>
              <w:rPr>
                <w:rFonts w:ascii="Arial" w:cs="Arial" w:eastAsia="Arial" w:hAnsi="Arial"/>
                <w:sz w:val="18"/>
                <w:szCs w:val="18"/>
                <w:color w:val="auto"/>
              </w:rPr>
              <w:t>Deferred financing costs on long-term debt</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Discount on long-term debt</w:t>
            </w:r>
          </w:p>
        </w:tc>
        <w:tc>
          <w:tcPr>
            <w:tcW w:w="5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43"/>
        </w:trPr>
        <w:tc>
          <w:tcPr>
            <w:tcW w:w="7780" w:type="dxa"/>
            <w:vAlign w:val="bottom"/>
            <w:gridSpan w:val="4"/>
          </w:tcPr>
          <w:p>
            <w:pPr>
              <w:ind w:left="560"/>
              <w:spacing w:after="0"/>
              <w:rPr>
                <w:sz w:val="20"/>
                <w:szCs w:val="20"/>
                <w:color w:val="auto"/>
              </w:rPr>
            </w:pPr>
            <w:r>
              <w:rPr>
                <w:rFonts w:ascii="Arial" w:cs="Arial" w:eastAsia="Arial" w:hAnsi="Arial"/>
                <w:sz w:val="18"/>
                <w:szCs w:val="18"/>
                <w:color w:val="auto"/>
              </w:rPr>
              <w:t>Total debt</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534,324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536,446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5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70"/>
        </w:trPr>
        <w:tc>
          <w:tcPr>
            <w:tcW w:w="7780" w:type="dxa"/>
            <w:vAlign w:val="bottom"/>
            <w:gridSpan w:val="4"/>
          </w:tcPr>
          <w:p>
            <w:pPr>
              <w:ind w:left="560"/>
              <w:spacing w:after="0"/>
              <w:rPr>
                <w:sz w:val="20"/>
                <w:szCs w:val="20"/>
                <w:color w:val="auto"/>
              </w:rPr>
            </w:pPr>
            <w:r>
              <w:rPr>
                <w:rFonts w:ascii="Arial" w:cs="Arial" w:eastAsia="Arial" w:hAnsi="Arial"/>
                <w:sz w:val="18"/>
                <w:szCs w:val="18"/>
                <w:color w:val="auto"/>
              </w:rPr>
              <w:t>Long-term portion</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528,824</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530,946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2021, the Company agreed to two term loans for an aggregate principal amount of $550.0 million (“Term Loans”), a revolver with a capacity of $190.0 million (“Revolver”) and a sub-limit of the Revolver available for letters of credit up to an aggregate face amount of $20.0 million. These debt arrangements are collectively referred to herein as the (“Credit Facilities”).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Borrowings under the Credit Facilities are available as ABR or Eurocurrency borrowings. ABR borrowings under the Credit Facilities accrue interest at an alternate base rate plus an applicable rate, and Eurocurrency borrowings accrue interest at an adjusted LIBOR rate plus an applicable rate. The ABR rate represents the greater of the prime rate, Federal Reserve Bank of New York rate plus ½ of 1%, and an adjusted LIBOR rate for a one month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period plus 1%. The applicable rate for the Term Loans and the Revolver is 3% for Eurocurrency borrowings and 2% for ABR Borrowings, in each case subject to change based on our first lien net leverage ratio.</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recent regulatory guidance and proposals for reform, the ICE Benchmark Administration Limited, the administrator of LIBOR, ceased publication of USD LIBOR as a representative rate after June 30, 2023. On June 26, 2023, the Credit Facilities were amended to replace the reference rate of LIBOR with the Adjusted Term SOFR Rate (see definition below). The interest rate on any loans outstanding under the Credit Facilities continued to be determined by reference to USD LIBOR until June 30, 2023, after which time the interest rates on such loans began bearing interest by reference to SOFR. The Company continues to monitor the impact of the transition from LIBOR to SOFR on its business but does not expect a significant impact to the consolidated financial statements.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as of July 1, 2023, borrowings under the Credit Facilities bear interest at the Company’s option at ABR plus an applicable rate, or at a forward-looking term rate based upon the secured overnight financing rate, plus (i) (a) with respect to Term Loans, credit spread adjustments of 0.11448%, 0.26161%, 0.42826% and 0.71513% for interest periods of one three, six and twelve months, respectively and (b) with respect to revolving loans, 0.0% (“Adjusted SOFR”) plus (ii) an applicable rate, in each case with such applicable rate based on the Company’s first lien net leverage ratio. The ABR represents the highest of the prime rate, Federal Reserve Bank of New York rate plus ½ of 1%, and the Adjusted SOFR for a one month interest period plus 1%. The applicable rate for the Term Loans and the Revolver is 3.0% for Adjusted SOFR borrowings and 2.0% for ABR borrowings, in each case subject to change based on our first lien net leverage ratio.</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determines the fair value of long-term debt based on trading prices for its debt if available. As of June 30, 2023, the Company obtained trading prices for the term notes outstanding. However, as such trading prices require significant unobservable inputs to the pricing model, such instruments are classified as Level 2. If no such trading prices are available, the Company determines the fair value of long-term debt using discounted cash flows, applying current interest rates and current credit spreads, based on its own credit risk. The fair value amounts were approximately $539.0 million and $531.6 million as of June 30, 2023 and December 31, 2022, respectively.</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October 31, 2022, the Company entered into an interest rate swap agreement (the “Initial Swap”) in connection with the Company’s Credit Facilities for a notional amount of $200.0 million to convert a portion of the floating rate component of the Term Loans from a floating rate to a fixed rate. The Initial Swap agreement has a term of five years with a fixed rate in the agreement of 4.212%, as amended in June 2023. Additionally, effective March 31, 2023, the Company entered into a second interest rate swap agreement (the “Second Swap” and together with the Initial Swap, the “Swap Agreements”) in connection with the Company’s Credit Facilities for a notional amount of $100.0 million to convert a portion of the floating rate component of the Term Loans from a floating rate to a fixed rate. The Second Swap agreement has a term of approximately 4.5 years with a fixed rate in the agreement of 3.951%, as amended in June 2023.</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Swap Agreements are accounted for as derivatives whereby the fair value of each contract is reported within the consolidated balance sheet, and associated gains or losses resulting from changes in the fair value are reported in interest and other expense, net, in the statement of operations and comprehensive loss. As of June 30, 2023 the fair value of the Second Swap was an asset of $0.4 million while the fair value of the Initial Swap was a liability of $1.2 million and are reported in other non-current assets and other non-current liabilities, respectively, on the condensed consolidated balance sheet.</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Credit Facilities are subject to certain financial and nonfinancial covenants and are secured by substantially all assets of the Company. As of June 30, 2023, the Company was in compliance with all of its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spacing w:after="0"/>
              <w:rPr>
                <w:sz w:val="20"/>
                <w:szCs w:val="20"/>
                <w:color w:val="auto"/>
              </w:rPr>
            </w:pPr>
            <w:r>
              <w:rPr>
                <w:rFonts w:ascii="Arial" w:cs="Arial" w:eastAsia="Arial" w:hAnsi="Arial"/>
                <w:sz w:val="18"/>
                <w:szCs w:val="18"/>
                <w:color w:val="auto"/>
                <w:w w:val="92"/>
              </w:rPr>
              <w:t>Aggregate maturities of the Company’s debt for the years ending December 31 are as follows as of June 30, 2023 (in thousands):</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46"/>
        </w:trPr>
        <w:tc>
          <w:tcPr>
            <w:tcW w:w="956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9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2023 (remainder of year)</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r>
      <w:tr>
        <w:trPr>
          <w:trHeight w:val="243"/>
        </w:trPr>
        <w:tc>
          <w:tcPr>
            <w:tcW w:w="9560" w:type="dxa"/>
            <w:vAlign w:val="bottom"/>
          </w:tcPr>
          <w:p>
            <w:pPr>
              <w:ind w:left="140"/>
              <w:spacing w:after="0"/>
              <w:rPr>
                <w:sz w:val="20"/>
                <w:szCs w:val="20"/>
                <w:color w:val="auto"/>
              </w:rPr>
            </w:pPr>
            <w:r>
              <w:rPr>
                <w:rFonts w:ascii="Arial" w:cs="Arial" w:eastAsia="Arial" w:hAnsi="Arial"/>
                <w:sz w:val="18"/>
                <w:szCs w:val="18"/>
                <w:color w:val="auto"/>
              </w:rPr>
              <w:t>2024</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7"/>
        </w:trPr>
        <w:tc>
          <w:tcPr>
            <w:tcW w:w="9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43"/>
        </w:trPr>
        <w:tc>
          <w:tcPr>
            <w:tcW w:w="9560" w:type="dxa"/>
            <w:vAlign w:val="bottom"/>
          </w:tcPr>
          <w:p>
            <w:pPr>
              <w:ind w:left="140"/>
              <w:spacing w:after="0"/>
              <w:rPr>
                <w:sz w:val="20"/>
                <w:szCs w:val="20"/>
                <w:color w:val="auto"/>
              </w:rPr>
            </w:pPr>
            <w:r>
              <w:rPr>
                <w:rFonts w:ascii="Arial" w:cs="Arial" w:eastAsia="Arial" w:hAnsi="Arial"/>
                <w:sz w:val="18"/>
                <w:szCs w:val="18"/>
                <w:color w:val="auto"/>
              </w:rPr>
              <w:t>2026</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7"/>
        </w:trPr>
        <w:tc>
          <w:tcPr>
            <w:tcW w:w="9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63"/>
        </w:trPr>
        <w:tc>
          <w:tcPr>
            <w:tcW w:w="956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515,625</w:t>
            </w:r>
          </w:p>
        </w:tc>
      </w:tr>
      <w:tr>
        <w:trPr>
          <w:trHeight w:val="295"/>
        </w:trPr>
        <w:tc>
          <w:tcPr>
            <w:tcW w:w="9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aggregate maturities of the Company’s debt</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540,375</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6, 2021, the Company filed an Amended and Restated Certificate of Incorporation with the Secretary of State of the State of Delaware to authorize the issuance up to 2,050,000,000 shares, par value $0.00001 per share, consisting of 2,000,000,000 shares of common stock and 50,000,000 shares of preferred stock.</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14, 2022, our Board of Directors approved a stock repurchase program (the “Repurchase Program”) with authorization to purchase up to $50.0 million in shares of the Company’s common stock through the expiration of the program on December 21, 2022. Repurchases under the program may be made in the open market, in privately negotiated transactions or otherwise, with the amount and timing of repurchases to be determined at the Company’s discretion, depending on market conditions and corporate needs. This program does not obligate the Company to acquire any particular amount of common stock and may be modified, suspended or terminated at any time at the discretion of the Board of Directors. The Company expects to fund repurchases with existing cash on hand. On November 7, 2022, our Board of Directors approved an expansion of the Repurchase Program with authorization to purchase up to an additional $50.0 million in shares of the Company’s common stock ($100.0 million total) and an extension to the expiration of the Repurchase Program through December 31, 2023.</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repurchased and retired 0.9 million shares and 4.0 million shares of common stock for $10.0 million and $39.6 million including transaction fees, during the three and six months ended June 30, 2023, respectively. As of June 30, 2023, $17.5 million remains available under the Repurchase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In connection with the Initial Public Offering (“IPO”), the Company’s board of directors adopted, and the Company’s stockholders approved, the 2021 Incentive Award Plan (the “2021 Plan”), which became effective immediately prior to the effectiveness of the registration statement for the Company’s IPO and, as a result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Company’s board of directors, provided that no more than 22,000,000 shares may be issued upon the exercise of incentive stock options. Based on the Company’s outstanding shares of common stock as of December 31, 2022, as of January 1, 2023 the number of shares reserved for issuance under the 2021 Plan increased by 5.7 million.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IPO, the Company’s board of directors adopted the 2021 Employee Stock Purchase Plan (the “ESPP”). For more information on the ESPP, refer to Note 12 in the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restricted stock unit (“RSU”) and stock option activity for the six months ended June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120" w:type="dxa"/>
            <w:vAlign w:val="bottom"/>
          </w:tcPr>
          <w:p>
            <w:pPr>
              <w:ind w:left="620"/>
              <w:spacing w:after="0"/>
              <w:rPr>
                <w:sz w:val="20"/>
                <w:szCs w:val="20"/>
                <w:color w:val="auto"/>
              </w:rPr>
            </w:pPr>
            <w:r>
              <w:rPr>
                <w:rFonts w:ascii="Arial" w:cs="Arial" w:eastAsia="Arial" w:hAnsi="Arial"/>
                <w:sz w:val="18"/>
                <w:szCs w:val="18"/>
                <w:b w:val="1"/>
                <w:bCs w:val="1"/>
                <w:color w:val="auto"/>
                <w:w w:val="99"/>
              </w:rPr>
              <w:t>RSUs</w:t>
            </w:r>
          </w:p>
        </w:tc>
        <w:tc>
          <w:tcPr>
            <w:tcW w:w="740" w:type="dxa"/>
            <w:vAlign w:val="bottom"/>
          </w:tcPr>
          <w:p>
            <w:pPr>
              <w:spacing w:after="0"/>
              <w:rPr>
                <w:sz w:val="20"/>
                <w:szCs w:val="20"/>
                <w:color w:val="auto"/>
              </w:rPr>
            </w:pPr>
          </w:p>
        </w:tc>
        <w:tc>
          <w:tcPr>
            <w:tcW w:w="1600" w:type="dxa"/>
            <w:vAlign w:val="bottom"/>
          </w:tcPr>
          <w:p>
            <w:pPr>
              <w:jc w:val="right"/>
              <w:ind w:right="210"/>
              <w:spacing w:after="0"/>
              <w:rPr>
                <w:sz w:val="20"/>
                <w:szCs w:val="20"/>
                <w:color w:val="auto"/>
              </w:rPr>
            </w:pPr>
            <w:r>
              <w:rPr>
                <w:rFonts w:ascii="Arial" w:cs="Arial" w:eastAsia="Arial" w:hAnsi="Arial"/>
                <w:sz w:val="18"/>
                <w:szCs w:val="18"/>
                <w:b w:val="1"/>
                <w:bCs w:val="1"/>
                <w:color w:val="auto"/>
              </w:rPr>
              <w:t>Stock Options</w:t>
            </w:r>
          </w:p>
        </w:tc>
      </w:tr>
      <w:tr>
        <w:trPr>
          <w:trHeight w:val="27"/>
        </w:trPr>
        <w:tc>
          <w:tcPr>
            <w:tcW w:w="77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340" w:type="dxa"/>
            <w:vAlign w:val="bottom"/>
            <w:gridSpan w:val="2"/>
          </w:tcPr>
          <w:p>
            <w:pPr>
              <w:jc w:val="right"/>
              <w:ind w:right="1130"/>
              <w:spacing w:after="0"/>
              <w:rPr>
                <w:sz w:val="20"/>
                <w:szCs w:val="20"/>
                <w:color w:val="auto"/>
              </w:rPr>
            </w:pPr>
            <w:r>
              <w:rPr>
                <w:rFonts w:ascii="Arial" w:cs="Arial" w:eastAsia="Arial" w:hAnsi="Arial"/>
                <w:sz w:val="18"/>
                <w:szCs w:val="18"/>
                <w:i w:val="1"/>
                <w:iCs w:val="1"/>
                <w:color w:val="auto"/>
                <w:w w:val="96"/>
              </w:rPr>
              <w:t>(in thousands)</w:t>
            </w:r>
          </w:p>
        </w:tc>
      </w:tr>
      <w:tr>
        <w:trPr>
          <w:trHeight w:val="81"/>
        </w:trPr>
        <w:tc>
          <w:tcPr>
            <w:tcW w:w="7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0" w:type="dxa"/>
            <w:vAlign w:val="bottom"/>
          </w:tcPr>
          <w:p>
            <w:pPr>
              <w:spacing w:after="0"/>
              <w:rPr>
                <w:sz w:val="7"/>
                <w:szCs w:val="7"/>
                <w:color w:val="auto"/>
              </w:rPr>
            </w:pPr>
          </w:p>
        </w:tc>
      </w:tr>
      <w:tr>
        <w:trPr>
          <w:trHeight w:val="250"/>
        </w:trPr>
        <w:tc>
          <w:tcPr>
            <w:tcW w:w="8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2023</w:t>
            </w:r>
          </w:p>
        </w:tc>
        <w:tc>
          <w:tcPr>
            <w:tcW w:w="7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2,022</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16,937</w:t>
            </w:r>
          </w:p>
        </w:tc>
      </w:tr>
      <w:tr>
        <w:trPr>
          <w:trHeight w:val="243"/>
        </w:trPr>
        <w:tc>
          <w:tcPr>
            <w:tcW w:w="89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2,839</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Vested or exercised</w:t>
            </w: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(347)</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63"/>
        </w:trPr>
        <w:tc>
          <w:tcPr>
            <w:tcW w:w="7780" w:type="dxa"/>
            <w:vAlign w:val="bottom"/>
          </w:tcPr>
          <w:p>
            <w:pPr>
              <w:ind w:left="140"/>
              <w:spacing w:after="0"/>
              <w:rPr>
                <w:sz w:val="20"/>
                <w:szCs w:val="20"/>
                <w:color w:val="auto"/>
              </w:rPr>
            </w:pPr>
            <w:r>
              <w:rPr>
                <w:rFonts w:ascii="Arial" w:cs="Arial" w:eastAsia="Arial" w:hAnsi="Arial"/>
                <w:sz w:val="18"/>
                <w:szCs w:val="18"/>
                <w:color w:val="auto"/>
              </w:rPr>
              <w:t>Cancelled or forfeited</w:t>
            </w:r>
          </w:p>
        </w:tc>
        <w:tc>
          <w:tcPr>
            <w:tcW w:w="1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50"/>
        </w:trPr>
        <w:tc>
          <w:tcPr>
            <w:tcW w:w="8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March 31, 2023</w:t>
            </w:r>
          </w:p>
        </w:tc>
        <w:tc>
          <w:tcPr>
            <w:tcW w:w="7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4,490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16,756</w:t>
            </w:r>
          </w:p>
        </w:tc>
      </w:tr>
      <w:tr>
        <w:trPr>
          <w:trHeight w:val="243"/>
        </w:trPr>
        <w:tc>
          <w:tcPr>
            <w:tcW w:w="89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149</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Vested or exercised</w:t>
            </w: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(404)</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63"/>
        </w:trPr>
        <w:tc>
          <w:tcPr>
            <w:tcW w:w="7780" w:type="dxa"/>
            <w:vAlign w:val="bottom"/>
          </w:tcPr>
          <w:p>
            <w:pPr>
              <w:ind w:left="140"/>
              <w:spacing w:after="0"/>
              <w:rPr>
                <w:sz w:val="20"/>
                <w:szCs w:val="20"/>
                <w:color w:val="auto"/>
              </w:rPr>
            </w:pPr>
            <w:r>
              <w:rPr>
                <w:rFonts w:ascii="Arial" w:cs="Arial" w:eastAsia="Arial" w:hAnsi="Arial"/>
                <w:sz w:val="18"/>
                <w:szCs w:val="18"/>
                <w:color w:val="auto"/>
              </w:rPr>
              <w:t>Cancelled or forfeited</w:t>
            </w:r>
          </w:p>
        </w:tc>
        <w:tc>
          <w:tcPr>
            <w:tcW w:w="1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(188)</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w:t>
            </w:r>
          </w:p>
        </w:tc>
      </w:tr>
      <w:tr>
        <w:trPr>
          <w:trHeight w:val="290"/>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June 30, 2023</w:t>
            </w: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4,047</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total unrecognized compensation expense was $37.1 million and $14.9 million related to outstanding restricted stock units and outstanding stock options,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was classified in the unaudited condensed consolidated statements of operations and comprehensive loss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Six months ended</w:t>
            </w:r>
          </w:p>
        </w:tc>
        <w:tc>
          <w:tcPr>
            <w:tcW w:w="104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ind w:right="570"/>
              <w:spacing w:after="0"/>
              <w:rPr>
                <w:sz w:val="20"/>
                <w:szCs w:val="20"/>
                <w:color w:val="auto"/>
              </w:rPr>
            </w:pPr>
            <w:r>
              <w:rPr>
                <w:rFonts w:ascii="Arial" w:cs="Arial" w:eastAsia="Arial" w:hAnsi="Arial"/>
                <w:sz w:val="18"/>
                <w:szCs w:val="18"/>
                <w:b w:val="1"/>
                <w:bCs w:val="1"/>
                <w:color w:val="auto"/>
                <w:w w:val="89"/>
              </w:rPr>
              <w:t>2022</w:t>
            </w:r>
          </w:p>
        </w:tc>
      </w:tr>
      <w:tr>
        <w:trPr>
          <w:trHeight w:val="27"/>
        </w:trPr>
        <w:tc>
          <w:tcPr>
            <w:tcW w:w="4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40" w:type="dxa"/>
            <w:vAlign w:val="bottom"/>
            <w:gridSpan w:val="3"/>
          </w:tcPr>
          <w:p>
            <w:pPr>
              <w:jc w:val="right"/>
              <w:ind w:right="320"/>
              <w:spacing w:after="0"/>
              <w:rPr>
                <w:sz w:val="20"/>
                <w:szCs w:val="20"/>
                <w:color w:val="auto"/>
              </w:rPr>
            </w:pPr>
            <w:r>
              <w:rPr>
                <w:rFonts w:ascii="Arial" w:cs="Arial" w:eastAsia="Arial" w:hAnsi="Arial"/>
                <w:sz w:val="18"/>
                <w:szCs w:val="18"/>
                <w:i w:val="1"/>
                <w:iCs w:val="1"/>
                <w:color w:val="auto"/>
              </w:rPr>
              <w:t>(in thousands)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81"/>
        </w:trPr>
        <w:tc>
          <w:tcPr>
            <w:tcW w:w="4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2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12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74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7"/>
        </w:trPr>
        <w:tc>
          <w:tcPr>
            <w:tcW w:w="4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r>
      <w:tr>
        <w:trPr>
          <w:trHeight w:val="263"/>
        </w:trPr>
        <w:tc>
          <w:tcPr>
            <w:tcW w:w="46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5,033</w:t>
            </w:r>
          </w:p>
        </w:tc>
        <w:tc>
          <w:tcPr>
            <w:tcW w:w="1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5,506</w:t>
            </w:r>
          </w:p>
        </w:tc>
        <w:tc>
          <w:tcPr>
            <w:tcW w:w="1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11,475</w:t>
            </w:r>
          </w:p>
        </w:tc>
        <w:tc>
          <w:tcPr>
            <w:tcW w:w="1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10,839</w:t>
            </w:r>
          </w:p>
        </w:tc>
      </w:tr>
      <w:tr>
        <w:trPr>
          <w:trHeight w:val="29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6,241</w:t>
            </w:r>
          </w:p>
        </w:tc>
        <w:tc>
          <w:tcPr>
            <w:tcW w:w="1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6,508</w:t>
            </w:r>
          </w:p>
        </w:tc>
        <w:tc>
          <w:tcPr>
            <w:tcW w:w="11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13,755</w:t>
            </w:r>
          </w:p>
        </w:tc>
        <w:tc>
          <w:tcPr>
            <w:tcW w:w="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w w:val="93"/>
              </w:rPr>
              <w:t>Note 12. Net Loss Per Share Attributable to Common Stockholders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660" w:type="dxa"/>
            <w:vAlign w:val="bottom"/>
            <w:gridSpan w:val="10"/>
          </w:tcPr>
          <w:p>
            <w:pPr>
              <w:spacing w:after="0"/>
              <w:rPr>
                <w:sz w:val="20"/>
                <w:szCs w:val="20"/>
                <w:color w:val="auto"/>
              </w:rPr>
            </w:pPr>
            <w:r>
              <w:rPr>
                <w:rFonts w:ascii="Arial" w:cs="Arial" w:eastAsia="Arial" w:hAnsi="Arial"/>
                <w:sz w:val="18"/>
                <w:szCs w:val="18"/>
                <w:color w:val="auto"/>
                <w:w w:val="99"/>
              </w:rPr>
              <w:t>The following table presents the calculation of basic and diluted net loss per share for the Company’s common stock as of:</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gridSpan w:val="4"/>
          </w:tcPr>
          <w:p>
            <w:pPr>
              <w:jc w:val="right"/>
              <w:ind w:right="101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5"/>
          </w:tcPr>
          <w:p>
            <w:pPr>
              <w:ind w:left="20"/>
              <w:spacing w:after="0"/>
              <w:rPr>
                <w:sz w:val="20"/>
                <w:szCs w:val="20"/>
                <w:color w:val="auto"/>
              </w:rPr>
            </w:pPr>
            <w:r>
              <w:rPr>
                <w:rFonts w:ascii="Arial" w:cs="Arial" w:eastAsia="Arial" w:hAnsi="Arial"/>
                <w:sz w:val="18"/>
                <w:szCs w:val="18"/>
                <w:i w:val="1"/>
                <w:iCs w:val="1"/>
                <w:color w:val="auto"/>
                <w:w w:val="90"/>
              </w:rPr>
              <w:t>(in thousands except per share amounts)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5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for basic and diluted EPS – net loss attributable to</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4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(21,671)</w:t>
            </w:r>
          </w:p>
        </w:tc>
        <w:tc>
          <w:tcPr>
            <w:tcW w:w="100" w:type="dxa"/>
            <w:vAlign w:val="bottom"/>
            <w:shd w:val="clear" w:color="auto" w:fill="CCEEFF"/>
          </w:tcPr>
          <w:p>
            <w:pPr>
              <w:spacing w:after="0"/>
              <w:rPr>
                <w:sz w:val="19"/>
                <w:szCs w:val="19"/>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(26,190)</w:t>
            </w: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w:t>
            </w:r>
          </w:p>
        </w:tc>
        <w:tc>
          <w:tcPr>
            <w:tcW w:w="30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240" w:type="dxa"/>
            <w:vAlign w:val="bottom"/>
            <w:gridSpan w:val="2"/>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460" w:type="dxa"/>
            <w:vAlign w:val="bottom"/>
            <w:gridSpan w:val="2"/>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Denominator for basic and diluted EPS – weighted-average shares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of common stock outstanding used in computing net loss per</w:t>
            </w:r>
          </w:p>
        </w:tc>
        <w:tc>
          <w:tcPr>
            <w:tcW w:w="30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188,277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195,650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189,157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195,542</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share</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and diluted net loss per share attributable to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vMerge w:val="continue"/>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5"/>
                <w:szCs w:val="15"/>
                <w:color w:val="auto"/>
              </w:rPr>
            </w:pP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30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computation of diluted net loss per share attributable to common stockholders for the periods presented due to their anti-dilutive effect as 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1420" w:type="dxa"/>
            <w:vAlign w:val="bottom"/>
            <w:gridSpan w:val="3"/>
          </w:tcPr>
          <w:p>
            <w:pPr>
              <w:ind w:left="76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Pr>
          <w:p>
            <w:pPr>
              <w:spacing w:after="0"/>
              <w:rPr>
                <w:sz w:val="20"/>
                <w:szCs w:val="20"/>
                <w:color w:val="auto"/>
              </w:rPr>
            </w:pPr>
          </w:p>
        </w:tc>
      </w:tr>
      <w:tr>
        <w:trPr>
          <w:trHeight w:val="27"/>
        </w:trPr>
        <w:tc>
          <w:tcPr>
            <w:tcW w:w="47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2022</w:t>
            </w:r>
          </w:p>
        </w:tc>
      </w:tr>
      <w:tr>
        <w:trPr>
          <w:trHeight w:val="27"/>
        </w:trPr>
        <w:tc>
          <w:tcPr>
            <w:tcW w:w="47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140" w:type="dxa"/>
            <w:vAlign w:val="bottom"/>
            <w:gridSpan w:val="4"/>
          </w:tcPr>
          <w:p>
            <w:pPr>
              <w:jc w:val="right"/>
              <w:ind w:right="470"/>
              <w:spacing w:after="0"/>
              <w:rPr>
                <w:sz w:val="20"/>
                <w:szCs w:val="20"/>
                <w:color w:val="auto"/>
              </w:rPr>
            </w:pPr>
            <w:r>
              <w:rPr>
                <w:rFonts w:ascii="Arial" w:cs="Arial" w:eastAsia="Arial" w:hAnsi="Arial"/>
                <w:sz w:val="18"/>
                <w:szCs w:val="18"/>
                <w:i w:val="1"/>
                <w:iCs w:val="1"/>
                <w:color w:val="auto"/>
              </w:rPr>
              <w:t>(in thousands)</w:t>
            </w:r>
          </w:p>
        </w:tc>
      </w:tr>
      <w:tr>
        <w:trPr>
          <w:trHeight w:val="27"/>
        </w:trPr>
        <w:tc>
          <w:tcPr>
            <w:tcW w:w="4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472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Outstanding options to purchase common stock and unvested</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57"/>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RSUs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19,379</w:t>
            </w:r>
          </w:p>
        </w:tc>
      </w:tr>
      <w:tr>
        <w:trPr>
          <w:trHeight w:val="264"/>
        </w:trPr>
        <w:tc>
          <w:tcPr>
            <w:tcW w:w="4720" w:type="dxa"/>
            <w:vAlign w:val="bottom"/>
          </w:tcPr>
          <w:p>
            <w:pPr>
              <w:jc w:val="center"/>
              <w:ind w:right="190"/>
              <w:spacing w:after="0"/>
              <w:rPr>
                <w:sz w:val="20"/>
                <w:szCs w:val="20"/>
                <w:color w:val="auto"/>
              </w:rPr>
            </w:pPr>
            <w:r>
              <w:rPr>
                <w:rFonts w:ascii="Arial" w:cs="Arial" w:eastAsia="Arial" w:hAnsi="Arial"/>
                <w:sz w:val="18"/>
                <w:szCs w:val="18"/>
                <w:color w:val="auto"/>
                <w:w w:val="92"/>
              </w:rPr>
              <w:t>Total anti-dilutive outstanding potential common stock</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17,965</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19,379</w:t>
            </w:r>
          </w:p>
        </w:tc>
      </w:tr>
      <w:tr>
        <w:trPr>
          <w:trHeight w:val="20"/>
        </w:trPr>
        <w:tc>
          <w:tcPr>
            <w:tcW w:w="4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20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Valuations based on quoted prices in active markets for identical assets or liabilities that an entity has the ability to access.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36" w:lineRule="exact"/>
        <w:rPr>
          <w:rFonts w:ascii="Arial" w:cs="Arial" w:eastAsia="Arial" w:hAnsi="Arial"/>
          <w:sz w:val="18"/>
          <w:szCs w:val="18"/>
          <w:b w:val="1"/>
          <w:bCs w:val="1"/>
          <w:color w:val="auto"/>
        </w:rPr>
      </w:pPr>
    </w:p>
    <w:p>
      <w:pPr>
        <w:ind w:left="5540"/>
        <w:spacing w:after="0"/>
        <w:rPr>
          <w:rFonts w:ascii="Arial" w:cs="Arial" w:eastAsia="Arial" w:hAnsi="Arial"/>
          <w:sz w:val="18"/>
          <w:szCs w:val="18"/>
          <w:b w:val="1"/>
          <w:bCs w:val="1"/>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66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Valuations based on quoted prices for similar assets or liabilities, quoted prices for identical assets or liabilities in markets that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active, or other inputs that are observable or can be corroborated by observable data for substantially the full term of the assets or liabilities. The Company has no assets or liabilities valued with Level 2 inputs.</w:t>
      </w:r>
    </w:p>
    <w:p>
      <w:pPr>
        <w:spacing w:after="0" w:line="202"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Valuations based on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cash and cash equivalents, accounts receivable, contract assets and accounts payable approximate their fair value because of the short-term nature of these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fair value measurement levels during the three and six months ended June 30, 2023 or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3"/>
          </w:tcPr>
          <w:p>
            <w:pPr>
              <w:ind w:left="600"/>
              <w:spacing w:after="0"/>
              <w:rPr>
                <w:sz w:val="20"/>
                <w:szCs w:val="20"/>
                <w:color w:val="auto"/>
              </w:rPr>
            </w:pPr>
            <w:r>
              <w:rPr>
                <w:rFonts w:ascii="Arial" w:cs="Arial" w:eastAsia="Arial" w:hAnsi="Arial"/>
                <w:sz w:val="18"/>
                <w:szCs w:val="18"/>
                <w:b w:val="1"/>
                <w:bCs w:val="1"/>
                <w:color w:val="auto"/>
              </w:rPr>
              <w:t>June 30, 2023</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3000" w:type="dxa"/>
            <w:vAlign w:val="bottom"/>
          </w:tcPr>
          <w:p>
            <w:pPr>
              <w:ind w:left="420"/>
              <w:spacing w:after="0"/>
              <w:rPr>
                <w:sz w:val="20"/>
                <w:szCs w:val="20"/>
                <w:color w:val="auto"/>
              </w:rPr>
            </w:pPr>
            <w:r>
              <w:rPr>
                <w:rFonts w:ascii="Arial" w:cs="Arial" w:eastAsia="Arial" w:hAnsi="Arial"/>
                <w:sz w:val="18"/>
                <w:szCs w:val="18"/>
                <w:b w:val="1"/>
                <w:bCs w:val="1"/>
                <w:color w:val="auto"/>
              </w:rPr>
              <w:t>Balance Sheet Classification</w:t>
            </w:r>
          </w:p>
        </w:tc>
      </w:tr>
      <w:tr>
        <w:trPr>
          <w:trHeight w:val="27"/>
        </w:trPr>
        <w:tc>
          <w:tcPr>
            <w:tcW w:w="2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3"/>
          </w:tcPr>
          <w:p>
            <w:pPr>
              <w:ind w:left="60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81"/>
        </w:trPr>
        <w:tc>
          <w:tcPr>
            <w:tcW w:w="2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0" w:type="dxa"/>
            <w:vAlign w:val="bottom"/>
          </w:tcPr>
          <w:p>
            <w:pPr>
              <w:spacing w:after="0"/>
              <w:rPr>
                <w:sz w:val="7"/>
                <w:szCs w:val="7"/>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1"/>
                <w:szCs w:val="21"/>
                <w:color w:val="auto"/>
              </w:rPr>
            </w:pPr>
          </w:p>
        </w:tc>
      </w:tr>
      <w:tr>
        <w:trPr>
          <w:trHeight w:val="243"/>
        </w:trPr>
        <w:tc>
          <w:tcPr>
            <w:tcW w:w="2620" w:type="dxa"/>
            <w:vAlign w:val="bottom"/>
          </w:tcPr>
          <w:p>
            <w:pPr>
              <w:ind w:left="140"/>
              <w:spacing w:after="0"/>
              <w:rPr>
                <w:sz w:val="20"/>
                <w:szCs w:val="20"/>
                <w:color w:val="auto"/>
              </w:rPr>
            </w:pPr>
            <w:r>
              <w:rPr>
                <w:rFonts w:ascii="Arial" w:cs="Arial" w:eastAsia="Arial" w:hAnsi="Arial"/>
                <w:sz w:val="18"/>
                <w:szCs w:val="18"/>
                <w:color w:val="auto"/>
              </w:rPr>
              <w:t>Money market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Cash equivalents</w:t>
            </w:r>
          </w:p>
        </w:tc>
      </w:tr>
      <w:tr>
        <w:trPr>
          <w:trHeight w:val="27"/>
        </w:trPr>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rate swaps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27"/>
        </w:trPr>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43"/>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21"/>
                <w:szCs w:val="21"/>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r>
      <w:tr>
        <w:trPr>
          <w:trHeight w:val="27"/>
        </w:trPr>
        <w:tc>
          <w:tcPr>
            <w:tcW w:w="2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90"/>
              </w:rPr>
              <w:t>December 31, 2022</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3000" w:type="dxa"/>
            <w:vAlign w:val="bottom"/>
          </w:tcPr>
          <w:p>
            <w:pPr>
              <w:ind w:left="420"/>
              <w:spacing w:after="0"/>
              <w:rPr>
                <w:sz w:val="20"/>
                <w:szCs w:val="20"/>
                <w:color w:val="auto"/>
              </w:rPr>
            </w:pPr>
            <w:r>
              <w:rPr>
                <w:rFonts w:ascii="Arial" w:cs="Arial" w:eastAsia="Arial" w:hAnsi="Arial"/>
                <w:sz w:val="18"/>
                <w:szCs w:val="18"/>
                <w:b w:val="1"/>
                <w:bCs w:val="1"/>
                <w:color w:val="auto"/>
              </w:rPr>
              <w:t>Balance Sheet Classification</w:t>
            </w:r>
          </w:p>
        </w:tc>
      </w:tr>
      <w:tr>
        <w:trPr>
          <w:trHeight w:val="27"/>
        </w:trPr>
        <w:tc>
          <w:tcPr>
            <w:tcW w:w="2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3"/>
          </w:tcPr>
          <w:p>
            <w:pPr>
              <w:jc w:val="center"/>
              <w:ind w:right="170"/>
              <w:spacing w:after="0"/>
              <w:rPr>
                <w:sz w:val="20"/>
                <w:szCs w:val="20"/>
                <w:color w:val="auto"/>
              </w:rPr>
            </w:pPr>
            <w:r>
              <w:rPr>
                <w:rFonts w:ascii="Arial" w:cs="Arial" w:eastAsia="Arial" w:hAnsi="Arial"/>
                <w:sz w:val="18"/>
                <w:szCs w:val="18"/>
                <w:i w:val="1"/>
                <w:iCs w:val="1"/>
                <w:color w:val="auto"/>
                <w:w w:val="91"/>
              </w:rPr>
              <w:t>(in thousands)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81"/>
        </w:trPr>
        <w:tc>
          <w:tcPr>
            <w:tcW w:w="2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0" w:type="dxa"/>
            <w:vAlign w:val="bottom"/>
          </w:tcPr>
          <w:p>
            <w:pPr>
              <w:spacing w:after="0"/>
              <w:rPr>
                <w:sz w:val="7"/>
                <w:szCs w:val="7"/>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1"/>
                <w:szCs w:val="21"/>
                <w:color w:val="auto"/>
              </w:rPr>
            </w:pPr>
          </w:p>
        </w:tc>
      </w:tr>
      <w:tr>
        <w:trPr>
          <w:trHeight w:val="243"/>
        </w:trPr>
        <w:tc>
          <w:tcPr>
            <w:tcW w:w="2620" w:type="dxa"/>
            <w:vAlign w:val="bottom"/>
          </w:tcPr>
          <w:p>
            <w:pPr>
              <w:ind w:left="140"/>
              <w:spacing w:after="0"/>
              <w:rPr>
                <w:sz w:val="20"/>
                <w:szCs w:val="20"/>
                <w:color w:val="auto"/>
              </w:rPr>
            </w:pPr>
            <w:r>
              <w:rPr>
                <w:rFonts w:ascii="Arial" w:cs="Arial" w:eastAsia="Arial" w:hAnsi="Arial"/>
                <w:sz w:val="18"/>
                <w:szCs w:val="18"/>
                <w:color w:val="auto"/>
              </w:rPr>
              <w:t>Money market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6,568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6,568</w:t>
            </w:r>
          </w:p>
        </w:tc>
        <w:tc>
          <w:tcPr>
            <w:tcW w:w="100" w:type="dxa"/>
            <w:vAlign w:val="bottom"/>
          </w:tcPr>
          <w:p>
            <w:pPr>
              <w:spacing w:after="0"/>
              <w:rPr>
                <w:sz w:val="21"/>
                <w:szCs w:val="21"/>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Cash equivalents</w:t>
            </w:r>
          </w:p>
        </w:tc>
      </w:tr>
      <w:tr>
        <w:trPr>
          <w:trHeight w:val="27"/>
        </w:trPr>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Liability:</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1"/>
                <w:szCs w:val="21"/>
                <w:color w:val="auto"/>
              </w:rPr>
            </w:pPr>
          </w:p>
        </w:tc>
      </w:tr>
      <w:tr>
        <w:trPr>
          <w:trHeight w:val="243"/>
        </w:trPr>
        <w:tc>
          <w:tcPr>
            <w:tcW w:w="262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2,893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21"/>
                <w:szCs w:val="21"/>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43"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Our provision for income taxes in interim periods is based on our estimated annual effective tax rate plus the impact, if any, of discrete items recognized in the interim period. We record cumulative adjustments in the quarter in which a change in the estimated annual effective rate is determined.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income tax benefit (expense) was $2.1 million and $(0.1) million for the three months ended June 30, 2023 and 2022, respectively, and $1.8 million and $5.7 million for the six months ended June 30, 2023 and 2022, respectively. The difference in income tax benefit (expense) for the three and six months ended June 30, 2023 as compared to the corresponding period in 2022 was primarily driven by discrete items, including the release of a foreign valuation allowance in the three and six months ended June 30, 2023 and a California law change and an intercompany intellectual property sale in the six months ended June 30, 2022.</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reviews the realizability of its deferred tax assets quarterly. In the three months ended June 30, 2023, the Company changed its determination on the realizability of certain foreign deferred tax assets, releasing valuation allowance based on historical and projected pre-tax book income. A $2.5 million reversal of valuation allowance was recognized during the three months ended June 30, 2023, of which $0.5 million was associated with the annual effective tax rate based on current year projections and $2.0 million recorded as a discrete item.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non-cancelable contractual purchase obligations incurred in the normal course of business to help deliver our services and products and provide support to our customers. These contracts with vendors primarily relate to software service, targeted mail costs, third party fulfillment costs and software hosting. Unrecognized future minimum payments due under these agreements are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Year ended December 31,</w:t>
            </w: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9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2023 (remainder of year)</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6,503</w:t>
            </w:r>
          </w:p>
        </w:tc>
      </w:tr>
      <w:tr>
        <w:trPr>
          <w:trHeight w:val="243"/>
        </w:trPr>
        <w:tc>
          <w:tcPr>
            <w:tcW w:w="9440" w:type="dxa"/>
            <w:vAlign w:val="bottom"/>
          </w:tcPr>
          <w:p>
            <w:pPr>
              <w:ind w:left="140"/>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13,040</w:t>
            </w:r>
          </w:p>
        </w:tc>
      </w:tr>
      <w:tr>
        <w:trPr>
          <w:trHeight w:val="27"/>
        </w:trPr>
        <w:tc>
          <w:tcPr>
            <w:tcW w:w="9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10,279</w:t>
            </w:r>
          </w:p>
        </w:tc>
      </w:tr>
      <w:tr>
        <w:trPr>
          <w:trHeight w:val="243"/>
        </w:trPr>
        <w:tc>
          <w:tcPr>
            <w:tcW w:w="9440" w:type="dxa"/>
            <w:vAlign w:val="bottom"/>
          </w:tcPr>
          <w:p>
            <w:pPr>
              <w:ind w:left="140"/>
              <w:spacing w:after="0"/>
              <w:rPr>
                <w:sz w:val="20"/>
                <w:szCs w:val="20"/>
                <w:color w:val="auto"/>
              </w:rPr>
            </w:pPr>
            <w:r>
              <w:rPr>
                <w:rFonts w:ascii="Arial" w:cs="Arial" w:eastAsia="Arial" w:hAnsi="Arial"/>
                <w:sz w:val="18"/>
                <w:szCs w:val="18"/>
                <w:color w:val="auto"/>
              </w:rPr>
              <w:t>2026</w:t>
            </w: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2,125</w:t>
            </w:r>
          </w:p>
        </w:tc>
      </w:tr>
      <w:tr>
        <w:trPr>
          <w:trHeight w:val="27"/>
        </w:trPr>
        <w:tc>
          <w:tcPr>
            <w:tcW w:w="9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r>
      <w:tr>
        <w:trPr>
          <w:trHeight w:val="264"/>
        </w:trPr>
        <w:tc>
          <w:tcPr>
            <w:tcW w:w="944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r>
      <w:tr>
        <w:trPr>
          <w:trHeight w:val="295"/>
        </w:trPr>
        <w:tc>
          <w:tcPr>
            <w:tcW w:w="9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future minimum payments due</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35,259</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From time to time, the Company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 or operating results.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assesses the applicability of nexus in jurisdictions in which the Company sells products and services. As of June 30, 2023 and December 31, 2022, the Company recorded a liability in the amount of $10.4 million and $11.2 million, respectively, within current liabilities and other long-term liabilities as a provision for sales and use, gross receipts and goods and services tax. In connection with the Company's accounting for acquisitions, the Company has recorded liabilities and corresponding provisional escrow or indemnity receivables within the purchase price allocations for instances in which the Company is indemnified for tax matters.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Geographic Areas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long-lived assets by geographic area as 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7280" w:type="dxa"/>
            <w:vAlign w:val="bottom"/>
          </w:tcPr>
          <w:p>
            <w:pPr>
              <w:spacing w:after="0"/>
              <w:rPr>
                <w:sz w:val="23"/>
                <w:szCs w:val="23"/>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2022</w:t>
            </w:r>
          </w:p>
        </w:tc>
      </w:tr>
      <w:tr>
        <w:trPr>
          <w:trHeight w:val="27"/>
        </w:trPr>
        <w:tc>
          <w:tcPr>
            <w:tcW w:w="72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7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40" w:type="dxa"/>
            <w:vAlign w:val="bottom"/>
            <w:gridSpan w:val="3"/>
          </w:tcPr>
          <w:p>
            <w:pPr>
              <w:jc w:val="right"/>
              <w:ind w:right="1370"/>
              <w:spacing w:after="0"/>
              <w:rPr>
                <w:sz w:val="20"/>
                <w:szCs w:val="20"/>
                <w:color w:val="auto"/>
              </w:rPr>
            </w:pPr>
            <w:r>
              <w:rPr>
                <w:rFonts w:ascii="Arial" w:cs="Arial" w:eastAsia="Arial" w:hAnsi="Arial"/>
                <w:sz w:val="18"/>
                <w:szCs w:val="18"/>
                <w:i w:val="1"/>
                <w:iCs w:val="1"/>
                <w:color w:val="auto"/>
              </w:rPr>
              <w:t>(in thousands)</w:t>
            </w:r>
          </w:p>
        </w:tc>
      </w:tr>
      <w:tr>
        <w:trPr>
          <w:trHeight w:val="81"/>
        </w:trPr>
        <w:tc>
          <w:tcPr>
            <w:tcW w:w="72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60" w:type="dxa"/>
            <w:vAlign w:val="bottom"/>
          </w:tcPr>
          <w:p>
            <w:pPr>
              <w:spacing w:after="0"/>
              <w:rPr>
                <w:sz w:val="7"/>
                <w:szCs w:val="7"/>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32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38,666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36,226</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10,156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8,258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Unless the context requires otherwise, references in this Quarterly Report on Form 10-Q to "EverCommerce," the “Company,” “we,” “us” and “our” refer to EverCommerce Inc. and its consolidated subsidiaries. The following discussion and analysis of our financial condition and results of operations should be read in conjunction with our unaudited condensed consolidated financial statements and related notes appearing elsewhere in this Quarterly Report on Form 10-Q and our consolidated financial statements and related notes included in our Annual Report on Form 10-K for the year ended December 31, 2022 (the “Annual Report on Form 10-K”) filed with the Securities and Exchange Commission (“SEC”) on March 16, 2023. Additionally, our historical results are not necessarily indicative of the results that may be expected for any period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EverCommerce is a leading provider of integrated, vertically-tailored software-as-a-service (“SaaS”) solutions for service-based small- and medium-sized businesses (“service SMBs”). Our platform spans across the full lifecycle of interactions between consumers and service professionals with vertical-specific applications. Today, we serve more than 685,000 customers across three core verticals: Home Services; Health Services; and Fitness &amp; Wellness Services. Within our core verticals, our customers operate within numerous micro-verticals, ranging from home service professionals, such as home improvement contractors and home maintenance technicians, to physician practices and therapists within Health Services, to personal trainers and salon owners within Fitness &amp; Wellness. Our platform provides vertically-tailored SaaS solutions that address service SMBs’ increasingly specialized demands, as well as highly complementary solutions that complete end-to-end offerings, allowing service SMBs and EverCommerce to succeed in the market, and provide end consumers more convenient service experiences.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end-to-end solutions. These solutions focus on addressing how service SMBs market their services, streamline operations and retain and engage their customers.</w:t>
      </w:r>
    </w:p>
    <w:p>
      <w:pPr>
        <w:spacing w:after="0" w:line="214" w:lineRule="exact"/>
        <w:rPr>
          <w:sz w:val="20"/>
          <w:szCs w:val="20"/>
          <w:color w:val="auto"/>
        </w:rPr>
      </w:pPr>
    </w:p>
    <w:p>
      <w:pPr>
        <w:jc w:val="both"/>
        <w:ind w:left="500" w:hanging="168"/>
        <w:spacing w:after="0" w:line="301"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Business Management Software: </w:t>
      </w:r>
      <w:r>
        <w:rPr>
          <w:rFonts w:ascii="Arial" w:cs="Arial" w:eastAsia="Arial" w:hAnsi="Arial"/>
          <w:sz w:val="16"/>
          <w:szCs w:val="16"/>
          <w:color w:val="auto"/>
        </w:rPr>
        <w:t>Our vertically-tailored Business Management Software is the system of action at the center of a service business’s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focus on growing their customers, improving their services and driving more efficient operations.</w:t>
      </w:r>
    </w:p>
    <w:p>
      <w:pPr>
        <w:spacing w:after="0" w:line="184" w:lineRule="exact"/>
        <w:rPr>
          <w:rFonts w:ascii="Arial" w:cs="Arial" w:eastAsia="Arial" w:hAnsi="Arial"/>
          <w:sz w:val="16"/>
          <w:szCs w:val="16"/>
          <w:color w:val="auto"/>
        </w:rPr>
      </w:pPr>
    </w:p>
    <w:p>
      <w:pPr>
        <w:jc w:val="both"/>
        <w:ind w:left="500" w:hanging="168"/>
        <w:spacing w:after="0" w:line="255" w:lineRule="auto"/>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Billing &amp; Payment Solutions: </w:t>
      </w:r>
      <w:r>
        <w:rPr>
          <w:rFonts w:ascii="Arial" w:cs="Arial" w:eastAsia="Arial" w:hAnsi="Arial"/>
          <w:sz w:val="18"/>
          <w:szCs w:val="18"/>
          <w:color w:val="auto"/>
        </w:rPr>
        <w:t>Our Billing &amp; Payment Solutions provide integrated payments, billing and invoicing automation and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 and analytics. Our omni-channel payments capabilities include point-of-sale, eCommerce, online bill payments, recurring billing, electronic invoicing and mobile payments. Supported payment types include credit card, debit card and Automated Clearing House (“ACH”)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w:t>
      </w:r>
    </w:p>
    <w:p>
      <w:pPr>
        <w:spacing w:after="0" w:line="219" w:lineRule="exact"/>
        <w:rPr>
          <w:rFonts w:ascii="Arial" w:cs="Arial" w:eastAsia="Arial" w:hAnsi="Arial"/>
          <w:sz w:val="18"/>
          <w:szCs w:val="18"/>
          <w:b w:val="1"/>
          <w:bCs w:val="1"/>
          <w:color w:val="auto"/>
        </w:rPr>
      </w:pPr>
    </w:p>
    <w:p>
      <w:pPr>
        <w:jc w:val="both"/>
        <w:ind w:left="500" w:hanging="168"/>
        <w:spacing w:after="0" w:line="279"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Experience Solutions: </w:t>
      </w:r>
      <w:r>
        <w:rPr>
          <w:rFonts w:ascii="Arial" w:cs="Arial" w:eastAsia="Arial" w:hAnsi="Arial"/>
          <w:sz w:val="17"/>
          <w:szCs w:val="17"/>
          <w:color w:val="auto"/>
        </w:rPr>
        <w:t>Our Customer Experience Solutions modernize how businesses engage and interact with customers by leveraging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voice of the customer (“VoC”) insights and manage the customer experience lifecycle.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These applications include: customer health scoring, customer support systems, real-time alerts, NPS-based 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spacing w:after="0" w:line="192" w:lineRule="exact"/>
        <w:rPr>
          <w:sz w:val="20"/>
          <w:szCs w:val="20"/>
          <w:color w:val="auto"/>
        </w:rPr>
      </w:pPr>
    </w:p>
    <w:p>
      <w:pPr>
        <w:jc w:val="both"/>
        <w:ind w:left="500" w:hanging="168"/>
        <w:spacing w:after="0" w:line="273"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Technology Solutions: </w:t>
      </w:r>
      <w:r>
        <w:rPr>
          <w:rFonts w:ascii="Arial" w:cs="Arial" w:eastAsia="Arial" w:hAnsi="Arial"/>
          <w:sz w:val="17"/>
          <w:szCs w:val="17"/>
          <w:color w:val="auto"/>
        </w:rPr>
        <w:t>Our Marketing Technology Solutions work with our Customer Experience Solutions to help customers build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by invigorating marketing operations and improving return on investment across the customer lifecycle. These solutions help businesses to manage campaigns, generate quality leads, increase conversion and repeat sales, improve customer loyalty and provide a polished brand experience. Our solutions include: custom website design, development and hosting, responsive web design, marketing campaign design and management, search engine optimization (“SEO”), paid search and display advertising, social media and blog automation, call tracking, review monitoring and marketplace lead generation, among others.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go to market with suites of solutions that are aligned to our three core verticals: (i) the EverPro suite of solutions in Home Services; (ii) the EverHealth suite of solutions within Health Services; and (iii) the EverWell suite of solutions in Fitness &amp; Wellness Services.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 power the full scope of our customers’ businesses. This results in a self-reinforcing flywheel effect, enabling us to drive value for our customers and, in turn, improve customer stickiness, increase our market share and fuel our growth.</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generate three types of revenue: (i) Subscription and Transaction Fees, which are primarily recurring revenue streams, (ii) Marketing Technology Solutions, which includes both recurring and re-occurring revenue streams and (iii) Other revenue which consists primarily of one-time revenue streams. Our recurring revenue generally consists of monthly, quarterly and annual software and maintenance subscriptions, transaction revenue associated with integrated payments and billing solutions and monthly contracts for Marketing Technology Solutions. Additionally, our re-occurring revenue includes revenue related to the sale of marketing campaigns and lead generation under contractual arrangements with customers.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benefits from attractive unit economics. Approximately 95% of our revenue in the six months ended June 30, 2023 and 2022 was recurring or re-occurring, and we maintained an annualized net revenue retention rate of approximately 98% for the quarter ended June 30, 2023. Excluding our marketing technology solutions, our annualized net revenue retention rate for our core software and payments solutions was greater than 100% for the three months ended June 30, 2023. We believe the retention and growth of revenue from our existing customers is a helpful measure of the health of our business and our future growth 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calculate our monthly net pro forma revenue retention rate for a particular month as the recurring or re-occurring revenue gained/lost from existing customers, less the recurring or re-occurring revenue lost from cancelled customers, as a percentage of total recurring or re-occurring revenue 12 months prior, divided by 12. For existing customers, we consider customers that existed 11 or more months prior to the current month and that do not have an end date (i.e., cancelled relationship) on or after the first day of the current month. For example, the recurring or re-occurring revenue gained/lost from existing customers in November 2022 is the difference between the recurring or re-occurring revenue generated in November 2022 and the same such revenue generated in November 2021, for customers with a start date prior to December 1, 2021 and no end date or cancelled relationship on or after November 1, 2022. For cancelled customers, we examine customers that cancelled their relationships on or after the first day of the month that is 12 months prior to the current month and before the first day of the current month. For example, the recurring or reoccurring revenue lost from cancelled customers in November 2022 is the difference between the recurring or re-occurring revenue generated in November 2022 and the same such revenue generated in November 2021, for customers that cancelled on or after November 1, 2021 and before November 1, 2022. Net pro forma revenue retention is calculated as if acquisitions that were closed during the prior period presented were closed on the first day of such period presented. Our calculation of net pro forma revenue retention rate for any fiscal period includes the positive recurring and re-occurring revenue impacts of selling new solutions to existing customers and the negative impacts of contraction and attrition among this set of customers. Our net pro forma revenue retention rate may fluctuate as a result of a number of factors, including the growing level of our revenue base, the level of penetration within our customer base, expansion of solutions, new acquisitions and our ability to retain our customers. Our calculation of net pro forma revenue retention rate may differ from similarly titled metrics presented by other companies.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acquire companies to deepen our competitive moats in existing verticals and enter new verticals and geographies. We have acquired 52 companies since our inception. We have an established framework for identification, execution, integration, and onboarding of targets, which leverages our significant acquisition experience and utilizes internal criteria for evaluating acquisition candidates and prospective businesses. We have developed and refined our internal criteria over time with our acquisitions, which has helped us to more readily identify attractive and complementary targets that can be efficiently onboarded. These acquired solutions can bring deep industry expertise and vertically-tailored software solutions that provide additional sources of growth. We believe that our methodology, track record, and reputation for sourcing, evaluating, and integrating acquisitions positions us as an “acquirer-of-choice” for potential targets.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Macroeconomic Climate</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macroeconomic climate continues to see pressure from global developments such as the COVID-19 pandemic, rising inflation, the strengthened US Dollar, rising interest rates and supply chain disruptions. These developments have had and may continue to have an adverse effect on our revenues and demand for our products and services, as well as on our costs of doing business. We have taken and will continue to take actions to help mitigate the impact of these economic challenges, but there can be no assurance as to the effectiveness of our efforts going forward.</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For more information regarding the potential impact of the COVID-19 pandemic on our business, refer to Part I. Item 1A. </w:t>
      </w:r>
      <w:r>
        <w:rPr>
          <w:rFonts w:ascii="Arial" w:cs="Arial" w:eastAsia="Arial" w:hAnsi="Arial"/>
          <w:sz w:val="18"/>
          <w:szCs w:val="18"/>
          <w:i w:val="1"/>
          <w:iCs w:val="1"/>
          <w:color w:val="auto"/>
        </w:rPr>
        <w:t>“Risk Factors—Risks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our Business—The COVID-19 pandemic has impacted, and a future pandemic, epidemic or outbreak of an infectious disease could impact, our business, financial condition and results of operations, as well as the business or operations of third parties with whom we conduct business” </w:t>
      </w:r>
      <w:r>
        <w:rPr>
          <w:rFonts w:ascii="Arial" w:cs="Arial" w:eastAsia="Arial" w:hAnsi="Arial"/>
          <w:sz w:val="18"/>
          <w:szCs w:val="18"/>
          <w:color w:val="auto"/>
        </w:rPr>
        <w:t>in our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performance and future success depends on a number of factors that present significant opportunities for us but also pose risks and challenges. For discussion of these factors, please see “Key Factors Affecting Our Performance” in the Management’s Discussion and Analysis section of our Annual Report on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10-K. For a discussion about why we consider our Non-GAAP measures useful and a discussion of the material risks and limitations of such measures, please see Part II, Item 7, </w:t>
      </w:r>
      <w:r>
        <w:rPr>
          <w:rFonts w:ascii="Arial" w:cs="Arial" w:eastAsia="Arial" w:hAnsi="Arial"/>
          <w:sz w:val="16"/>
          <w:szCs w:val="16"/>
          <w:i w:val="1"/>
          <w:iCs w:val="1"/>
          <w:color w:val="auto"/>
        </w:rPr>
        <w:t>“Management’s Discussion and Analysis of Financial Condition and Results of Operations – Key Business and Financial Metrics</w:t>
      </w:r>
    </w:p>
    <w:p>
      <w:pPr>
        <w:spacing w:after="0"/>
        <w:rPr>
          <w:sz w:val="20"/>
          <w:szCs w:val="20"/>
          <w:color w:val="auto"/>
        </w:rPr>
      </w:pPr>
      <w:r>
        <w:rPr>
          <w:rFonts w:ascii="Arial" w:cs="Arial" w:eastAsia="Arial" w:hAnsi="Arial"/>
          <w:sz w:val="18"/>
          <w:szCs w:val="18"/>
          <w:i w:val="1"/>
          <w:iCs w:val="1"/>
          <w:color w:val="auto"/>
        </w:rPr>
        <w:t xml:space="preserve">– Non-GAAP Financial Measures” </w:t>
      </w:r>
      <w:r>
        <w:rPr>
          <w:rFonts w:ascii="Arial" w:cs="Arial" w:eastAsia="Arial" w:hAnsi="Arial"/>
          <w:sz w:val="18"/>
          <w:szCs w:val="18"/>
          <w:color w:val="auto"/>
        </w:rPr>
        <w:t>included in our Annual Report on Form 10-K filed on March 15, 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and Financial Metrics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our results and measures of performance determined in accordance with Generally Accepted Accounting Principles (“GAAP”), we believe the following key business and non-GAAP financial measures are useful in evaluating and comparing our financial and operational performance over multiple periods, identifying trends affecting our business, formulating business plans and making strategic decisions.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Revenue Growth Rate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Pro Forma Revenue Growth Rate is a key performance measure that our management uses to assess our consolidated operating performance over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Management also uses this metric for planning and forecasting purposes.</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year-over-year Pro Forma Revenue Growth Rate is calculated as though all acquisitions closed as of the end of the latest period were closed as of the first day of the prior year period presented. In calculating Pro Forma Revenue Growth Rate, we add the revenue from acquisitions for the reporting periods prior to the date of acquisition (including estimated purchase accounting adjustments) to our results of operations, and then calculate our revenue growth rate between the two reported periods. As a result, Pro Forma Revenue Growth Rate includes pro forma revenue from businesses acquired during the period, including revenue generated during periods when we did not yet own the acquired businesses. In including such pre-acquisition revenue, Pro Forma Revenue Growth Rate allows us to measure the underlying revenue growth of our business as it stands as of the end of the respective period, which we believe provides insight 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been consummated on the first day of the prior year period presented. We believe that this metric is useful to investors in analyzing our financial and operational performance period over period and evaluating the growth of our business, normalizing for the impact of acquisitions. This metric is particularly useful to management due to the number of acquired entities.</w:t>
      </w:r>
    </w:p>
    <w:p>
      <w:pPr>
        <w:spacing w:after="0" w:line="19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Pro Forma Revenue Growth rate was 8.1% and 10.1% for the three and six months ended June 30, 2023, respectively, reflective of the underlying growth in our business including new customers and providing more solutions to existing customers. Our Pro Forma Revenue Growth rate for the three and six months ended June 30, 2023 was equal to our actual revenue growth rate as there were no acquisitions in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is calculated as total revenue less cost of revenue (exclusive of depreciation and amortization), amortization of developed technology, amortization of capitalized software and depreciation expense (allocated to cost of revenues). We calculate Adjusted Gross Profit as gross profit adjusted to exclude depreciation and amortization allocated to cost of revenues. Adjusted Gross Profit should be viewed as a measure of operating performance that is a supplement to, and not a substitute for, operating income or loss, net earnings or loss and other GAAP measures of income (loss) or profitability. The following table presents a reconciliation of gross profit, the most directly comparable financial measure calculated in accordance with GAAP, to Adjusted Gross Profit on a consolidated basis.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Six months ended</w:t>
            </w:r>
          </w:p>
        </w:tc>
        <w:tc>
          <w:tcPr>
            <w:tcW w:w="104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June 30,</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ind w:right="550"/>
              <w:spacing w:after="0"/>
              <w:rPr>
                <w:sz w:val="20"/>
                <w:szCs w:val="20"/>
                <w:color w:val="auto"/>
              </w:rPr>
            </w:pPr>
            <w:r>
              <w:rPr>
                <w:rFonts w:ascii="Arial" w:cs="Arial" w:eastAsia="Arial" w:hAnsi="Arial"/>
                <w:sz w:val="18"/>
                <w:szCs w:val="18"/>
                <w:b w:val="1"/>
                <w:bCs w:val="1"/>
                <w:color w:val="auto"/>
                <w:w w:val="94"/>
              </w:rPr>
              <w:t>2022</w:t>
            </w:r>
          </w:p>
        </w:tc>
      </w:tr>
      <w:tr>
        <w:trPr>
          <w:trHeight w:val="27"/>
        </w:trPr>
        <w:tc>
          <w:tcPr>
            <w:tcW w:w="3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81"/>
        </w:trPr>
        <w:tc>
          <w:tcPr>
            <w:tcW w:w="39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170,052</w:t>
            </w:r>
          </w:p>
        </w:tc>
        <w:tc>
          <w:tcPr>
            <w:tcW w:w="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157,246</w:t>
            </w:r>
          </w:p>
        </w:tc>
        <w:tc>
          <w:tcPr>
            <w:tcW w:w="7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331,188</w:t>
            </w:r>
          </w:p>
        </w:tc>
        <w:tc>
          <w:tcPr>
            <w:tcW w:w="8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300,822</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Cost of revenues (exclusive of depreciation and</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58,185</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55,103</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114,131</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105,848</w:t>
            </w:r>
          </w:p>
        </w:tc>
      </w:tr>
      <w:tr>
        <w:trPr>
          <w:trHeight w:val="27"/>
        </w:trPr>
        <w:tc>
          <w:tcPr>
            <w:tcW w:w="3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developed technology</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7,649</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8,253</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Amortization of capitalized software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1,204</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3,827</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2,340</w:t>
            </w:r>
          </w:p>
        </w:tc>
      </w:tr>
      <w:tr>
        <w:trPr>
          <w:trHeight w:val="27"/>
        </w:trPr>
        <w:tc>
          <w:tcPr>
            <w:tcW w:w="3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Depreciation expense allocated to cost of revenues</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43"/>
        </w:trPr>
        <w:tc>
          <w:tcPr>
            <w:tcW w:w="396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105,772</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96,542</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205,053</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183,820</w:t>
            </w:r>
          </w:p>
        </w:tc>
      </w:tr>
      <w:tr>
        <w:trPr>
          <w:trHeight w:val="27"/>
        </w:trPr>
        <w:tc>
          <w:tcPr>
            <w:tcW w:w="3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12,004</w:t>
            </w: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11,154</w:t>
            </w:r>
          </w:p>
        </w:tc>
      </w:tr>
      <w:tr>
        <w:trPr>
          <w:trHeight w:val="270"/>
        </w:trPr>
        <w:tc>
          <w:tcPr>
            <w:tcW w:w="3960" w:type="dxa"/>
            <w:vAlign w:val="bottom"/>
          </w:tcPr>
          <w:p>
            <w:pPr>
              <w:ind w:left="20"/>
              <w:spacing w:after="0"/>
              <w:rPr>
                <w:sz w:val="20"/>
                <w:szCs w:val="20"/>
                <w:color w:val="auto"/>
              </w:rPr>
            </w:pPr>
            <w:r>
              <w:rPr>
                <w:rFonts w:ascii="Arial" w:cs="Arial" w:eastAsia="Arial" w:hAnsi="Arial"/>
                <w:sz w:val="18"/>
                <w:szCs w:val="18"/>
                <w:color w:val="auto"/>
              </w:rPr>
              <w:t>Adjusted gross profit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111,867</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102,143</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217,057</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194,974</w:t>
            </w:r>
          </w:p>
        </w:tc>
      </w:tr>
      <w:tr>
        <w:trPr>
          <w:trHeight w:val="20"/>
        </w:trPr>
        <w:tc>
          <w:tcPr>
            <w:tcW w:w="3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calculate Adjusted EBITDA as net loss adjusted to exclude interest and other expense, net, income tax expense (benefit), depreciation and amortization, other amortization, acquisition related costs, stock-based compensation, and other non-recurring costs. Other amortization includes amortization for capitalized contract acquisition costs. Acquisition related costs and non-recurring costs are specific deal-related costs such as legal fees, financial and tax due diligence, consulting and escrow fees as well as expenses such as system implementation costs and severance related to planned restructuring activities. Acquisition related and non-recurring costs are excluded as they are not representative of our underlying operating performance. Adjusted EBITDA should be viewed as a measure of operating performance that is a supplement to, and not a substitute for, operating income or loss, net earnings or loss and other GAAP measures of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reconciliation of net loss, the most directly comparable financial measure calculated in accordance with GAAP, to Adjusted EBITDA on a consolidated basis.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7"/>
              </w:rPr>
              <w:t>Six months ended</w:t>
            </w:r>
          </w:p>
        </w:tc>
        <w:tc>
          <w:tcPr>
            <w:tcW w:w="1020" w:type="dxa"/>
            <w:vAlign w:val="bottom"/>
          </w:tcPr>
          <w:p>
            <w:pPr>
              <w:spacing w:after="0"/>
              <w:rPr>
                <w:sz w:val="18"/>
                <w:szCs w:val="18"/>
                <w:color w:val="auto"/>
              </w:rPr>
            </w:pPr>
          </w:p>
        </w:tc>
      </w:tr>
      <w:tr>
        <w:trPr>
          <w:trHeight w:val="234"/>
        </w:trPr>
        <w:tc>
          <w:tcPr>
            <w:tcW w:w="4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w w:val="84"/>
              </w:rPr>
              <w:t>2022</w:t>
            </w:r>
          </w:p>
        </w:tc>
      </w:tr>
      <w:tr>
        <w:trPr>
          <w:trHeight w:val="27"/>
        </w:trPr>
        <w:tc>
          <w:tcPr>
            <w:tcW w:w="4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60" w:type="dxa"/>
            <w:vAlign w:val="bottom"/>
            <w:gridSpan w:val="3"/>
          </w:tcPr>
          <w:p>
            <w:pPr>
              <w:jc w:val="right"/>
              <w:ind w:right="320"/>
              <w:spacing w:after="0"/>
              <w:rPr>
                <w:sz w:val="20"/>
                <w:szCs w:val="20"/>
                <w:color w:val="auto"/>
              </w:rPr>
            </w:pPr>
            <w:r>
              <w:rPr>
                <w:rFonts w:ascii="Arial" w:cs="Arial" w:eastAsia="Arial" w:hAnsi="Arial"/>
                <w:sz w:val="18"/>
                <w:szCs w:val="18"/>
                <w:i w:val="1"/>
                <w:iCs w:val="1"/>
                <w:color w:val="auto"/>
              </w:rPr>
              <w:t>(in thousands)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81"/>
        </w:trPr>
        <w:tc>
          <w:tcPr>
            <w:tcW w:w="4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112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(21,671)</w:t>
            </w:r>
          </w:p>
        </w:tc>
        <w:tc>
          <w:tcPr>
            <w:tcW w:w="74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(26,190)</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and other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12,180</w:t>
            </w:r>
          </w:p>
        </w:tc>
      </w:tr>
      <w:tr>
        <w:trPr>
          <w:trHeight w:val="243"/>
        </w:trPr>
        <w:tc>
          <w:tcPr>
            <w:tcW w:w="4540" w:type="dxa"/>
            <w:vAlign w:val="bottom"/>
          </w:tcPr>
          <w:p>
            <w:pPr>
              <w:ind w:left="10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(5,662)</w:t>
            </w:r>
          </w:p>
        </w:tc>
      </w:tr>
      <w:tr>
        <w:trPr>
          <w:trHeight w:val="27"/>
        </w:trPr>
        <w:tc>
          <w:tcPr>
            <w:tcW w:w="4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51,940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54,911</w:t>
            </w:r>
          </w:p>
        </w:tc>
      </w:tr>
      <w:tr>
        <w:trPr>
          <w:trHeight w:val="243"/>
        </w:trPr>
        <w:tc>
          <w:tcPr>
            <w:tcW w:w="4540" w:type="dxa"/>
            <w:vAlign w:val="bottom"/>
          </w:tcPr>
          <w:p>
            <w:pPr>
              <w:ind w:left="100"/>
              <w:spacing w:after="0"/>
              <w:rPr>
                <w:sz w:val="20"/>
                <w:szCs w:val="20"/>
                <w:color w:val="auto"/>
              </w:rPr>
            </w:pPr>
            <w:r>
              <w:rPr>
                <w:rFonts w:ascii="Arial" w:cs="Arial" w:eastAsia="Arial" w:hAnsi="Arial"/>
                <w:sz w:val="18"/>
                <w:szCs w:val="18"/>
                <w:color w:val="auto"/>
              </w:rPr>
              <w:t>Other amortization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1,970</w:t>
            </w:r>
          </w:p>
        </w:tc>
      </w:tr>
      <w:tr>
        <w:trPr>
          <w:trHeight w:val="27"/>
        </w:trPr>
        <w:tc>
          <w:tcPr>
            <w:tcW w:w="4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12,643</w:t>
            </w:r>
          </w:p>
        </w:tc>
      </w:tr>
      <w:tr>
        <w:trPr>
          <w:trHeight w:val="263"/>
        </w:trPr>
        <w:tc>
          <w:tcPr>
            <w:tcW w:w="4540" w:type="dxa"/>
            <w:vAlign w:val="bottom"/>
          </w:tcPr>
          <w:p>
            <w:pPr>
              <w:ind w:left="100"/>
              <w:spacing w:after="0"/>
              <w:rPr>
                <w:sz w:val="20"/>
                <w:szCs w:val="20"/>
                <w:color w:val="auto"/>
              </w:rPr>
            </w:pPr>
            <w:r>
              <w:rPr>
                <w:rFonts w:ascii="Arial" w:cs="Arial" w:eastAsia="Arial" w:hAnsi="Arial"/>
                <w:sz w:val="18"/>
                <w:szCs w:val="18"/>
                <w:color w:val="auto"/>
              </w:rPr>
              <w:t>Acquisition related costs and non-recurring costs</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w:t>
            </w:r>
          </w:p>
        </w:tc>
      </w:tr>
      <w:tr>
        <w:trPr>
          <w:trHeight w:val="290"/>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30,749</w:t>
            </w:r>
          </w:p>
        </w:tc>
        <w:tc>
          <w:tcPr>
            <w:tcW w:w="11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70,737</w:t>
            </w: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53,711</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Certain Components of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derive our revenue from three primary sources which are described in detail below: (i) Subscription and Transaction Fees, which are primarily recurring revenue streams, (ii) Marketing Technology Solutions, which includes both recurring and re-occurring revenue streams and (iii) Other revenue, which consists primarily of the sale of distinct professional services and hardware. Our revenue recognition policies are discussed in more detail under </w:t>
      </w:r>
      <w:r>
        <w:rPr>
          <w:rFonts w:ascii="Arial" w:cs="Arial" w:eastAsia="Arial" w:hAnsi="Arial"/>
          <w:sz w:val="18"/>
          <w:szCs w:val="18"/>
          <w:i w:val="1"/>
          <w:iCs w:val="1"/>
          <w:color w:val="auto"/>
        </w:rPr>
        <w:t>“Critical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 and Significant Judgments and Estimates.”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Subscription and Transaction Fees</w:t>
      </w:r>
      <w:r>
        <w:rPr>
          <w:rFonts w:ascii="Arial" w:cs="Arial" w:eastAsia="Arial" w:hAnsi="Arial"/>
          <w:sz w:val="17"/>
          <w:szCs w:val="17"/>
          <w:color w:val="auto"/>
        </w:rPr>
        <w:t>: Revenue includes (i) recurring monthly, quarterly and annual SaaS subscriptions and software license and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fees from the sale of our Business Management, Customer Experience and Billing and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Marketing Technology Solutions: </w:t>
      </w:r>
      <w:r>
        <w:rPr>
          <w:rFonts w:ascii="Arial" w:cs="Arial" w:eastAsia="Arial" w:hAnsi="Arial"/>
          <w:sz w:val="18"/>
          <w:szCs w:val="18"/>
          <w:color w:val="auto"/>
        </w:rPr>
        <w:t>Revenue includes (i) recurring revenues for managing digital advertising programs on behalf of our customers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website hosting, search engine management and optimization, social media management and blog automation and (ii) re-occurring fees paid by service professionals for consumer leads generated by our various platforms.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Revenue includes (i) consulting, implementation, training and other professional services; (ii) website development; (iii) revenue from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development partnerships; (iv) event income and (v) hardware sales related to our business management or payment software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(exclusive of depreciation and amortization) consists of expenses related to delivering our services and products and providing support to our customers and includes employee costs and related overhead, customer credit card processing fees, targeted mail costs, third party fulfillment costs and software hosting expenses.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expect that cost of revenue as a percentage of revenue will fluctuate from period to period based on a variety of factors, including the mix of revenue between Subscription and Transaction Fees and Marketing Technology Solutions, labor costs, third-party expenses and acquisitions. In particular, Marketing Technology Solutions revenue generally has a higher cost of revenue as a percentage of revenue than our Subscription and Transaction Fee revenue. For the three and six months ended June 30, 2023, revenue from Subscription and Transaction Fees increased 12.7% and 13.6%, respectively, compared to the three and six months ended June 30, 2022, respectively, whereas Marketing Technology Solutions revenue decreased 2.0% and increased 1.8%, respectively. To the extent our Marketing Technology Solutions revenue grows at a faster rate, whether by acquisition or otherwise, than our Subscription and Transaction Fees revenue, it could negatively impact our cost of revenues as a percentage of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and marketing expense consists primarily of employee costs for our sales and marketing personnel, including salaries, benefits, bonuses, stock based compensation and sales commissions. Sales and marketing expenses also include advertising costs, travel-related 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expenses will increase in absolute dollars and may increase as a percentage of revenue for the foreseeable future as we continue to increase investments to support our growth.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and remain generally consistent as a percentage of revenue for the foreseeable future as we continue to dedicate substantial resources to develop, improve and expand the functionality of our solutions.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and other general corporate expenses. We expect general and administrative expense to increase on an absolute dollar basis for the foreseeable future as we continue to increase investments to support our growth and due to increased costs as a result of being a public company. As we are able to further scale our operations in the future, we would expect that general and administrative expenses would decrease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primarily relate to intangible assets, property and equipment and capitalized software.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other expense, net, primarily consists of interest expense on long-term debt, net of interest income. It also includes amortization expense of financing costs and discounts, as well as realized and unrealized gains and losses.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benefit (expense)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tables summarize key components of our results of operations for the periods presented. The period-to-period comparisons of our historical results are not necessarily indicative of the results that may be expected in the future. We operate as a single reportable segment to reflect the way our chief operating decision maker (“CODM”) reviews and assesses the performance of our business. For additional information concerning our accounting policies, see Note 2 to our consolidated financial statements included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2023 and 2022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27"/>
        </w:trPr>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24"/>
                <w:szCs w:val="24"/>
                <w:color w:val="auto"/>
              </w:rPr>
            </w:pPr>
          </w:p>
        </w:tc>
      </w:tr>
      <w:tr>
        <w:trPr>
          <w:trHeight w:val="234"/>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r>
      <w:tr>
        <w:trPr>
          <w:trHeight w:val="27"/>
        </w:trPr>
        <w:tc>
          <w:tcPr>
            <w:tcW w:w="4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w w:val="84"/>
              </w:rPr>
              <w:t>2022</w:t>
            </w:r>
          </w:p>
        </w:tc>
      </w:tr>
      <w:tr>
        <w:trPr>
          <w:trHeight w:val="27"/>
        </w:trPr>
        <w:tc>
          <w:tcPr>
            <w:tcW w:w="4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0" w:type="dxa"/>
            <w:vAlign w:val="bottom"/>
            <w:gridSpan w:val="4"/>
          </w:tcPr>
          <w:p>
            <w:pPr>
              <w:jc w:val="right"/>
              <w:ind w:right="89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81"/>
        </w:trPr>
        <w:tc>
          <w:tcPr>
            <w:tcW w:w="4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100"/>
              <w:spacing w:after="0"/>
              <w:rPr>
                <w:sz w:val="20"/>
                <w:szCs w:val="20"/>
                <w:color w:val="auto"/>
              </w:rPr>
            </w:pPr>
            <w:r>
              <w:rPr>
                <w:rFonts w:ascii="Arial" w:cs="Arial" w:eastAsia="Arial" w:hAnsi="Arial"/>
                <w:sz w:val="18"/>
                <w:szCs w:val="18"/>
                <w:color w:val="auto"/>
              </w:rPr>
              <w:t>Subscription and transaction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130,305</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115,648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254,125</w:t>
            </w:r>
          </w:p>
        </w:tc>
        <w:tc>
          <w:tcPr>
            <w:tcW w:w="7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223,649</w:t>
            </w: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Marketing technology solutions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65,064</w:t>
            </w:r>
          </w:p>
        </w:tc>
      </w:tr>
      <w:tr>
        <w:trPr>
          <w:trHeight w:val="263"/>
        </w:trPr>
        <w:tc>
          <w:tcPr>
            <w:tcW w:w="474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6,438</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10,820</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12,109</w:t>
            </w:r>
          </w:p>
        </w:tc>
      </w:tr>
      <w:tr>
        <w:trPr>
          <w:trHeight w:val="250"/>
        </w:trPr>
        <w:tc>
          <w:tcPr>
            <w:tcW w:w="4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331,188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300,822</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4740" w:type="dxa"/>
            <w:vAlign w:val="bottom"/>
            <w:shd w:val="clear" w:color="auto" w:fill="CCEEFF"/>
          </w:tcPr>
          <w:p>
            <w:pPr>
              <w:ind w:left="100"/>
              <w:spacing w:after="0" w:line="229" w:lineRule="exact"/>
              <w:rPr>
                <w:sz w:val="20"/>
                <w:szCs w:val="20"/>
                <w:color w:val="auto"/>
              </w:rPr>
            </w:pPr>
            <w:r>
              <w:rPr>
                <w:rFonts w:ascii="Arial" w:cs="Arial" w:eastAsia="Arial" w:hAnsi="Arial"/>
                <w:sz w:val="18"/>
                <w:szCs w:val="18"/>
                <w:color w:val="auto"/>
                <w:w w:val="91"/>
              </w:rPr>
              <w:t xml:space="preserve">Cost of revenues </w:t>
            </w:r>
            <w:r>
              <w:rPr>
                <w:rFonts w:ascii="Arial" w:cs="Arial" w:eastAsia="Arial" w:hAnsi="Arial"/>
                <w:sz w:val="23"/>
                <w:szCs w:val="23"/>
                <w:color w:val="auto"/>
                <w:w w:val="91"/>
                <w:vertAlign w:val="superscript"/>
              </w:rPr>
              <w:t>(1)</w:t>
            </w:r>
            <w:r>
              <w:rPr>
                <w:rFonts w:ascii="Arial" w:cs="Arial" w:eastAsia="Arial" w:hAnsi="Arial"/>
                <w:sz w:val="18"/>
                <w:szCs w:val="18"/>
                <w:color w:val="auto"/>
                <w:w w:val="91"/>
              </w:rPr>
              <w:t xml:space="preserve"> (exclusive of 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4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presented separately below)</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58,185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55,103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114,131</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105,848</w:t>
            </w:r>
          </w:p>
        </w:tc>
      </w:tr>
      <w:tr>
        <w:trPr>
          <w:trHeight w:val="270"/>
        </w:trPr>
        <w:tc>
          <w:tcPr>
            <w:tcW w:w="4740" w:type="dxa"/>
            <w:vAlign w:val="bottom"/>
          </w:tcPr>
          <w:p>
            <w:pPr>
              <w:ind w:left="14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30,675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29,946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61,574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60,091</w:t>
            </w:r>
          </w:p>
        </w:tc>
      </w:tr>
      <w:tr>
        <w:trPr>
          <w:trHeight w:val="27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Product development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37,034</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35,060</w:t>
            </w:r>
          </w:p>
        </w:tc>
      </w:tr>
      <w:tr>
        <w:trPr>
          <w:trHeight w:val="270"/>
        </w:trPr>
        <w:tc>
          <w:tcPr>
            <w:tcW w:w="4740" w:type="dxa"/>
            <w:vAlign w:val="bottom"/>
          </w:tcPr>
          <w:p>
            <w:pPr>
              <w:ind w:left="10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35,089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33,358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70,015</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64,584</w:t>
            </w:r>
          </w:p>
        </w:tc>
      </w:tr>
      <w:tr>
        <w:trPr>
          <w:trHeight w:val="264"/>
        </w:trPr>
        <w:tc>
          <w:tcPr>
            <w:tcW w:w="4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51,940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54,911</w:t>
            </w:r>
          </w:p>
        </w:tc>
      </w:tr>
      <w:tr>
        <w:trPr>
          <w:trHeight w:val="263"/>
        </w:trPr>
        <w:tc>
          <w:tcPr>
            <w:tcW w:w="474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168,270</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163,350</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334,694</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320,494</w:t>
            </w:r>
          </w:p>
        </w:tc>
      </w:tr>
      <w:tr>
        <w:trPr>
          <w:trHeight w:val="250"/>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(19,672)</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(19,949)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(12,180)</w:t>
            </w:r>
          </w:p>
        </w:tc>
      </w:tr>
      <w:tr>
        <w:trPr>
          <w:trHeight w:val="27"/>
        </w:trPr>
        <w:tc>
          <w:tcPr>
            <w:tcW w:w="4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loss attributable to common stockholders before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7"/>
        </w:trPr>
        <w:tc>
          <w:tcPr>
            <w:tcW w:w="4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(23,455)</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(31,852)</w:t>
            </w:r>
          </w:p>
        </w:tc>
      </w:tr>
      <w:tr>
        <w:trPr>
          <w:trHeight w:val="264"/>
        </w:trPr>
        <w:tc>
          <w:tcPr>
            <w:tcW w:w="474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w:t>
            </w:r>
          </w:p>
        </w:tc>
      </w:tr>
      <w:tr>
        <w:trPr>
          <w:trHeight w:val="290"/>
        </w:trPr>
        <w:tc>
          <w:tcPr>
            <w:tcW w:w="4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(21,671)</w:t>
            </w: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stock-based compensation expense as follows: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7"/>
        </w:trPr>
        <w:tc>
          <w:tcPr>
            <w:tcW w:w="4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gridSpan w:val="4"/>
          </w:tcPr>
          <w:p>
            <w:pPr>
              <w:jc w:val="right"/>
              <w:ind w:right="69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81"/>
        </w:trPr>
        <w:tc>
          <w:tcPr>
            <w:tcW w:w="4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7"/>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r>
      <w:tr>
        <w:trPr>
          <w:trHeight w:val="264"/>
        </w:trPr>
        <w:tc>
          <w:tcPr>
            <w:tcW w:w="4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5,506</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11,475</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10,839</w:t>
            </w:r>
          </w:p>
        </w:tc>
      </w:tr>
      <w:tr>
        <w:trPr>
          <w:trHeight w:val="290"/>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13,755</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12,643</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Subscription and transaction fees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Marketing technology solutions</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Subscription and transaction fees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Marketing technology solutions</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26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tcPr>
          <w:p>
            <w:pPr>
              <w:ind w:left="980"/>
              <w:spacing w:after="0"/>
              <w:rPr>
                <w:sz w:val="20"/>
                <w:szCs w:val="20"/>
                <w:color w:val="auto"/>
              </w:rPr>
            </w:pPr>
            <w:r>
              <w:rPr>
                <w:rFonts w:ascii="Arial" w:cs="Arial" w:eastAsia="Arial" w:hAnsi="Arial"/>
                <w:sz w:val="18"/>
                <w:szCs w:val="18"/>
                <w:b w:val="1"/>
                <w:bCs w:val="1"/>
                <w:color w:val="auto"/>
              </w:rPr>
              <w:t>Change</w:t>
            </w:r>
          </w:p>
        </w:tc>
        <w:tc>
          <w:tcPr>
            <w:tcW w:w="1060" w:type="dxa"/>
            <w:vAlign w:val="bottom"/>
          </w:tcPr>
          <w:p>
            <w:pPr>
              <w:spacing w:after="0"/>
              <w:rPr>
                <w:sz w:val="20"/>
                <w:szCs w:val="20"/>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40" w:type="dxa"/>
            <w:vAlign w:val="bottom"/>
            <w:gridSpan w:val="6"/>
          </w:tcPr>
          <w:p>
            <w:pPr>
              <w:ind w:left="340"/>
              <w:spacing w:after="0"/>
              <w:rPr>
                <w:sz w:val="20"/>
                <w:szCs w:val="20"/>
                <w:color w:val="auto"/>
              </w:rPr>
            </w:pPr>
            <w:r>
              <w:rPr>
                <w:rFonts w:ascii="Arial" w:cs="Arial" w:eastAsia="Arial" w:hAnsi="Arial"/>
                <w:sz w:val="18"/>
                <w:szCs w:val="18"/>
                <w:i w:val="1"/>
                <w:iCs w:val="1"/>
                <w:color w:val="auto"/>
              </w:rPr>
              <w:t>(dollars in thousands)</w:t>
            </w:r>
          </w:p>
        </w:tc>
        <w:tc>
          <w:tcPr>
            <w:tcW w:w="1060" w:type="dxa"/>
            <w:vAlign w:val="bottom"/>
          </w:tcPr>
          <w:p>
            <w:pPr>
              <w:spacing w:after="0"/>
              <w:rPr>
                <w:sz w:val="20"/>
                <w:szCs w:val="20"/>
                <w:color w:val="auto"/>
              </w:rPr>
            </w:pPr>
          </w:p>
        </w:tc>
      </w:tr>
      <w:tr>
        <w:trPr>
          <w:trHeight w:val="594"/>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130,305</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115,648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14,657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12.7 %</w:t>
            </w:r>
          </w:p>
        </w:tc>
      </w:tr>
      <w:tr>
        <w:trPr>
          <w:trHeight w:val="270"/>
        </w:trPr>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34,455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170,052</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157,246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12,806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-899795</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-556895</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-205105</wp:posOffset>
            </wp:positionV>
            <wp:extent cx="713232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26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tcPr>
          <w:p>
            <w:pPr>
              <w:ind w:left="980"/>
              <w:spacing w:after="0"/>
              <w:rPr>
                <w:sz w:val="20"/>
                <w:szCs w:val="20"/>
                <w:color w:val="auto"/>
              </w:rPr>
            </w:pPr>
            <w:r>
              <w:rPr>
                <w:rFonts w:ascii="Arial" w:cs="Arial" w:eastAsia="Arial" w:hAnsi="Arial"/>
                <w:sz w:val="18"/>
                <w:szCs w:val="18"/>
                <w:b w:val="1"/>
                <w:bCs w:val="1"/>
                <w:color w:val="auto"/>
              </w:rPr>
              <w:t>Change</w:t>
            </w:r>
          </w:p>
        </w:tc>
        <w:tc>
          <w:tcPr>
            <w:tcW w:w="1060" w:type="dxa"/>
            <w:vAlign w:val="bottom"/>
          </w:tcPr>
          <w:p>
            <w:pPr>
              <w:spacing w:after="0"/>
              <w:rPr>
                <w:sz w:val="20"/>
                <w:szCs w:val="20"/>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40" w:type="dxa"/>
            <w:vAlign w:val="bottom"/>
            <w:gridSpan w:val="6"/>
          </w:tcPr>
          <w:p>
            <w:pPr>
              <w:ind w:left="340"/>
              <w:spacing w:after="0"/>
              <w:rPr>
                <w:sz w:val="20"/>
                <w:szCs w:val="20"/>
                <w:color w:val="auto"/>
              </w:rPr>
            </w:pPr>
            <w:r>
              <w:rPr>
                <w:rFonts w:ascii="Arial" w:cs="Arial" w:eastAsia="Arial" w:hAnsi="Arial"/>
                <w:sz w:val="18"/>
                <w:szCs w:val="18"/>
                <w:i w:val="1"/>
                <w:iCs w:val="1"/>
                <w:color w:val="auto"/>
              </w:rPr>
              <w:t>(dollars in thousands)</w:t>
            </w:r>
          </w:p>
        </w:tc>
        <w:tc>
          <w:tcPr>
            <w:tcW w:w="1060" w:type="dxa"/>
            <w:vAlign w:val="bottom"/>
          </w:tcPr>
          <w:p>
            <w:pPr>
              <w:spacing w:after="0"/>
              <w:rPr>
                <w:sz w:val="20"/>
                <w:szCs w:val="20"/>
                <w:color w:val="auto"/>
              </w:rPr>
            </w:pPr>
          </w:p>
        </w:tc>
      </w:tr>
      <w:tr>
        <w:trPr>
          <w:trHeight w:val="594"/>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254,125</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223,649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30,476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13.6 %</w:t>
            </w:r>
          </w:p>
        </w:tc>
      </w:tr>
      <w:tr>
        <w:trPr>
          <w:trHeight w:val="270"/>
        </w:trPr>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66,243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65,064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70"/>
        </w:trPr>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10,820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331,188</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300,822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30,366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-899795</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-556895</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-213995</wp:posOffset>
            </wp:positionV>
            <wp:extent cx="7132320" cy="196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720"/>
            <w:col w:w="6140"/>
          </w:cols>
          <w:pgMar w:left="320" w:top="1440" w:right="339" w:bottom="1440" w:gutter="0" w:footer="0" w:header="0"/>
        </w:sectPr>
      </w:pP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Revenues increased $12.8 million or 8.1% and $30.4 million or 10.1% for the three and six months ended June 30, 2023, respectively, as compared to the corresponding periods in 2022. These increases were primarily driven by a $7.7 million and $16.3 million increase, respectively, from software &amp; subscription revenues due to an expansion in our number of customers and certain price increases across our portfolio. Additionally, there was a $7.0 million and $14.2 million increase, respectively, for higher transaction volumes processed through our payments platforms.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95"/>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8"/>
              </w:rPr>
              <w:t>Three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3"/>
          </w:tcPr>
          <w:p>
            <w:pPr>
              <w:ind w:left="96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0" w:type="dxa"/>
            <w:vAlign w:val="bottom"/>
            <w:gridSpan w:val="6"/>
          </w:tcPr>
          <w:p>
            <w:pPr>
              <w:ind w:left="280"/>
              <w:spacing w:after="0"/>
              <w:rPr>
                <w:sz w:val="20"/>
                <w:szCs w:val="20"/>
                <w:color w:val="auto"/>
              </w:rPr>
            </w:pPr>
            <w:r>
              <w:rPr>
                <w:rFonts w:ascii="Arial" w:cs="Arial" w:eastAsia="Arial" w:hAnsi="Arial"/>
                <w:sz w:val="18"/>
                <w:szCs w:val="18"/>
                <w:i w:val="1"/>
                <w:iCs w:val="1"/>
                <w:color w:val="auto"/>
              </w:rPr>
              <w:t>(dollars in thousands)</w:t>
            </w:r>
          </w:p>
        </w:tc>
        <w:tc>
          <w:tcPr>
            <w:tcW w:w="102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presented separately below)</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58,185</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55,103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34.2 %</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7"/>
              </w:rPr>
              <w:t>Six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3"/>
          </w:tcPr>
          <w:p>
            <w:pPr>
              <w:ind w:left="96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0" w:type="dxa"/>
            <w:vAlign w:val="bottom"/>
            <w:gridSpan w:val="6"/>
          </w:tcPr>
          <w:p>
            <w:pPr>
              <w:ind w:left="280"/>
              <w:spacing w:after="0"/>
              <w:rPr>
                <w:sz w:val="20"/>
                <w:szCs w:val="20"/>
                <w:color w:val="auto"/>
              </w:rPr>
            </w:pPr>
            <w:r>
              <w:rPr>
                <w:rFonts w:ascii="Arial" w:cs="Arial" w:eastAsia="Arial" w:hAnsi="Arial"/>
                <w:sz w:val="18"/>
                <w:szCs w:val="18"/>
                <w:i w:val="1"/>
                <w:iCs w:val="1"/>
                <w:color w:val="auto"/>
              </w:rPr>
              <w:t>(dollars in thousands)</w:t>
            </w:r>
          </w:p>
        </w:tc>
        <w:tc>
          <w:tcPr>
            <w:tcW w:w="102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presented separately below)</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114,131</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105,848</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34.5 %</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revenues increased by $3.1 million or 5.6% and $8.3 million or 7.8% for the three and six months ended June 30, 2023, respectively, as compared to the corresponding periods in 2022. These increases were primarily comprised of an additional $1.5 million and $2.8 million of lead generation expense, respectively, $1.2 million and $2.3 million of promotional spend, respectively, $0.7 million and $1.7 million of personnel and compensation expense, respectively, $0.6 million and $1.5 million of email and SMS expense, respectively, and $0.7 million and $1.4 million of campaign mail expense, respectively, partially offset by a $1.9 million and $3.2 million decrease in media spend, respectively. As a percentage of revenue, cost of revenues was 34.2% and 35.0% for the three months ended June 30, 2023 and 2022, respectively, and 34.5% and 35.2% for the six months ended June 30, 2023 and 2022, respectively.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95"/>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6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30,675</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29,946</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729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18.0 %</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7"/>
              </w:rPr>
              <w:t>Six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0" w:type="dxa"/>
            <w:vAlign w:val="bottom"/>
            <w:gridSpan w:val="4"/>
          </w:tcPr>
          <w:p>
            <w:pPr>
              <w:jc w:val="right"/>
              <w:ind w:right="1250"/>
              <w:spacing w:after="0"/>
              <w:rPr>
                <w:sz w:val="20"/>
                <w:szCs w:val="20"/>
                <w:color w:val="auto"/>
              </w:rPr>
            </w:pPr>
            <w:r>
              <w:rPr>
                <w:rFonts w:ascii="Arial" w:cs="Arial" w:eastAsia="Arial" w:hAnsi="Arial"/>
                <w:sz w:val="18"/>
                <w:szCs w:val="18"/>
                <w:i w:val="1"/>
                <w:iCs w:val="1"/>
                <w:color w:val="auto"/>
              </w:rPr>
              <w:t>(dollars in thousands)</w:t>
            </w:r>
          </w:p>
        </w:tc>
        <w:tc>
          <w:tcPr>
            <w:tcW w:w="102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61,574</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60,091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1,483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18.6 %</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and marketing expenses increased by $0.7 million or 2.4% and $1.5 million or 2.5% for the three and six months ended June 30, 2023, respectively, as compared to the corresponding periods in 2022. Sales and marketing expenses were relatively consistent as a percentage of revenue compared to the applicable prior year period with sales and marketing expenses as a percentage of revenue of 18.0% and 19.0% for the three months ended June 30, 2023 and 2022, respectively, and 18.6% and 20.0% for the six months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95"/>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0" w:type="dxa"/>
            <w:vAlign w:val="bottom"/>
            <w:gridSpan w:val="4"/>
          </w:tcPr>
          <w:p>
            <w:pPr>
              <w:jc w:val="right"/>
              <w:ind w:right="1250"/>
              <w:spacing w:after="0"/>
              <w:rPr>
                <w:sz w:val="20"/>
                <w:szCs w:val="20"/>
                <w:color w:val="auto"/>
              </w:rPr>
            </w:pPr>
            <w:r>
              <w:rPr>
                <w:rFonts w:ascii="Arial" w:cs="Arial" w:eastAsia="Arial" w:hAnsi="Arial"/>
                <w:sz w:val="18"/>
                <w:szCs w:val="18"/>
                <w:i w:val="1"/>
                <w:iCs w:val="1"/>
                <w:color w:val="auto"/>
              </w:rPr>
              <w:t>(dollars in thousands)</w:t>
            </w:r>
          </w:p>
        </w:tc>
        <w:tc>
          <w:tcPr>
            <w:tcW w:w="102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18,331</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17,423</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908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10.8 %</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549"/>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7"/>
              </w:rPr>
              <w:t>Six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2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37,034</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35,060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1,974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11.2 %</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Product development expenses increased by $0.9 million or 5.2% and $2.0 million or 5.6% for the three and six months ended June 30, 2023, respectively, as compared to the corresponding periods in 2022. These increases were a result of continued investment in our technology and teams to support our various solutions as well as centralized security operations, information technology and cloud engineering, with an additional $0.2 million and $0.8 million of software and tools expense, respectively, and $0.7 million and $0.8 million of personnel and compensation expense, respectively. As a percentage of revenue, product development expenses were 10.8% and 11.1% for the three months ended June 30, 2023 and 2022, respectively, and 11.2% and 11.7% for the six months ended June 30, 2023 and 2022, respectively.</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95"/>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9"/>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20" w:type="dxa"/>
            <w:vAlign w:val="bottom"/>
          </w:tcPr>
          <w:p>
            <w:pPr>
              <w:spacing w:after="0"/>
              <w:rPr>
                <w:sz w:val="20"/>
                <w:szCs w:val="20"/>
                <w:color w:val="auto"/>
              </w:rPr>
            </w:pPr>
          </w:p>
        </w:tc>
      </w:tr>
      <w:tr>
        <w:trPr>
          <w:trHeight w:val="81"/>
        </w:trPr>
        <w:tc>
          <w:tcPr>
            <w:tcW w:w="4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35,089</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33,358</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1,731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20.6 %</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549"/>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7"/>
              </w:rPr>
              <w:t>Six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20" w:type="dxa"/>
            <w:vAlign w:val="bottom"/>
          </w:tcPr>
          <w:p>
            <w:pPr>
              <w:spacing w:after="0"/>
              <w:rPr>
                <w:sz w:val="20"/>
                <w:szCs w:val="20"/>
                <w:color w:val="auto"/>
              </w:rPr>
            </w:pPr>
          </w:p>
        </w:tc>
      </w:tr>
      <w:tr>
        <w:trPr>
          <w:trHeight w:val="81"/>
        </w:trPr>
        <w:tc>
          <w:tcPr>
            <w:tcW w:w="4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gridSpan w:val="2"/>
          </w:tcPr>
          <w:p>
            <w:pPr>
              <w:spacing w:after="0"/>
              <w:rPr>
                <w:sz w:val="7"/>
                <w:szCs w:val="7"/>
                <w:color w:val="auto"/>
              </w:rPr>
            </w:pPr>
          </w:p>
        </w:tc>
        <w:tc>
          <w:tcPr>
            <w:tcW w:w="17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70,015</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64,584</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5,431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21.1 %</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increased by $1.7 million or 5.2% and $5.4 million or 8.4% for the three and six months ended June 30, 2023, respectively, as compared to the corresponding periods in 2022. These increases were primarily driven by an additional $0.5 million and $2.0 million of personnel and compensation expense,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respectively, $1.9 million and $2.8 million of bad debt expense, respectively, and $(0.5) million and $0.6 million of stock-based compensation expense (benefit). As a percentage of revenue, general and administrative expenses were 20.6% and 21.2% for the three months ended June 30, 2023 and 2022, respectively, and 21.1% and 21.5% for the six months ended June 30, 2023 and 2022,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95"/>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8"/>
              </w:rPr>
              <w:t>Three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80" w:type="dxa"/>
            <w:vAlign w:val="bottom"/>
            <w:gridSpan w:val="4"/>
          </w:tcPr>
          <w:p>
            <w:pPr>
              <w:jc w:val="right"/>
              <w:ind w:right="121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25,990</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27,520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(1,530)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15.3 %</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7"/>
              </w:rPr>
              <w:t>Six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80" w:type="dxa"/>
            <w:vAlign w:val="bottom"/>
            <w:gridSpan w:val="4"/>
          </w:tcPr>
          <w:p>
            <w:pPr>
              <w:jc w:val="right"/>
              <w:ind w:right="121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51,940</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54,911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(2,971)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15.7 %</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decreased by $1.5 million or 5.6% and $3.0 million or 5.4% for the three and six months ended June 30, 2023, respectively, as compared to the corresponding periods in 2022. These decreases were primarily driven by a decrease of $2.3 million and $4.4 million in intangible assets’ amortization, respectively, partially offset by $0.8 million and $1.5 million of additional capitalized software amortization, respectively. As a percentage of revenue, depreciation and amortization expenses were 15.3% and 17.5% for the three months ended June 30, 2023 and 2022, respectively, and 15.7% and 18.3% for the six months ended June 30, 2023 and 2022, respectively.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Interest and Other Expense, net</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2"/>
        </w:trPr>
        <w:tc>
          <w:tcPr>
            <w:tcW w:w="4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2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80" w:type="dxa"/>
            <w:vAlign w:val="bottom"/>
            <w:gridSpan w:val="4"/>
          </w:tcPr>
          <w:p>
            <w:pPr>
              <w:jc w:val="right"/>
              <w:ind w:right="121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4,761</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6,702</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(1,941)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2.8 %</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7"/>
              </w:rPr>
              <w:t>Six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19,949</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12,180</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7,769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6.0 %</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Interest and other expense, net, decreased by $1.9 million or 29.0% and increased by $7.8 million or 63.8% for the three and six months ended June 30, 2023, respectively, as compared to the corresponding periods in 2022. For the three months, the decrease was primarily driven by an unrealized gain of $6.4 million on the interest rate swaps recorded during the three months ended June 30, 2023 offset by higher interest expense on the Company’s Credit Facilities (as defined below) of $5.0 million. For the six months, the increase was primarily driven by higher interest expense on the Company’s Credit Facilities of $10.5 million offset by an unrealized gain of $2.1 million on the interest rate swaps recorded during the six months ended June 30, 2023. As a percentage of revenue, interest and other expense were 2.8% and 4.3% for the three months ended June 30, 2023 and 2022, respectively, and 6.0% and 4.0% for the six months ended June 30, 2023 and 2022, respectively.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b w:val="1"/>
                <w:bCs w:val="1"/>
                <w:i w:val="1"/>
                <w:iCs w:val="1"/>
                <w:color w:val="auto"/>
              </w:rPr>
              <w:t>Income Tax Benefit (Expense)</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2"/>
        </w:trPr>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4"/>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jc w:val="center"/>
              <w:ind w:left="83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54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79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gridSpan w:val="6"/>
          </w:tcPr>
          <w:p>
            <w:pPr>
              <w:jc w:val="right"/>
              <w:ind w:right="1190"/>
              <w:spacing w:after="0"/>
              <w:rPr>
                <w:sz w:val="20"/>
                <w:szCs w:val="20"/>
                <w:color w:val="auto"/>
              </w:rPr>
            </w:pPr>
            <w:r>
              <w:rPr>
                <w:rFonts w:ascii="Arial" w:cs="Arial" w:eastAsia="Arial" w:hAnsi="Arial"/>
                <w:sz w:val="18"/>
                <w:szCs w:val="18"/>
                <w:i w:val="1"/>
                <w:iCs w:val="1"/>
                <w:color w:val="auto"/>
              </w:rPr>
              <w:t>(dollars in thousands)</w:t>
            </w:r>
          </w:p>
        </w:tc>
        <w:tc>
          <w:tcPr>
            <w:tcW w:w="1020" w:type="dxa"/>
            <w:vAlign w:val="bottom"/>
          </w:tcPr>
          <w:p>
            <w:pPr>
              <w:spacing w:after="0"/>
              <w:rPr>
                <w:sz w:val="20"/>
                <w:szCs w:val="20"/>
                <w:color w:val="auto"/>
              </w:rPr>
            </w:pPr>
          </w:p>
        </w:tc>
      </w:tr>
      <w:tr>
        <w:trPr>
          <w:trHeight w:val="81"/>
        </w:trPr>
        <w:tc>
          <w:tcPr>
            <w:tcW w:w="4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2,083</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2,158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 *</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2"/>
          </w:tcPr>
          <w:p>
            <w:pPr>
              <w:jc w:val="right"/>
              <w:ind w:right="390"/>
              <w:spacing w:after="0"/>
              <w:rPr>
                <w:sz w:val="20"/>
                <w:szCs w:val="20"/>
                <w:color w:val="auto"/>
              </w:rPr>
            </w:pPr>
            <w:r>
              <w:rPr>
                <w:rFonts w:ascii="Arial" w:cs="Arial" w:eastAsia="Arial" w:hAnsi="Arial"/>
                <w:sz w:val="18"/>
                <w:szCs w:val="18"/>
                <w:color w:val="auto"/>
              </w:rPr>
              <w:t>1.2 %</w:t>
            </w:r>
          </w:p>
        </w:tc>
        <w:tc>
          <w:tcPr>
            <w:tcW w:w="1460" w:type="dxa"/>
            <w:vAlign w:val="bottom"/>
            <w:gridSpan w:val="5"/>
          </w:tcPr>
          <w:p>
            <w:pPr>
              <w:jc w:val="right"/>
              <w:ind w:right="300"/>
              <w:spacing w:after="0"/>
              <w:rPr>
                <w:sz w:val="20"/>
                <w:szCs w:val="20"/>
                <w:color w:val="auto"/>
              </w:rPr>
            </w:pPr>
            <w:r>
              <w:rPr>
                <w:rFonts w:ascii="Arial" w:cs="Arial" w:eastAsia="Arial" w:hAnsi="Arial"/>
                <w:sz w:val="18"/>
                <w:szCs w:val="18"/>
                <w:color w:val="auto"/>
              </w:rPr>
              <w:t>— %</w:t>
            </w:r>
          </w:p>
        </w:tc>
        <w:tc>
          <w:tcPr>
            <w:tcW w:w="17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Not meaningful</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522"/>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540" w:type="dxa"/>
            <w:vAlign w:val="bottom"/>
          </w:tcPr>
          <w:p>
            <w:pPr>
              <w:spacing w:after="0"/>
              <w:rPr>
                <w:sz w:val="20"/>
                <w:szCs w:val="20"/>
                <w:color w:val="auto"/>
              </w:rPr>
            </w:pPr>
          </w:p>
        </w:tc>
        <w:tc>
          <w:tcPr>
            <w:tcW w:w="10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950"/>
              <w:spacing w:after="0"/>
              <w:rPr>
                <w:sz w:val="20"/>
                <w:szCs w:val="20"/>
                <w:color w:val="auto"/>
              </w:rPr>
            </w:pPr>
            <w:r>
              <w:rPr>
                <w:rFonts w:ascii="Arial" w:cs="Arial" w:eastAsia="Arial" w:hAnsi="Arial"/>
                <w:sz w:val="18"/>
                <w:szCs w:val="18"/>
                <w:b w:val="1"/>
                <w:bCs w:val="1"/>
                <w:color w:val="auto"/>
                <w:w w:val="97"/>
              </w:rPr>
              <w:t>Amount</w:t>
            </w:r>
          </w:p>
        </w:tc>
        <w:tc>
          <w:tcPr>
            <w:tcW w:w="102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7"/>
        </w:trPr>
        <w:tc>
          <w:tcPr>
            <w:tcW w:w="4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6"/>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gridSpan w:val="6"/>
          </w:tcPr>
          <w:p>
            <w:pPr>
              <w:jc w:val="right"/>
              <w:ind w:right="1250"/>
              <w:spacing w:after="0"/>
              <w:rPr>
                <w:sz w:val="20"/>
                <w:szCs w:val="20"/>
                <w:color w:val="auto"/>
              </w:rPr>
            </w:pPr>
            <w:r>
              <w:rPr>
                <w:rFonts w:ascii="Arial" w:cs="Arial" w:eastAsia="Arial" w:hAnsi="Arial"/>
                <w:sz w:val="18"/>
                <w:szCs w:val="18"/>
                <w:i w:val="1"/>
                <w:iCs w:val="1"/>
                <w:color w:val="auto"/>
              </w:rPr>
              <w:t>(dollars in thousands)</w:t>
            </w:r>
          </w:p>
        </w:tc>
        <w:tc>
          <w:tcPr>
            <w:tcW w:w="1020" w:type="dxa"/>
            <w:vAlign w:val="bottom"/>
          </w:tcPr>
          <w:p>
            <w:pPr>
              <w:spacing w:after="0"/>
              <w:rPr>
                <w:sz w:val="20"/>
                <w:szCs w:val="20"/>
                <w:color w:val="auto"/>
              </w:rPr>
            </w:pPr>
          </w:p>
        </w:tc>
      </w:tr>
      <w:tr>
        <w:trPr>
          <w:trHeight w:val="81"/>
        </w:trPr>
        <w:tc>
          <w:tcPr>
            <w:tcW w:w="4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1,784</w:t>
            </w:r>
          </w:p>
        </w:tc>
        <w:tc>
          <w:tcPr>
            <w:tcW w:w="54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5,662</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(3,878)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(68.5 %)</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0.5 %</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benefit (expense) changed by $2.2 million and ($3.9) million for the three and six months ended June 30, 2023, respectively, as compared to the corresponding periods in 2022. The changes were primarily driven by discrete items, including the release of a foreign valuation allowance during the three and six months ended June 30, 2023 and a California law change and an intercompany intellectual property sale in six months ended June 30, 2022. As a percentage of revenue, income tax benefit (expense) was 1.2% and 0% for the three months ended June 30, 2023 and 2022, respectively, and 0.5% and 1.9% for the six months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our primary sources of liquidity have been net cash provided by operating activities, proceeds from equity issuances and proceeds from long-term debt.</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primary use of liquidity has been acquisitions of businesses. For a description of our recent acquisitions, see Note 3 in our Annual Report on Form 10-K. Absent significant deterioration of market conditions, we expect that working capital requirements, capital expenditures, acquisitions, the Company’s Repurchase Program (defined below), debt servicing and lease obligations will be our principal needs for liquidity going forward.</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June 30, 2023, we had cash, cash equivalents and restricted cash of $86.8 million, $190.0 million of available borrowing capacity under our Revolver (as defined below) and $540.4 million outstanding under our Term Loans (as defined below). We believe that our existing cash, cash equivalents and restricted cash, availability under our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We expect to consummate acquisitions of complementary businesses in the future that could require us to seek additional equity or debt financing. Market and macroeconomic conditions may, from time to time, impact our ability to raise capital. If we are unable to raise additional funds when desired, our business, financial condition and results of operations could be adversely affected. See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cash flow data for the periods indicated therein:</w:t>
      </w:r>
    </w:p>
    <w:p>
      <w:pPr>
        <w:spacing w:after="0" w:line="235" w:lineRule="exact"/>
        <w:rPr>
          <w:sz w:val="20"/>
          <w:szCs w:val="20"/>
          <w:color w:val="auto"/>
        </w:rPr>
      </w:pPr>
    </w:p>
    <w:p>
      <w:pPr>
        <w:jc w:val="center"/>
        <w:ind w:left="77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77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22860</wp:posOffset>
            </wp:positionV>
            <wp:extent cx="22034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7"/>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20"/>
                <w:szCs w:val="20"/>
                <w:color w:val="auto"/>
              </w:rPr>
            </w:pPr>
          </w:p>
        </w:tc>
      </w:tr>
      <w:tr>
        <w:trPr>
          <w:trHeight w:val="81"/>
        </w:trPr>
        <w:tc>
          <w:tcPr>
            <w:tcW w:w="7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41,146</w:t>
            </w:r>
          </w:p>
        </w:tc>
        <w:tc>
          <w:tcPr>
            <w:tcW w:w="6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24,002</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(10,686)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(9,057)</w:t>
            </w: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(39,769)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r>
      <w:tr>
        <w:trPr>
          <w:trHeight w:val="264"/>
        </w:trPr>
        <w:tc>
          <w:tcPr>
            <w:tcW w:w="778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 changes on cash</w:t>
            </w:r>
          </w:p>
        </w:tc>
        <w:tc>
          <w:tcPr>
            <w:tcW w:w="10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r>
      <w:tr>
        <w:trPr>
          <w:trHeight w:val="29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(8,982)</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was $41.1 million for the six months ended June 30, 2023, compared to $24.0 million for the six months ended June 30, 2022. Changes in net cash provided by operating activities result primarily from cash received from net sales within our subscription and transaction fees and marketing technology solutions. Other drivers of the changes in net cash provided by operating activities include payments for personnel expenses for our employees, costs related to delivering our services and products, partner commissions, advertising and interest on our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cash provided by operating activities for the six months ended June 30, 2023 compared to the six months ended June 30, 2022 was primarily due to higher cash collections from our subscription and transaction fees and marketing technology solutions of approximately $33 million and the timing of payments offset by higher interest payments of $10.7 million, higher investments made to support the growth of our business including personnel expenses of $5.6 million and payments directly related to the delivery of our services and products of $6.4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net cash used in investing activities was $10.7 million. The cash was used primarily for costs to develop software of $9.5 million, and the remainder was used primarily for purchases of property and equipment.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2022, net cash used in investing activities was $9.1 million. The cash was used primarily for costs to develop software of $7.5 million. The remainder was primarily used for purchases of property and equipment.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net cash used in financing activities was $39.8 million. The cash was primarily used for the repurchase and retirement of shares of our common stock of $39.7 million.</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2022, net cash used in financing activities was $2.5 million. The cash used was primarily driven by payments on long-term debt of $2.8 million and the repurchase and retirement of shares of our common stock of $2.7 million, partially offset by proceeds from common stock issuance, net of $1.8 million and exercise of stock options of $1.1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2021, the Company entered into a credit agreement providing for two term loans for an aggregate principal amount of $550.0 million (“Term Loans”), a revolver with a capacity of $190.0 million (“Revolver”) and a sub-limit of the Revolver available for letters of credit up to an aggregate face amount of $20.0 million. These debt arrangements are collectively referred to herein as the (“Credit Facilities”).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Simultaneously with the execution of the Credit Facilities, we and various of our subsidiaries entered into a collateral agreement and guarantee agreement. Pursuant to the guarantee agreement, EverCommerce Intermediate Inc. and various of our subsidiaries are guarantors of the obligations under the Credit Facilities. Pursuant to the collateral agreement, the Credit Facilities are secured by liens on substantially all of our assets, including our intellectual property and the equity interests of our various subsidiaries, including EverCommerce Solutions Inc.</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Credit Facilities contain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Revolver whereby, if the aggregate principal amount of revolving loans (excluding letters of credit) outstanding on the last day of any fiscal quarter exceeds 35% of the aggregate commitments available under the Revolver, then our first lien leverage ratio as of the last day of such fiscal quarter must be 7.50 to 1.00 or less.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Borrowings under the Credit Facilities are available as ABR or Eurocurrency borrowings. ABR borrowings under the Credit Facilities accrue interest at an alternate base rate plus an applicable rate, and Eurocurrency borrowings accrue interest at an LIBOR rate plus an applicable rate. The ABR rate represents the greater of the prime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Federal Reserve Bank of New York rate plus ½ of 1%, and an adjusted LIBOR rate for a one month interest period plus 1%. The applicable rate for the Term Loans and the Revolver is 3% for Eurocurrency borrowings and 2% for ABR Borrowings, in each case subject to change based on our first lien net leverage ratio.</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ABR borrowings, interest payments are due on a quarterly basis on the last business day of each March, June, September and December. With respect to Eurocurrency borrowings, interest payments are due on the 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recent regulatory guidance and proposals for reform, the ICE Benchmark Administration Limited, the administrator of LIBOR, ceased publication of USD LIBOR as a representative rate after June 30, 2023. On June 26, 2023, the Credit Facilities were amended to replace the reference rate of LIBOR with the Adjusted Term SOFR Rate (see definition below). The interest rate on any loans outstanding under the Credit Facilities continued to be determined by reference to USD LIBOR until June 30, 2023, after which time the interest rates on such loans began bearing interest by reference to SOFR. The Company continues to monitor the impact of the transition from LIBOR to SOFR on its business but does not expect a significant impact to the consolidated financial statements.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as of July 1, 2023, borrowings under the Credit Facilities bear interest at the Company’s option at ABR plus an applicable rate, or at a forward-looking term rate based upon the secured overnight financing rate, plus (i) (a) with respect to Term Loans, credit spread adjustments of 0.11448%, 0.26161%, 0.42826% and 0.71513% for interest periods of one three, six and twelve months, respectively and (b) with respect to revolving loans, 0.0% (“Adjusted SOFR”) plus (ii) an applicable rate, in each case with such applicable rate based on the Company’s first lien net leverage ratio. The ABR represents the highest of the prime rate, Federal Reserve Bank of New York rate plus ½ of 1%, and the Adjusted SOFR for a one month interest period plus 1%. The applicable rate for the Term Loans and the Revolver is 3.0% for Adjusted SOFR borrowings and 2.0% for ABR borrowings, in each case subject to change based on our first lien net leverage ratio.</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Effective October 31, 2022, the Company entered into an interest rate swap agreement in connection with the Company’s Credit Facilities for a notional amount of $200.0 million to convert a portion of the floating rate component of the Term Loans from a floating rate to a fixed rate (the “Initial Swap”). The Initial Swap has a term of five years with a fixed rate in the agreement of 4.212%, as amended in June 2023. Additionally, effective March 31, 2023, the Company entered into a second interest rate swap agreement in connection with the Company’s Credit Facilities for a notional amount of $100.0 million to convert a portion of the floating rate component of the Term Loans from a floating rate to a fixed rate (the “Second Swap”). The Second Swap has a term of approximately 4.5 years with a fixed rate in the agreement of 3.951%, as amended in June 2023.</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Revolver has a variable commitment fee, which is based on our first lien leverage ratio. We expect the commitment fee to range from 0.25% to 0.375% per annum. We are obligated to pay a fixed fronting fee for letters of credit of 0.125% per annum.</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borrowed under the Revolver may be repaid and re-borrowed through maturity of the Revolver in July 2026. The Term Loans mature in July 2028. The Term Loans may be repaid or prepaid but may not be re-borrowed.</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June 30, 2023, there was $540.4 million outstanding under our Credit Facilities, all of which was related to the Term Loans as no amounts were outstanding under the Revolver. The effective interest rate on the Term Loans was approximately 8.4% for the three months ended June 30,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we were in compliance with the covenants under the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14, 2022, our Board of Directors approved the stock repurchase program (as subsequently amended, the “Repurchase Program”) with authorization to purchase up to $50.0 million in shares of the Company’s common stock through the expiration of the program on December 21, 2022. On November 7, 2022, our Board of Directors approved an expansion of the Repurchase Program with authorization to purchase up to an additional $50.0 million in shares of the Company’s common stock ($100.0 million total) and an extension to the expiration of the Repurchase Program through December 31, 2023. Repurchases under the program may be made in the open market, in privately negotiated transactions or otherwise, with the amount and timing of repurchases to be determined at the Company’s discretion, depending on market conditions and corporate needs. This program does not obligate the Company to acquire any particular amount of common stock and may be modified, suspended or terminated at any time at the discretion of the Board of Directors. The Company expects to fund repurchases with existing cash on hand.</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repurchased and retired 904,000 shares and 4,027,697 shares of common stock for approximately $10.0 million and $39.6 million including transaction fees during the three and six months ended June 30, 2023, respectively. As of June 30, 2023, $17.5 million remains available under the Repurchase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our contractual obligations as of June 30, 2023 from those disclosed in our Annual Report on Form 10-K.</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Notes 8, 9 and 15 in the unaudited condensed consolidated financial statements included in this Quarterly Report on Form 10-Q and notes thereto for a discussion of our operating leases, debt and contractual obligations,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financial statements are prepared in accordance with GAAP. The preparation of our financial statements in conformity with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critical accounting policies are described in Part II Item 7, “Management’s Discussion and Analysis of Financial Condition and Results of Operations —Critical Accounting Policies” in our Annual Report on Form 10-K. During the six months ended June 30, 2023, there were no material changes to our critical accounting policies from those discussed in our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Note 2 in the notes to the unaudited condensed consolidated financial statements included in this Quarterly Report on Form 10-Q for a discussion of accounting pronouncements recently adopted and recently issued accounting pronouncements not yet adopted and their potential impact to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Under the Jumpstart Our Business Startups Act of 2012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currently qualifies as an “emerging growth company” under the Jumpstart Our Business Startups Act of 2012, or the JOBS Act. Accordingly, the Company is provided the option to adopt new or revised accounting guidance either (i) within the same periods as those otherwise applicable to non-emerging growth companies or (ii) within the same time periods as private companies.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There have been no material changes to our disclosures regarding market risk as described in our Annual Report on Form 10-K under the heading Part II. Item 7A. </w:t>
      </w:r>
      <w:r>
        <w:rPr>
          <w:rFonts w:ascii="Arial" w:cs="Arial" w:eastAsia="Arial" w:hAnsi="Arial"/>
          <w:sz w:val="18"/>
          <w:szCs w:val="18"/>
          <w:i w:val="1"/>
          <w:iCs w:val="1"/>
          <w:color w:val="auto"/>
        </w:rPr>
        <w:t>“Quantitative and Qualitative Disclosures about Market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June 30, 2023, our disclosure controls and procedures were not effective at the reasonable assurance level, due to the material weakness in our internal control over financial reporting as described in Part II, Item 9A</w:t>
      </w:r>
      <w:r>
        <w:rPr>
          <w:rFonts w:ascii="Arial" w:cs="Arial" w:eastAsia="Arial" w:hAnsi="Arial"/>
          <w:sz w:val="16"/>
          <w:szCs w:val="16"/>
          <w:i w:val="1"/>
          <w:iCs w:val="1"/>
          <w:color w:val="auto"/>
        </w:rPr>
        <w:t>. “Controls and Procedures”</w:t>
      </w:r>
      <w:r>
        <w:rPr>
          <w:rFonts w:ascii="Arial" w:cs="Arial" w:eastAsia="Arial" w:hAnsi="Arial"/>
          <w:sz w:val="16"/>
          <w:szCs w:val="16"/>
          <w:color w:val="auto"/>
        </w:rPr>
        <w:t xml:space="preserve"> in our Annual Report on Form 10-K for the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continue to work to remediate our material weakness in our internal control over financial reporting as described in Part II, Item 9A</w:t>
      </w:r>
      <w:r>
        <w:rPr>
          <w:rFonts w:ascii="Arial" w:cs="Arial" w:eastAsia="Arial" w:hAnsi="Arial"/>
          <w:sz w:val="18"/>
          <w:szCs w:val="18"/>
          <w:i w:val="1"/>
          <w:iCs w:val="1"/>
          <w:color w:val="auto"/>
        </w:rPr>
        <w:t>. “Controls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Procedures” </w:t>
      </w:r>
      <w:r>
        <w:rPr>
          <w:rFonts w:ascii="Arial" w:cs="Arial" w:eastAsia="Arial" w:hAnsi="Arial"/>
          <w:sz w:val="18"/>
          <w:szCs w:val="18"/>
          <w:color w:val="auto"/>
        </w:rPr>
        <w:t>in our Annual Report on Form 10-K for the year ended December 31, 2022. There were no changes in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(as defined in Rules 13a-15(f) and 15d-15(f) under the Exchange Act)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subject to various legal proceedings, claims, and governmental inspections, audits, or investigations that arise in the ordinary course of our business. We believe that the ultimate resolution of these matters would not be expected to have a material adverse effect on our business, financial condition, or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to the information set forth in this Quarterly Report on Form 10-Q, you should carefully consider the risk factors disclosed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our Annual Report on Form 10-K. There have been no material changes to our risk factors from those included in our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Purchases of Equity Securities by the Issuer or Affiliated Purchaser</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June 30, 2023, we repurchased approximately $10.0 million in shares of our common stock under our stock repurchase program, including transaction fees. The stock repurchase activity under our stock repurchase program during the three months ended June 30, 2023 was as follows:</w:t>
      </w:r>
    </w:p>
    <w:p>
      <w:pPr>
        <w:sectPr>
          <w:pgSz w:w="11900" w:h="16838" w:orient="portrait"/>
          <w:cols w:equalWidth="0" w:num="1">
            <w:col w:w="11240"/>
          </w:cols>
          <w:pgMar w:left="320" w:top="1440" w:right="339" w:bottom="1440" w:gutter="0" w:footer="0" w:header="0"/>
        </w:sectPr>
      </w:pPr>
    </w:p>
    <w:p>
      <w:pPr>
        <w:spacing w:after="0" w:line="39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Average</w:t>
      </w:r>
    </w:p>
    <w:p>
      <w:pPr>
        <w:spacing w:after="0" w:line="21" w:lineRule="exact"/>
        <w:rPr>
          <w:sz w:val="20"/>
          <w:szCs w:val="20"/>
          <w:color w:val="auto"/>
        </w:rPr>
      </w:pPr>
    </w:p>
    <w:p>
      <w:pPr>
        <w:ind w:left="4400"/>
        <w:spacing w:after="0"/>
        <w:tabs>
          <w:tab w:leader="none" w:pos="5920" w:val="left"/>
        </w:tabs>
        <w:rPr>
          <w:sz w:val="20"/>
          <w:szCs w:val="20"/>
          <w:color w:val="auto"/>
        </w:rPr>
      </w:pPr>
      <w:r>
        <w:rPr>
          <w:rFonts w:ascii="Arial" w:cs="Arial" w:eastAsia="Arial" w:hAnsi="Arial"/>
          <w:sz w:val="17"/>
          <w:szCs w:val="17"/>
          <w:color w:val="auto"/>
        </w:rPr>
        <w:t>Total number of</w:t>
      </w:r>
      <w:r>
        <w:rPr>
          <w:sz w:val="20"/>
          <w:szCs w:val="20"/>
          <w:color w:val="auto"/>
        </w:rPr>
        <w:tab/>
      </w:r>
      <w:r>
        <w:rPr>
          <w:rFonts w:ascii="Arial" w:cs="Arial" w:eastAsia="Arial" w:hAnsi="Arial"/>
          <w:sz w:val="15"/>
          <w:szCs w:val="15"/>
          <w:color w:val="auto"/>
        </w:rPr>
        <w:t>price paid</w:t>
      </w:r>
    </w:p>
    <w:p>
      <w:pPr>
        <w:spacing w:after="0" w:line="7" w:lineRule="exact"/>
        <w:rPr>
          <w:sz w:val="20"/>
          <w:szCs w:val="20"/>
          <w:color w:val="auto"/>
        </w:rPr>
      </w:pPr>
    </w:p>
    <w:p>
      <w:pPr>
        <w:ind w:left="4360"/>
        <w:spacing w:after="0"/>
        <w:tabs>
          <w:tab w:leader="none" w:pos="5940" w:val="left"/>
        </w:tabs>
        <w:rPr>
          <w:sz w:val="20"/>
          <w:szCs w:val="20"/>
          <w:color w:val="auto"/>
        </w:rPr>
      </w:pPr>
      <w:r>
        <w:rPr>
          <w:rFonts w:ascii="Arial" w:cs="Arial" w:eastAsia="Arial" w:hAnsi="Arial"/>
          <w:sz w:val="17"/>
          <w:szCs w:val="17"/>
          <w:color w:val="auto"/>
        </w:rPr>
        <w:t>shares purchased</w:t>
      </w:r>
      <w:r>
        <w:rPr>
          <w:sz w:val="20"/>
          <w:szCs w:val="20"/>
          <w:color w:val="auto"/>
        </w:rPr>
        <w:tab/>
      </w:r>
      <w:r>
        <w:rPr>
          <w:rFonts w:ascii="Arial" w:cs="Arial" w:eastAsia="Arial" w:hAnsi="Arial"/>
          <w:sz w:val="14"/>
          <w:szCs w:val="14"/>
          <w:color w:val="auto"/>
        </w:rPr>
        <w:t>per share</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Total number of shares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5"/>
          <w:szCs w:val="15"/>
          <w:color w:val="auto"/>
        </w:rPr>
        <w:t>purchased as part of publicly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announced plans or programs</w:t>
      </w:r>
    </w:p>
    <w:p>
      <w:pPr>
        <w:ind w:left="940"/>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-1747520</wp:posOffset>
            </wp:positionH>
            <wp:positionV relativeFrom="paragraph">
              <wp:posOffset>59690</wp:posOffset>
            </wp:positionV>
            <wp:extent cx="44405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20"/>
        <w:spacing w:after="0" w:line="288" w:lineRule="auto"/>
        <w:rPr>
          <w:sz w:val="20"/>
          <w:szCs w:val="20"/>
          <w:color w:val="auto"/>
        </w:rPr>
      </w:pPr>
      <w:r>
        <w:rPr>
          <w:rFonts w:ascii="Arial" w:cs="Arial" w:eastAsia="Arial" w:hAnsi="Arial"/>
          <w:sz w:val="15"/>
          <w:szCs w:val="15"/>
          <w:color w:val="auto"/>
        </w:rPr>
        <w:t>Approximate dollar value of shares that may yet be purchased under the plans or</w:t>
      </w:r>
    </w:p>
    <w:p>
      <w:pPr>
        <w:ind w:left="660"/>
        <w:spacing w:after="0"/>
        <w:rPr>
          <w:sz w:val="20"/>
          <w:szCs w:val="20"/>
          <w:color w:val="auto"/>
        </w:rPr>
      </w:pPr>
      <w:r>
        <w:rPr>
          <w:rFonts w:ascii="Arial" w:cs="Arial" w:eastAsia="Arial" w:hAnsi="Arial"/>
          <w:sz w:val="17"/>
          <w:szCs w:val="17"/>
          <w:color w:val="auto"/>
        </w:rPr>
        <w:t>programs</w:t>
      </w:r>
    </w:p>
    <w:p>
      <w:pPr>
        <w:spacing w:after="0" w:line="74" w:lineRule="exact"/>
        <w:rPr>
          <w:sz w:val="20"/>
          <w:szCs w:val="20"/>
          <w:color w:val="auto"/>
        </w:rPr>
      </w:pPr>
    </w:p>
    <w:p>
      <w:pPr>
        <w:sectPr>
          <w:pgSz w:w="11900" w:h="16838" w:orient="portrait"/>
          <w:cols w:equalWidth="0" w:num="3">
            <w:col w:w="6620" w:space="380"/>
            <w:col w:w="2020" w:space="220"/>
            <w:col w:w="2000"/>
          </w:cols>
          <w:pgMar w:left="320" w:top="1440" w:right="339" w:bottom="1440" w:gutter="0" w:footer="0" w:header="0"/>
          <w:type w:val="continuous"/>
        </w:sectPr>
      </w:pPr>
    </w:p>
    <w:p>
      <w:pPr>
        <w:ind w:left="5980"/>
        <w:spacing w:after="0"/>
        <w:rPr>
          <w:sz w:val="20"/>
          <w:szCs w:val="20"/>
          <w:color w:val="auto"/>
        </w:rPr>
      </w:pPr>
      <w:r>
        <w:rPr>
          <w:rFonts w:ascii="Arial" w:cs="Arial" w:eastAsia="Arial" w:hAnsi="Arial"/>
          <w:sz w:val="17"/>
          <w:szCs w:val="17"/>
          <w:i w:val="1"/>
          <w:iCs w:val="1"/>
          <w:color w:val="auto"/>
        </w:rPr>
        <w:t>(in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95" w:lineRule="exact"/>
        <w:rPr>
          <w:sz w:val="20"/>
          <w:szCs w:val="20"/>
          <w:color w:val="auto"/>
        </w:rPr>
      </w:pPr>
    </w:p>
    <w:p>
      <w:pPr>
        <w:ind w:left="20"/>
        <w:spacing w:after="0"/>
        <w:tabs>
          <w:tab w:leader="none" w:pos="5000" w:val="left"/>
          <w:tab w:leader="none" w:pos="5740" w:val="left"/>
          <w:tab w:leader="none" w:pos="6340" w:val="left"/>
          <w:tab w:leader="none" w:pos="8480" w:val="left"/>
          <w:tab w:leader="none" w:pos="9220" w:val="left"/>
          <w:tab w:leader="none" w:pos="10680" w:val="left"/>
        </w:tabs>
        <w:rPr>
          <w:sz w:val="20"/>
          <w:szCs w:val="20"/>
          <w:color w:val="auto"/>
        </w:rPr>
      </w:pPr>
      <w:r>
        <w:rPr>
          <w:rFonts w:ascii="Arial" w:cs="Arial" w:eastAsia="Arial" w:hAnsi="Arial"/>
          <w:sz w:val="17"/>
          <w:szCs w:val="17"/>
          <w:color w:val="auto"/>
        </w:rPr>
        <w:t>April 1, 2023 - April 30, 2023</w:t>
      </w:r>
      <w:r>
        <w:rPr>
          <w:sz w:val="20"/>
          <w:szCs w:val="20"/>
          <w:color w:val="auto"/>
        </w:rPr>
        <w:tab/>
      </w:r>
      <w:r>
        <w:rPr>
          <w:rFonts w:ascii="Arial" w:cs="Arial" w:eastAsia="Arial" w:hAnsi="Arial"/>
          <w:sz w:val="17"/>
          <w:szCs w:val="17"/>
          <w:color w:val="auto"/>
        </w:rPr>
        <w:t>904,075</w:t>
        <w:tab/>
        <w:t>$</w:t>
      </w:r>
      <w:r>
        <w:rPr>
          <w:sz w:val="20"/>
          <w:szCs w:val="20"/>
          <w:color w:val="auto"/>
        </w:rPr>
        <w:tab/>
      </w:r>
      <w:r>
        <w:rPr>
          <w:rFonts w:ascii="Arial" w:cs="Arial" w:eastAsia="Arial" w:hAnsi="Arial"/>
          <w:sz w:val="17"/>
          <w:szCs w:val="17"/>
          <w:color w:val="auto"/>
        </w:rPr>
        <w:t>11.10</w:t>
      </w:r>
      <w:r>
        <w:rPr>
          <w:sz w:val="20"/>
          <w:szCs w:val="20"/>
          <w:color w:val="auto"/>
        </w:rPr>
        <w:tab/>
      </w:r>
      <w:r>
        <w:rPr>
          <w:rFonts w:ascii="Arial" w:cs="Arial" w:eastAsia="Arial" w:hAnsi="Arial"/>
          <w:sz w:val="17"/>
          <w:szCs w:val="17"/>
          <w:color w:val="auto"/>
        </w:rPr>
        <w:t>904,075</w:t>
        <w:tab/>
        <w:t>$</w:t>
      </w:r>
      <w:r>
        <w:rPr>
          <w:sz w:val="20"/>
          <w:szCs w:val="20"/>
          <w:color w:val="auto"/>
        </w:rPr>
        <w:tab/>
      </w:r>
      <w:r>
        <w:rPr>
          <w:rFonts w:ascii="Arial" w:cs="Arial" w:eastAsia="Arial" w:hAnsi="Arial"/>
          <w:sz w:val="15"/>
          <w:szCs w:val="15"/>
          <w:color w:val="auto"/>
        </w:rPr>
        <w:t>17,533</w:t>
      </w:r>
    </w:p>
    <w:p>
      <w:pPr>
        <w:spacing w:after="0" w:line="375" w:lineRule="exact"/>
        <w:rPr>
          <w:sz w:val="20"/>
          <w:szCs w:val="20"/>
          <w:color w:val="auto"/>
        </w:rPr>
      </w:pPr>
    </w:p>
    <w:p>
      <w:pPr>
        <w:jc w:val="both"/>
        <w:ind w:left="660" w:hanging="328"/>
        <w:spacing w:after="0" w:line="288"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June 14, 2022, the Board of Directors of the Company approved the Repurchase Program with authorization to purchase up to $50.0 million in shares of the Company’s common stock through the expiration of the program on December 21, 2022. On November 7, 2022, our Board of Directors approved an expansion of the Repurchase Program with authorization to purchase up to an additional $50.0 million in shares of the Company’s common stock ($100.0 million total) and an extension to the expiration of the Repurchase Program through December 31, 2023. Repurchases under the program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Exchange Act. The Company may also, from time to time, enter into Rule 10b5-1 plans to facilitate repurchases of its shares under this authorization. This program does not obligate the Company to acquire any particular amount of common stock and may be modified, suspended or terminated at any time at the discretion of its board of directors. The Company expects to fund repurchases with existing cash on hand.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three months ended June 30, 2023,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ind w:left="320"/>
              <w:spacing w:after="0"/>
              <w:rPr>
                <w:sz w:val="20"/>
                <w:szCs w:val="20"/>
                <w:color w:val="auto"/>
              </w:rPr>
            </w:pPr>
            <w:r>
              <w:rPr>
                <w:rFonts w:ascii="Arial" w:cs="Arial" w:eastAsia="Arial" w:hAnsi="Arial"/>
                <w:sz w:val="16"/>
                <w:szCs w:val="16"/>
                <w:b w:val="1"/>
                <w:bCs w:val="1"/>
                <w:color w:val="auto"/>
                <w:w w:val="94"/>
              </w:rPr>
              <w:t>Incorporated by Reference</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Filed/</w:t>
            </w:r>
          </w:p>
        </w:tc>
        <w:tc>
          <w:tcPr>
            <w:tcW w:w="0" w:type="dxa"/>
            <w:vAlign w:val="bottom"/>
          </w:tcPr>
          <w:p>
            <w:pPr>
              <w:spacing w:after="0"/>
              <w:rPr>
                <w:sz w:val="1"/>
                <w:szCs w:val="1"/>
                <w:color w:val="auto"/>
              </w:rPr>
            </w:pPr>
          </w:p>
        </w:tc>
      </w:tr>
      <w:tr>
        <w:trPr>
          <w:trHeight w:val="212"/>
        </w:trPr>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b w:val="1"/>
                <w:bCs w:val="1"/>
                <w:color w:val="auto"/>
              </w:rPr>
              <w:t>Filing</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Furnished</w:t>
            </w:r>
          </w:p>
        </w:tc>
        <w:tc>
          <w:tcPr>
            <w:tcW w:w="0" w:type="dxa"/>
            <w:vAlign w:val="bottom"/>
          </w:tcPr>
          <w:p>
            <w:pPr>
              <w:spacing w:after="0"/>
              <w:rPr>
                <w:sz w:val="1"/>
                <w:szCs w:val="1"/>
                <w:color w:val="auto"/>
              </w:rPr>
            </w:pPr>
          </w:p>
        </w:tc>
      </w:tr>
      <w:tr>
        <w:trPr>
          <w:trHeight w:val="223"/>
        </w:trPr>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4820" w:type="dxa"/>
            <w:vAlign w:val="bottom"/>
            <w:gridSpan w:val="10"/>
          </w:tcPr>
          <w:p>
            <w:pPr>
              <w:spacing w:after="0"/>
              <w:rPr>
                <w:sz w:val="20"/>
                <w:szCs w:val="20"/>
                <w:color w:val="auto"/>
              </w:rPr>
            </w:pPr>
            <w:r>
              <w:rPr>
                <w:rFonts w:ascii="Arial" w:cs="Arial" w:eastAsia="Arial" w:hAnsi="Arial"/>
                <w:sz w:val="16"/>
                <w:szCs w:val="16"/>
                <w:b w:val="1"/>
                <w:bCs w:val="1"/>
                <w:color w:val="auto"/>
              </w:rPr>
              <w:t>Exhibit Description</w:t>
            </w:r>
          </w:p>
        </w:tc>
        <w:tc>
          <w:tcPr>
            <w:tcW w:w="100" w:type="dxa"/>
            <w:vAlign w:val="bottom"/>
          </w:tcPr>
          <w:p>
            <w:pPr>
              <w:spacing w:after="0"/>
              <w:rPr>
                <w:sz w:val="19"/>
                <w:szCs w:val="19"/>
                <w:color w:val="auto"/>
              </w:rPr>
            </w:pPr>
          </w:p>
        </w:tc>
        <w:tc>
          <w:tcPr>
            <w:tcW w:w="660" w:type="dxa"/>
            <w:vAlign w:val="bottom"/>
          </w:tcPr>
          <w:p>
            <w:pPr>
              <w:ind w:left="140"/>
              <w:spacing w:after="0"/>
              <w:rPr>
                <w:sz w:val="20"/>
                <w:szCs w:val="20"/>
                <w:color w:val="auto"/>
              </w:rPr>
            </w:pPr>
            <w:r>
              <w:rPr>
                <w:rFonts w:ascii="Arial" w:cs="Arial" w:eastAsia="Arial" w:hAnsi="Arial"/>
                <w:sz w:val="16"/>
                <w:szCs w:val="16"/>
                <w:b w:val="1"/>
                <w:bCs w:val="1"/>
                <w:color w:val="auto"/>
              </w:rPr>
              <w:t>Form</w:t>
            </w:r>
          </w:p>
        </w:tc>
        <w:tc>
          <w:tcPr>
            <w:tcW w:w="100" w:type="dxa"/>
            <w:vAlign w:val="bottom"/>
          </w:tcPr>
          <w:p>
            <w:pPr>
              <w:spacing w:after="0"/>
              <w:rPr>
                <w:sz w:val="19"/>
                <w:szCs w:val="19"/>
                <w:color w:val="auto"/>
              </w:rPr>
            </w:pPr>
          </w:p>
        </w:tc>
        <w:tc>
          <w:tcPr>
            <w:tcW w:w="1200" w:type="dxa"/>
            <w:vAlign w:val="bottom"/>
          </w:tcPr>
          <w:p>
            <w:pPr>
              <w:ind w:left="320"/>
              <w:spacing w:after="0"/>
              <w:rPr>
                <w:sz w:val="20"/>
                <w:szCs w:val="20"/>
                <w:color w:val="auto"/>
              </w:rPr>
            </w:pPr>
            <w:r>
              <w:rPr>
                <w:rFonts w:ascii="Arial" w:cs="Arial" w:eastAsia="Arial" w:hAnsi="Arial"/>
                <w:sz w:val="16"/>
                <w:szCs w:val="16"/>
                <w:b w:val="1"/>
                <w:bCs w:val="1"/>
                <w:color w:val="auto"/>
              </w:rPr>
              <w:t>File No.</w:t>
            </w:r>
          </w:p>
        </w:tc>
        <w:tc>
          <w:tcPr>
            <w:tcW w:w="8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Date</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Herewith</w:t>
            </w:r>
          </w:p>
        </w:tc>
        <w:tc>
          <w:tcPr>
            <w:tcW w:w="0" w:type="dxa"/>
            <w:vAlign w:val="bottom"/>
          </w:tcPr>
          <w:p>
            <w:pPr>
              <w:spacing w:after="0"/>
              <w:rPr>
                <w:sz w:val="1"/>
                <w:szCs w:val="1"/>
                <w:color w:val="auto"/>
              </w:rPr>
            </w:pPr>
          </w:p>
        </w:tc>
      </w:tr>
      <w:tr>
        <w:trPr>
          <w:trHeight w:val="270"/>
        </w:trPr>
        <w:tc>
          <w:tcPr>
            <w:tcW w:w="96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0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w:t>
            </w:r>
          </w:p>
        </w:tc>
        <w:tc>
          <w:tcPr>
            <w:tcW w:w="140" w:type="dxa"/>
            <w:vAlign w:val="bottom"/>
            <w:tcBorders>
              <w:right w:val="single" w:sz="8" w:color="CCEEFF"/>
            </w:tcBorders>
            <w:shd w:val="clear" w:color="auto" w:fill="CCEEFF"/>
          </w:tcPr>
          <w:p>
            <w:pPr>
              <w:spacing w:after="0"/>
              <w:rPr>
                <w:sz w:val="16"/>
                <w:szCs w:val="16"/>
                <w:color w:val="auto"/>
              </w:rPr>
            </w:pPr>
          </w:p>
        </w:tc>
        <w:tc>
          <w:tcPr>
            <w:tcW w:w="4820" w:type="dxa"/>
            <w:vAlign w:val="bottom"/>
            <w:tcBorders>
              <w:right w:val="single" w:sz="8" w:color="CCEEFF"/>
            </w:tcBorders>
            <w:gridSpan w:val="10"/>
            <w:shd w:val="clear" w:color="auto" w:fill="CCEEFF"/>
          </w:tcPr>
          <w:p>
            <w:pPr>
              <w:spacing w:after="0"/>
              <w:rPr>
                <w:rFonts w:ascii="Arial" w:cs="Arial" w:eastAsia="Arial" w:hAnsi="Arial"/>
                <w:sz w:val="16"/>
                <w:szCs w:val="16"/>
                <w:color w:val="0000FF"/>
                <w:w w:val="92"/>
              </w:rPr>
            </w:pPr>
            <w:hyperlink r:id="rId90">
              <w:r>
                <w:rPr>
                  <w:rFonts w:ascii="Arial" w:cs="Arial" w:eastAsia="Arial" w:hAnsi="Arial"/>
                  <w:sz w:val="16"/>
                  <w:szCs w:val="16"/>
                  <w:color w:val="0000FF"/>
                  <w:w w:val="92"/>
                </w:rPr>
                <w:t>Amended and Restated Certificate of Incorporation of EverCommerce Inc</w:t>
              </w:r>
            </w:hyperlink>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8-K</w:t>
            </w:r>
          </w:p>
        </w:tc>
        <w:tc>
          <w:tcPr>
            <w:tcW w:w="1300" w:type="dxa"/>
            <w:vAlign w:val="bottom"/>
            <w:gridSpan w:val="2"/>
            <w:shd w:val="clear" w:color="auto" w:fill="CCEEFF"/>
          </w:tcPr>
          <w:p>
            <w:pPr>
              <w:jc w:val="right"/>
              <w:ind w:right="399"/>
              <w:spacing w:after="0"/>
              <w:rPr>
                <w:sz w:val="20"/>
                <w:szCs w:val="20"/>
                <w:color w:val="auto"/>
              </w:rPr>
            </w:pPr>
            <w:r>
              <w:rPr>
                <w:rFonts w:ascii="Arial" w:cs="Arial" w:eastAsia="Arial" w:hAnsi="Arial"/>
                <w:sz w:val="16"/>
                <w:szCs w:val="16"/>
                <w:color w:val="auto"/>
              </w:rPr>
              <w:t>001-40575</w:t>
            </w:r>
          </w:p>
        </w:tc>
        <w:tc>
          <w:tcPr>
            <w:tcW w:w="960" w:type="dxa"/>
            <w:vAlign w:val="bottom"/>
            <w:gridSpan w:val="2"/>
            <w:shd w:val="clear" w:color="auto" w:fill="CCEEFF"/>
          </w:tcPr>
          <w:p>
            <w:pPr>
              <w:jc w:val="right"/>
              <w:ind w:right="55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93"/>
              </w:rPr>
              <w:t>7/9/2021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9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right w:val="single" w:sz="8" w:color="CCEEFF"/>
            </w:tcBorders>
            <w:shd w:val="clear" w:color="auto" w:fill="CCEEFF"/>
          </w:tcPr>
          <w:p>
            <w:pPr>
              <w:spacing w:after="0"/>
              <w:rPr>
                <w:sz w:val="2"/>
                <w:szCs w:val="2"/>
                <w:color w:val="auto"/>
              </w:rPr>
            </w:pPr>
          </w:p>
        </w:tc>
        <w:tc>
          <w:tcPr>
            <w:tcW w:w="140" w:type="dxa"/>
            <w:vAlign w:val="bottom"/>
            <w:tcBorders>
              <w:top w:val="single" w:sz="8" w:color="0000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6"/>
                <w:szCs w:val="16"/>
                <w:color w:val="auto"/>
              </w:rPr>
            </w:pPr>
          </w:p>
        </w:tc>
        <w:tc>
          <w:tcPr>
            <w:tcW w:w="4820" w:type="dxa"/>
            <w:vAlign w:val="bottom"/>
            <w:gridSpan w:val="10"/>
          </w:tcPr>
          <w:p>
            <w:pPr>
              <w:spacing w:after="0"/>
              <w:rPr>
                <w:rFonts w:ascii="Arial" w:cs="Arial" w:eastAsia="Arial" w:hAnsi="Arial"/>
                <w:sz w:val="16"/>
                <w:szCs w:val="16"/>
                <w:color w:val="0000FF"/>
              </w:rPr>
            </w:pPr>
            <w:hyperlink r:id="rId91">
              <w:r>
                <w:rPr>
                  <w:rFonts w:ascii="Arial" w:cs="Arial" w:eastAsia="Arial" w:hAnsi="Arial"/>
                  <w:sz w:val="16"/>
                  <w:szCs w:val="16"/>
                  <w:color w:val="0000FF"/>
                </w:rPr>
                <w:t>Amended and Restated Bylaws of EverCommerce Inc</w:t>
              </w:r>
            </w:hyperlink>
          </w:p>
        </w:tc>
        <w:tc>
          <w:tcPr>
            <w:tcW w:w="10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8-K</w:t>
            </w:r>
          </w:p>
        </w:tc>
        <w:tc>
          <w:tcPr>
            <w:tcW w:w="1300" w:type="dxa"/>
            <w:vAlign w:val="bottom"/>
            <w:gridSpan w:val="2"/>
          </w:tcPr>
          <w:p>
            <w:pPr>
              <w:jc w:val="right"/>
              <w:ind w:right="399"/>
              <w:spacing w:after="0"/>
              <w:rPr>
                <w:sz w:val="20"/>
                <w:szCs w:val="20"/>
                <w:color w:val="auto"/>
              </w:rPr>
            </w:pPr>
            <w:r>
              <w:rPr>
                <w:rFonts w:ascii="Arial" w:cs="Arial" w:eastAsia="Arial" w:hAnsi="Arial"/>
                <w:sz w:val="16"/>
                <w:szCs w:val="16"/>
                <w:color w:val="auto"/>
              </w:rPr>
              <w:t>001-40575</w:t>
            </w:r>
          </w:p>
        </w:tc>
        <w:tc>
          <w:tcPr>
            <w:tcW w:w="960" w:type="dxa"/>
            <w:vAlign w:val="bottom"/>
            <w:gridSpan w:val="2"/>
          </w:tcPr>
          <w:p>
            <w:pPr>
              <w:jc w:val="right"/>
              <w:ind w:right="55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6"/>
                <w:szCs w:val="16"/>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w w:val="93"/>
              </w:rPr>
              <w:t>7/9/2021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140" w:type="dxa"/>
            <w:vAlign w:val="bottom"/>
            <w:tcBorders>
              <w:right w:val="single" w:sz="8" w:color="BFE4FF"/>
            </w:tcBorders>
            <w:shd w:val="clear" w:color="auto" w:fill="CCEEFF"/>
          </w:tcPr>
          <w:p>
            <w:pPr>
              <w:spacing w:after="0"/>
              <w:rPr>
                <w:sz w:val="16"/>
                <w:szCs w:val="16"/>
                <w:color w:val="auto"/>
              </w:rPr>
            </w:pPr>
          </w:p>
        </w:tc>
        <w:tc>
          <w:tcPr>
            <w:tcW w:w="4820" w:type="dxa"/>
            <w:vAlign w:val="bottom"/>
            <w:tcBorders>
              <w:right w:val="single" w:sz="8" w:color="BFE4FF"/>
            </w:tcBorders>
            <w:gridSpan w:val="10"/>
            <w:shd w:val="clear" w:color="auto" w:fill="BFE4FF"/>
          </w:tcPr>
          <w:p>
            <w:pPr>
              <w:spacing w:after="0"/>
              <w:rPr>
                <w:sz w:val="20"/>
                <w:szCs w:val="20"/>
                <w:color w:val="auto"/>
              </w:rPr>
            </w:pPr>
            <w:r>
              <w:rPr>
                <w:rFonts w:ascii="Arial" w:cs="Arial" w:eastAsia="Arial" w:hAnsi="Arial"/>
                <w:sz w:val="16"/>
                <w:szCs w:val="16"/>
                <w:color w:val="0000FF"/>
                <w:w w:val="94"/>
              </w:rPr>
              <w:t>Amendment No. 2, dated as of June 26, 2023, to the Credit Agreement,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right w:val="single" w:sz="8" w:color="BFE4FF"/>
            </w:tcBorders>
            <w:shd w:val="clear" w:color="auto" w:fill="CCEEFF"/>
          </w:tcPr>
          <w:p>
            <w:pPr>
              <w:spacing w:after="0"/>
              <w:rPr>
                <w:sz w:val="15"/>
                <w:szCs w:val="15"/>
                <w:color w:val="auto"/>
              </w:rPr>
            </w:pPr>
          </w:p>
        </w:tc>
        <w:tc>
          <w:tcPr>
            <w:tcW w:w="4280" w:type="dxa"/>
            <w:vAlign w:val="bottom"/>
            <w:tcBorders>
              <w:top w:val="single" w:sz="8" w:color="0000FF"/>
              <w:bottom w:val="single" w:sz="8" w:color="0000FF"/>
            </w:tcBorders>
            <w:gridSpan w:val="5"/>
            <w:shd w:val="clear" w:color="auto" w:fill="BFE4FF"/>
          </w:tcPr>
          <w:p>
            <w:pPr>
              <w:spacing w:after="0" w:line="183" w:lineRule="exact"/>
              <w:rPr>
                <w:sz w:val="20"/>
                <w:szCs w:val="20"/>
                <w:color w:val="auto"/>
              </w:rPr>
            </w:pPr>
            <w:r>
              <w:rPr>
                <w:rFonts w:ascii="Arial" w:cs="Arial" w:eastAsia="Arial" w:hAnsi="Arial"/>
                <w:sz w:val="16"/>
                <w:szCs w:val="16"/>
                <w:color w:val="0000FF"/>
                <w:w w:val="90"/>
              </w:rPr>
              <w:t>dated as of July 6, 2021, among EverCommerce Intermediate Inc.,</w:t>
            </w:r>
          </w:p>
        </w:tc>
        <w:tc>
          <w:tcPr>
            <w:tcW w:w="300" w:type="dxa"/>
            <w:vAlign w:val="bottom"/>
            <w:tcBorders>
              <w:top w:val="single" w:sz="8" w:color="0000FF"/>
              <w:bottom w:val="single" w:sz="8" w:color="BFE4FF"/>
            </w:tcBorders>
            <w:gridSpan w:val="3"/>
            <w:shd w:val="clear" w:color="auto" w:fill="BFE4FF"/>
          </w:tcPr>
          <w:p>
            <w:pPr>
              <w:spacing w:after="0"/>
              <w:rPr>
                <w:sz w:val="15"/>
                <w:szCs w:val="15"/>
                <w:color w:val="auto"/>
              </w:rPr>
            </w:pPr>
          </w:p>
        </w:tc>
        <w:tc>
          <w:tcPr>
            <w:tcW w:w="240" w:type="dxa"/>
            <w:vAlign w:val="bottom"/>
            <w:tcBorders>
              <w:top w:val="single" w:sz="8" w:color="BFE4FF"/>
              <w:bottom w:val="single" w:sz="8" w:color="BFE4FF"/>
              <w:right w:val="single" w:sz="8" w:color="BFE4FF"/>
            </w:tcBorders>
            <w:gridSpan w:val="2"/>
            <w:shd w:val="clear" w:color="auto" w:fill="BFE4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shd w:val="clear" w:color="auto" w:fill="CCEEFF"/>
          </w:tcPr>
          <w:p>
            <w:pPr>
              <w:spacing w:after="0"/>
              <w:rPr>
                <w:sz w:val="14"/>
                <w:szCs w:val="14"/>
                <w:color w:val="auto"/>
              </w:rPr>
            </w:pPr>
          </w:p>
        </w:tc>
        <w:tc>
          <w:tcPr>
            <w:tcW w:w="140" w:type="dxa"/>
            <w:vAlign w:val="bottom"/>
            <w:tcBorders>
              <w:right w:val="single" w:sz="8" w:color="BFE4FF"/>
            </w:tcBorders>
            <w:shd w:val="clear" w:color="auto" w:fill="CCEEFF"/>
          </w:tcPr>
          <w:p>
            <w:pPr>
              <w:spacing w:after="0"/>
              <w:rPr>
                <w:sz w:val="14"/>
                <w:szCs w:val="14"/>
                <w:color w:val="auto"/>
              </w:rPr>
            </w:pPr>
          </w:p>
        </w:tc>
        <w:tc>
          <w:tcPr>
            <w:tcW w:w="4820" w:type="dxa"/>
            <w:vAlign w:val="bottom"/>
            <w:tcBorders>
              <w:right w:val="single" w:sz="8" w:color="BFE4FF"/>
            </w:tcBorders>
            <w:gridSpan w:val="10"/>
            <w:shd w:val="clear" w:color="auto" w:fill="BFE4FF"/>
          </w:tcPr>
          <w:p>
            <w:pPr>
              <w:spacing w:after="0" w:line="169" w:lineRule="exact"/>
              <w:rPr>
                <w:sz w:val="20"/>
                <w:szCs w:val="20"/>
                <w:color w:val="auto"/>
              </w:rPr>
            </w:pPr>
            <w:r>
              <w:rPr>
                <w:rFonts w:ascii="Arial" w:cs="Arial" w:eastAsia="Arial" w:hAnsi="Arial"/>
                <w:sz w:val="16"/>
                <w:szCs w:val="16"/>
                <w:color w:val="0000FF"/>
                <w:w w:val="93"/>
              </w:rPr>
              <w:t>EverCommerce Solutions Inc., Royal Bank of Canada, as administrative</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CCEEFF"/>
          </w:tcPr>
          <w:p>
            <w:pPr>
              <w:spacing w:after="0" w:line="20" w:lineRule="exact"/>
              <w:rPr>
                <w:sz w:val="1"/>
                <w:szCs w:val="1"/>
                <w:color w:val="auto"/>
              </w:rPr>
            </w:pPr>
          </w:p>
        </w:tc>
        <w:tc>
          <w:tcPr>
            <w:tcW w:w="140" w:type="dxa"/>
            <w:vAlign w:val="bottom"/>
            <w:tcBorders>
              <w:right w:val="single" w:sz="8" w:color="0000FF"/>
            </w:tcBorders>
            <w:shd w:val="clear" w:color="auto" w:fill="CCEE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BFE4FF"/>
            </w:tcBorders>
            <w:shd w:val="clear" w:color="auto" w:fill="BFE4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10.1</w:t>
            </w:r>
          </w:p>
        </w:tc>
        <w:tc>
          <w:tcPr>
            <w:tcW w:w="140" w:type="dxa"/>
            <w:vAlign w:val="bottom"/>
            <w:tcBorders>
              <w:right w:val="single" w:sz="8" w:color="BFE4FF"/>
            </w:tcBorders>
            <w:shd w:val="clear" w:color="auto" w:fill="CCEEFF"/>
          </w:tcPr>
          <w:p>
            <w:pPr>
              <w:spacing w:after="0"/>
              <w:rPr>
                <w:sz w:val="15"/>
                <w:szCs w:val="15"/>
                <w:color w:val="auto"/>
              </w:rPr>
            </w:pPr>
          </w:p>
        </w:tc>
        <w:tc>
          <w:tcPr>
            <w:tcW w:w="4820" w:type="dxa"/>
            <w:vAlign w:val="bottom"/>
            <w:tcBorders>
              <w:right w:val="single" w:sz="8" w:color="BFE4FF"/>
            </w:tcBorders>
            <w:gridSpan w:val="10"/>
            <w:shd w:val="clear" w:color="auto" w:fill="BFE4FF"/>
          </w:tcPr>
          <w:p>
            <w:pPr>
              <w:spacing w:after="0" w:line="183" w:lineRule="exact"/>
              <w:rPr>
                <w:sz w:val="20"/>
                <w:szCs w:val="20"/>
                <w:color w:val="auto"/>
              </w:rPr>
            </w:pPr>
            <w:r>
              <w:rPr>
                <w:rFonts w:ascii="Arial" w:cs="Arial" w:eastAsia="Arial" w:hAnsi="Arial"/>
                <w:sz w:val="16"/>
                <w:szCs w:val="16"/>
                <w:color w:val="0000FF"/>
                <w:w w:val="91"/>
              </w:rPr>
              <w:t>agent and collateral agent, and the other parties and lenders party thereto</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9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BFE4FF"/>
            </w:tcBorders>
            <w:shd w:val="clear" w:color="auto" w:fill="CCEEFF"/>
          </w:tcPr>
          <w:p>
            <w:pPr>
              <w:spacing w:after="0"/>
              <w:rPr>
                <w:sz w:val="2"/>
                <w:szCs w:val="2"/>
                <w:color w:val="auto"/>
              </w:rPr>
            </w:pPr>
          </w:p>
        </w:tc>
        <w:tc>
          <w:tcPr>
            <w:tcW w:w="140" w:type="dxa"/>
            <w:vAlign w:val="bottom"/>
            <w:tcBorders>
              <w:top w:val="single" w:sz="8" w:color="0000FF"/>
            </w:tcBorders>
            <w:shd w:val="clear" w:color="auto" w:fill="BFE4FF"/>
          </w:tcPr>
          <w:p>
            <w:pPr>
              <w:spacing w:after="0"/>
              <w:rPr>
                <w:sz w:val="2"/>
                <w:szCs w:val="2"/>
                <w:color w:val="auto"/>
              </w:rPr>
            </w:pPr>
          </w:p>
        </w:tc>
        <w:tc>
          <w:tcPr>
            <w:tcW w:w="320" w:type="dxa"/>
            <w:vAlign w:val="bottom"/>
            <w:tcBorders>
              <w:top w:val="single" w:sz="8" w:color="0000FF"/>
            </w:tcBorders>
            <w:shd w:val="clear" w:color="auto" w:fill="BFE4FF"/>
          </w:tcPr>
          <w:p>
            <w:pPr>
              <w:spacing w:after="0"/>
              <w:rPr>
                <w:sz w:val="2"/>
                <w:szCs w:val="2"/>
                <w:color w:val="auto"/>
              </w:rPr>
            </w:pPr>
          </w:p>
        </w:tc>
        <w:tc>
          <w:tcPr>
            <w:tcW w:w="20" w:type="dxa"/>
            <w:vAlign w:val="bottom"/>
            <w:tcBorders>
              <w:top w:val="single" w:sz="8" w:color="0000FF"/>
            </w:tcBorders>
            <w:shd w:val="clear" w:color="auto" w:fill="BFE4FF"/>
          </w:tcPr>
          <w:p>
            <w:pPr>
              <w:spacing w:after="0"/>
              <w:rPr>
                <w:sz w:val="2"/>
                <w:szCs w:val="2"/>
                <w:color w:val="auto"/>
              </w:rPr>
            </w:pPr>
          </w:p>
        </w:tc>
        <w:tc>
          <w:tcPr>
            <w:tcW w:w="3000" w:type="dxa"/>
            <w:vAlign w:val="bottom"/>
            <w:tcBorders>
              <w:top w:val="single" w:sz="8" w:color="0000FF"/>
            </w:tcBorders>
            <w:shd w:val="clear" w:color="auto" w:fill="BFE4FF"/>
          </w:tcPr>
          <w:p>
            <w:pPr>
              <w:spacing w:after="0"/>
              <w:rPr>
                <w:sz w:val="2"/>
                <w:szCs w:val="2"/>
                <w:color w:val="auto"/>
              </w:rPr>
            </w:pPr>
          </w:p>
        </w:tc>
        <w:tc>
          <w:tcPr>
            <w:tcW w:w="800" w:type="dxa"/>
            <w:vAlign w:val="bottom"/>
            <w:tcBorders>
              <w:top w:val="single" w:sz="8" w:color="0000FF"/>
            </w:tcBorders>
            <w:shd w:val="clear" w:color="auto" w:fill="BFE4FF"/>
          </w:tcPr>
          <w:p>
            <w:pPr>
              <w:spacing w:after="0"/>
              <w:rPr>
                <w:sz w:val="2"/>
                <w:szCs w:val="2"/>
                <w:color w:val="auto"/>
              </w:rPr>
            </w:pPr>
          </w:p>
        </w:tc>
        <w:tc>
          <w:tcPr>
            <w:tcW w:w="200" w:type="dxa"/>
            <w:vAlign w:val="bottom"/>
            <w:tcBorders>
              <w:top w:val="single" w:sz="8" w:color="0000FF"/>
            </w:tcBorders>
            <w:shd w:val="clear" w:color="auto" w:fill="BFE4FF"/>
          </w:tcPr>
          <w:p>
            <w:pPr>
              <w:spacing w:after="0"/>
              <w:rPr>
                <w:sz w:val="2"/>
                <w:szCs w:val="2"/>
                <w:color w:val="auto"/>
              </w:rPr>
            </w:pPr>
          </w:p>
        </w:tc>
        <w:tc>
          <w:tcPr>
            <w:tcW w:w="40" w:type="dxa"/>
            <w:vAlign w:val="bottom"/>
            <w:tcBorders>
              <w:top w:val="single" w:sz="8" w:color="0000FF"/>
            </w:tcBorders>
            <w:shd w:val="clear" w:color="auto" w:fill="BFE4FF"/>
          </w:tcPr>
          <w:p>
            <w:pPr>
              <w:spacing w:after="0"/>
              <w:rPr>
                <w:sz w:val="2"/>
                <w:szCs w:val="2"/>
                <w:color w:val="auto"/>
              </w:rPr>
            </w:pPr>
          </w:p>
        </w:tc>
        <w:tc>
          <w:tcPr>
            <w:tcW w:w="60" w:type="dxa"/>
            <w:vAlign w:val="bottom"/>
            <w:tcBorders>
              <w:top w:val="single" w:sz="8" w:color="0000FF"/>
            </w:tcBorders>
            <w:shd w:val="clear" w:color="auto" w:fill="BFE4FF"/>
          </w:tcPr>
          <w:p>
            <w:pPr>
              <w:spacing w:after="0"/>
              <w:rPr>
                <w:sz w:val="2"/>
                <w:szCs w:val="2"/>
                <w:color w:val="auto"/>
              </w:rPr>
            </w:pPr>
          </w:p>
        </w:tc>
        <w:tc>
          <w:tcPr>
            <w:tcW w:w="100" w:type="dxa"/>
            <w:vAlign w:val="bottom"/>
            <w:tcBorders>
              <w:top w:val="single" w:sz="8" w:color="0000FF"/>
              <w:right w:val="single" w:sz="8" w:color="BFE4FF"/>
            </w:tcBorders>
            <w:shd w:val="clear" w:color="auto" w:fill="BFE4FF"/>
          </w:tcPr>
          <w:p>
            <w:pPr>
              <w:spacing w:after="0"/>
              <w:rPr>
                <w:sz w:val="2"/>
                <w:szCs w:val="2"/>
                <w:color w:val="auto"/>
              </w:rPr>
            </w:pPr>
          </w:p>
        </w:tc>
        <w:tc>
          <w:tcPr>
            <w:tcW w:w="140" w:type="dxa"/>
            <w:vAlign w:val="bottom"/>
            <w:tcBorders>
              <w:top w:val="single" w:sz="8" w:color="BFE4FF"/>
              <w:right w:val="single" w:sz="8" w:color="BFE4FF"/>
            </w:tcBorders>
            <w:shd w:val="clear" w:color="auto" w:fill="BFE4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16"/>
                <w:szCs w:val="16"/>
                <w:color w:val="auto"/>
              </w:rPr>
            </w:pPr>
          </w:p>
        </w:tc>
        <w:tc>
          <w:tcPr>
            <w:tcW w:w="4820" w:type="dxa"/>
            <w:vAlign w:val="bottom"/>
            <w:gridSpan w:val="10"/>
          </w:tcPr>
          <w:p>
            <w:pPr>
              <w:spacing w:after="0"/>
              <w:rPr>
                <w:sz w:val="20"/>
                <w:szCs w:val="20"/>
                <w:color w:val="auto"/>
              </w:rPr>
            </w:pPr>
            <w:r>
              <w:rPr>
                <w:rFonts w:ascii="Arial" w:cs="Arial" w:eastAsia="Arial" w:hAnsi="Arial"/>
                <w:sz w:val="16"/>
                <w:szCs w:val="16"/>
                <w:color w:val="0000FF"/>
                <w:w w:val="95"/>
              </w:rPr>
              <w:t>Certification of Chief Executive Officer pursuant to Rule 13a-14(a)/15d-</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680" w:type="dxa"/>
            <w:vAlign w:val="bottom"/>
            <w:tcBorders>
              <w:top w:val="single" w:sz="8" w:color="0000FF"/>
            </w:tcBorders>
            <w:gridSpan w:val="9"/>
          </w:tcPr>
          <w:p>
            <w:pPr>
              <w:ind w:left="140"/>
              <w:spacing w:after="0" w:line="169" w:lineRule="exact"/>
              <w:rPr>
                <w:sz w:val="20"/>
                <w:szCs w:val="20"/>
                <w:color w:val="auto"/>
              </w:rPr>
            </w:pPr>
            <w:r>
              <w:rPr>
                <w:rFonts w:ascii="Arial" w:cs="Arial" w:eastAsia="Arial" w:hAnsi="Arial"/>
                <w:sz w:val="16"/>
                <w:szCs w:val="16"/>
                <w:color w:val="0000FF"/>
              </w:rPr>
              <w:t>14(a)</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31.2</w:t>
            </w:r>
          </w:p>
        </w:tc>
        <w:tc>
          <w:tcPr>
            <w:tcW w:w="140" w:type="dxa"/>
            <w:vAlign w:val="bottom"/>
            <w:tcBorders>
              <w:right w:val="single" w:sz="8" w:color="CCEEFF"/>
            </w:tcBorders>
            <w:shd w:val="clear" w:color="auto" w:fill="CCEEFF"/>
          </w:tcPr>
          <w:p>
            <w:pPr>
              <w:spacing w:after="0"/>
              <w:rPr>
                <w:sz w:val="16"/>
                <w:szCs w:val="16"/>
                <w:color w:val="auto"/>
              </w:rPr>
            </w:pPr>
          </w:p>
        </w:tc>
        <w:tc>
          <w:tcPr>
            <w:tcW w:w="4820" w:type="dxa"/>
            <w:vAlign w:val="bottom"/>
            <w:tcBorders>
              <w:right w:val="single" w:sz="8" w:color="CCEEFF"/>
            </w:tcBorders>
            <w:gridSpan w:val="10"/>
            <w:shd w:val="clear" w:color="auto" w:fill="CCEEFF"/>
          </w:tcPr>
          <w:p>
            <w:pPr>
              <w:spacing w:after="0"/>
              <w:rPr>
                <w:sz w:val="20"/>
                <w:szCs w:val="20"/>
                <w:color w:val="auto"/>
              </w:rPr>
            </w:pPr>
            <w:r>
              <w:rPr>
                <w:rFonts w:ascii="Arial" w:cs="Arial" w:eastAsia="Arial" w:hAnsi="Arial"/>
                <w:sz w:val="16"/>
                <w:szCs w:val="16"/>
                <w:color w:val="0000FF"/>
                <w:w w:val="96"/>
              </w:rPr>
              <w:t>Certification of Chief Financial Officer pursuant to Rule 13a-14(a)/15d-</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960" w:type="dxa"/>
            <w:vAlign w:val="bottom"/>
            <w:tcBorders>
              <w:top w:val="single" w:sz="8" w:color="CCEEFF"/>
            </w:tcBorders>
            <w:vMerge w:val="continue"/>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4680" w:type="dxa"/>
            <w:vAlign w:val="bottom"/>
            <w:tcBorders>
              <w:top w:val="single" w:sz="8" w:color="0000FF"/>
              <w:right w:val="single" w:sz="8" w:color="CCEEFF"/>
            </w:tcBorders>
            <w:gridSpan w:val="9"/>
            <w:shd w:val="clear" w:color="auto" w:fill="CCEEFF"/>
          </w:tcPr>
          <w:p>
            <w:pPr>
              <w:ind w:left="140"/>
              <w:spacing w:after="0" w:line="169" w:lineRule="exact"/>
              <w:rPr>
                <w:sz w:val="20"/>
                <w:szCs w:val="20"/>
                <w:color w:val="auto"/>
              </w:rPr>
            </w:pPr>
            <w:r>
              <w:rPr>
                <w:rFonts w:ascii="Arial" w:cs="Arial" w:eastAsia="Arial" w:hAnsi="Arial"/>
                <w:sz w:val="16"/>
                <w:szCs w:val="16"/>
                <w:color w:val="0000FF"/>
              </w:rPr>
              <w:t>14(a)</w:t>
            </w: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16"/>
                <w:szCs w:val="16"/>
                <w:color w:val="auto"/>
              </w:rPr>
            </w:pPr>
          </w:p>
        </w:tc>
        <w:tc>
          <w:tcPr>
            <w:tcW w:w="4820" w:type="dxa"/>
            <w:vAlign w:val="bottom"/>
            <w:gridSpan w:val="10"/>
          </w:tcPr>
          <w:p>
            <w:pPr>
              <w:spacing w:after="0"/>
              <w:rPr>
                <w:sz w:val="20"/>
                <w:szCs w:val="20"/>
                <w:color w:val="auto"/>
              </w:rPr>
            </w:pPr>
            <w:r>
              <w:rPr>
                <w:rFonts w:ascii="Arial" w:cs="Arial" w:eastAsia="Arial" w:hAnsi="Arial"/>
                <w:sz w:val="16"/>
                <w:szCs w:val="16"/>
                <w:color w:val="0000FF"/>
                <w:w w:val="98"/>
              </w:rPr>
              <w:t>Certification of Chief Executive Officer pursuant to 18 U.S.C. Section</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top w:val="single" w:sz="8" w:color="0000FF"/>
            </w:tcBorders>
            <w:gridSpan w:val="2"/>
          </w:tcPr>
          <w:p>
            <w:pPr>
              <w:ind w:left="140"/>
              <w:spacing w:after="0" w:line="169" w:lineRule="exact"/>
              <w:rPr>
                <w:sz w:val="20"/>
                <w:szCs w:val="20"/>
                <w:color w:val="auto"/>
              </w:rPr>
            </w:pPr>
            <w:r>
              <w:rPr>
                <w:rFonts w:ascii="Arial" w:cs="Arial" w:eastAsia="Arial" w:hAnsi="Arial"/>
                <w:sz w:val="16"/>
                <w:szCs w:val="16"/>
                <w:color w:val="0000FF"/>
                <w:w w:val="84"/>
              </w:rPr>
              <w:t>1350</w:t>
            </w:r>
          </w:p>
        </w:tc>
        <w:tc>
          <w:tcPr>
            <w:tcW w:w="20" w:type="dxa"/>
            <w:vAlign w:val="bottom"/>
            <w:tcBorders>
              <w:top w:val="single" w:sz="8" w:color="0000FF"/>
            </w:tcBorders>
          </w:tcPr>
          <w:p>
            <w:pPr>
              <w:spacing w:after="0"/>
              <w:rPr>
                <w:sz w:val="14"/>
                <w:szCs w:val="14"/>
                <w:color w:val="auto"/>
              </w:rPr>
            </w:pPr>
          </w:p>
        </w:tc>
        <w:tc>
          <w:tcPr>
            <w:tcW w:w="30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4820" w:type="dxa"/>
            <w:vAlign w:val="bottom"/>
            <w:tcBorders>
              <w:right w:val="single" w:sz="8" w:color="CCEEFF"/>
            </w:tcBorders>
            <w:gridSpan w:val="10"/>
            <w:shd w:val="clear" w:color="auto" w:fill="CCEEFF"/>
          </w:tcPr>
          <w:p>
            <w:pPr>
              <w:spacing w:after="0"/>
              <w:rPr>
                <w:sz w:val="20"/>
                <w:szCs w:val="20"/>
                <w:color w:val="auto"/>
              </w:rPr>
            </w:pPr>
            <w:r>
              <w:rPr>
                <w:rFonts w:ascii="Arial" w:cs="Arial" w:eastAsia="Arial" w:hAnsi="Arial"/>
                <w:sz w:val="16"/>
                <w:szCs w:val="16"/>
                <w:color w:val="0000FF"/>
                <w:w w:val="99"/>
              </w:rPr>
              <w:t>Certification of Chief Financial Officer pursuant to 18 U.S.C. Section</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6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32.2</w:t>
            </w: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460" w:type="dxa"/>
            <w:vAlign w:val="bottom"/>
            <w:tcBorders>
              <w:top w:val="single" w:sz="8" w:color="0000FF"/>
            </w:tcBorders>
            <w:gridSpan w:val="2"/>
            <w:shd w:val="clear" w:color="auto" w:fill="CCEEFF"/>
          </w:tcPr>
          <w:p>
            <w:pPr>
              <w:ind w:left="140"/>
              <w:spacing w:after="0" w:line="183" w:lineRule="exact"/>
              <w:rPr>
                <w:sz w:val="20"/>
                <w:szCs w:val="20"/>
                <w:color w:val="auto"/>
              </w:rPr>
            </w:pPr>
            <w:r>
              <w:rPr>
                <w:rFonts w:ascii="Arial" w:cs="Arial" w:eastAsia="Arial" w:hAnsi="Arial"/>
                <w:sz w:val="16"/>
                <w:szCs w:val="16"/>
                <w:color w:val="0000FF"/>
                <w:w w:val="84"/>
              </w:rPr>
              <w:t>1350</w:t>
            </w:r>
          </w:p>
        </w:tc>
        <w:tc>
          <w:tcPr>
            <w:tcW w:w="20" w:type="dxa"/>
            <w:vAlign w:val="bottom"/>
            <w:tcBorders>
              <w:top w:val="single" w:sz="8" w:color="0000FF"/>
            </w:tcBorders>
            <w:shd w:val="clear" w:color="auto" w:fill="CCEEFF"/>
          </w:tcPr>
          <w:p>
            <w:pPr>
              <w:spacing w:after="0"/>
              <w:rPr>
                <w:sz w:val="15"/>
                <w:szCs w:val="15"/>
                <w:color w:val="auto"/>
              </w:rPr>
            </w:pPr>
          </w:p>
        </w:tc>
        <w:tc>
          <w:tcPr>
            <w:tcW w:w="3000" w:type="dxa"/>
            <w:vAlign w:val="bottom"/>
            <w:tcBorders>
              <w:top w:val="single" w:sz="8" w:color="0000FF"/>
            </w:tcBorders>
            <w:shd w:val="clear" w:color="auto" w:fill="CCEEFF"/>
          </w:tcPr>
          <w:p>
            <w:pPr>
              <w:spacing w:after="0"/>
              <w:rPr>
                <w:sz w:val="15"/>
                <w:szCs w:val="15"/>
                <w:color w:val="auto"/>
              </w:rPr>
            </w:pPr>
          </w:p>
        </w:tc>
        <w:tc>
          <w:tcPr>
            <w:tcW w:w="80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gridSpan w:val="2"/>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9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20" w:type="dxa"/>
            <w:vAlign w:val="bottom"/>
            <w:gridSpan w:val="10"/>
          </w:tcPr>
          <w:p>
            <w:pPr>
              <w:spacing w:after="0"/>
              <w:rPr>
                <w:sz w:val="20"/>
                <w:szCs w:val="20"/>
                <w:color w:val="auto"/>
              </w:rPr>
            </w:pPr>
            <w:r>
              <w:rPr>
                <w:rFonts w:ascii="Arial" w:cs="Arial" w:eastAsia="Arial" w:hAnsi="Arial"/>
                <w:sz w:val="16"/>
                <w:szCs w:val="16"/>
                <w:color w:val="auto"/>
                <w:w w:val="90"/>
              </w:rPr>
              <w:t>Inline XBRL Instance Document – the instance document does not appear</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20" w:type="dxa"/>
            <w:vAlign w:val="bottom"/>
            <w:gridSpan w:val="10"/>
          </w:tcPr>
          <w:p>
            <w:pPr>
              <w:ind w:left="140"/>
              <w:spacing w:after="0"/>
              <w:rPr>
                <w:sz w:val="20"/>
                <w:szCs w:val="20"/>
                <w:color w:val="auto"/>
              </w:rPr>
            </w:pPr>
            <w:r>
              <w:rPr>
                <w:rFonts w:ascii="Arial" w:cs="Arial" w:eastAsia="Arial" w:hAnsi="Arial"/>
                <w:sz w:val="16"/>
                <w:szCs w:val="16"/>
                <w:color w:val="auto"/>
                <w:w w:val="91"/>
              </w:rPr>
              <w:t>in the Interactive Data File because its XBRL tags are embedded within</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4820" w:type="dxa"/>
            <w:vAlign w:val="bottom"/>
            <w:gridSpan w:val="10"/>
          </w:tcPr>
          <w:p>
            <w:pPr>
              <w:ind w:left="140"/>
              <w:spacing w:after="0"/>
              <w:rPr>
                <w:sz w:val="20"/>
                <w:szCs w:val="20"/>
                <w:color w:val="auto"/>
              </w:rPr>
            </w:pPr>
            <w:r>
              <w:rPr>
                <w:rFonts w:ascii="Arial" w:cs="Arial" w:eastAsia="Arial" w:hAnsi="Arial"/>
                <w:sz w:val="16"/>
                <w:szCs w:val="16"/>
                <w:color w:val="auto"/>
              </w:rPr>
              <w:t>the Inline XBRL document.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110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101.SCH</w:t>
            </w:r>
          </w:p>
        </w:tc>
        <w:tc>
          <w:tcPr>
            <w:tcW w:w="4820" w:type="dxa"/>
            <w:vAlign w:val="bottom"/>
            <w:tcBorders>
              <w:bottom w:val="single" w:sz="8" w:color="CCEEFF"/>
              <w:right w:val="single" w:sz="8" w:color="CCEEFF"/>
            </w:tcBorders>
            <w:gridSpan w:val="10"/>
            <w:shd w:val="clear" w:color="auto" w:fill="CCEEFF"/>
          </w:tcPr>
          <w:p>
            <w:pPr>
              <w:spacing w:after="0"/>
              <w:rPr>
                <w:sz w:val="20"/>
                <w:szCs w:val="20"/>
                <w:color w:val="auto"/>
              </w:rPr>
            </w:pPr>
            <w:r>
              <w:rPr>
                <w:rFonts w:ascii="Arial" w:cs="Arial" w:eastAsia="Arial" w:hAnsi="Arial"/>
                <w:sz w:val="16"/>
                <w:szCs w:val="16"/>
                <w:color w:val="auto"/>
              </w:rPr>
              <w:t>Inline XBRL Taxonomy Extension Schema Document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110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4820" w:type="dxa"/>
            <w:vAlign w:val="bottom"/>
            <w:gridSpan w:val="10"/>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1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101.DEF</w:t>
            </w:r>
          </w:p>
        </w:tc>
        <w:tc>
          <w:tcPr>
            <w:tcW w:w="4820" w:type="dxa"/>
            <w:vAlign w:val="bottom"/>
            <w:tcBorders>
              <w:right w:val="single" w:sz="8" w:color="CCEEFF"/>
            </w:tcBorders>
            <w:gridSpan w:val="10"/>
            <w:shd w:val="clear" w:color="auto" w:fill="CCEEFF"/>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110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4820" w:type="dxa"/>
            <w:vAlign w:val="bottom"/>
            <w:gridSpan w:val="10"/>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1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101.PRE</w:t>
            </w:r>
          </w:p>
        </w:tc>
        <w:tc>
          <w:tcPr>
            <w:tcW w:w="4820" w:type="dxa"/>
            <w:vAlign w:val="bottom"/>
            <w:tcBorders>
              <w:right w:val="single" w:sz="8" w:color="CCEEFF"/>
            </w:tcBorders>
            <w:gridSpan w:val="10"/>
            <w:shd w:val="clear" w:color="auto" w:fill="CCEEFF"/>
          </w:tcPr>
          <w:p>
            <w:pPr>
              <w:spacing w:after="0"/>
              <w:rPr>
                <w:sz w:val="20"/>
                <w:szCs w:val="20"/>
                <w:color w:val="auto"/>
              </w:rPr>
            </w:pPr>
            <w:r>
              <w:rPr>
                <w:rFonts w:ascii="Arial" w:cs="Arial" w:eastAsia="Arial" w:hAnsi="Arial"/>
                <w:sz w:val="16"/>
                <w:szCs w:val="16"/>
                <w:color w:val="auto"/>
                <w:w w:val="99"/>
              </w:rPr>
              <w:t>Inline XBRL Taxonomy Extension Presentation Linkbase Document</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20" w:type="dxa"/>
            <w:vAlign w:val="bottom"/>
            <w:gridSpan w:val="10"/>
          </w:tcPr>
          <w:p>
            <w:pPr>
              <w:spacing w:after="0"/>
              <w:rPr>
                <w:sz w:val="20"/>
                <w:szCs w:val="20"/>
                <w:color w:val="auto"/>
              </w:rPr>
            </w:pPr>
            <w:r>
              <w:rPr>
                <w:rFonts w:ascii="Arial" w:cs="Arial" w:eastAsia="Arial" w:hAnsi="Arial"/>
                <w:sz w:val="16"/>
                <w:szCs w:val="16"/>
                <w:color w:val="auto"/>
              </w:rPr>
              <w:t>Cover Page Interactive Data File (formatted as Inline XBRL and</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60" w:type="dxa"/>
            <w:vAlign w:val="bottom"/>
          </w:tcPr>
          <w:p>
            <w:pPr>
              <w:ind w:left="20"/>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17"/>
                <w:szCs w:val="17"/>
                <w:color w:val="auto"/>
              </w:rPr>
            </w:pPr>
          </w:p>
        </w:tc>
        <w:tc>
          <w:tcPr>
            <w:tcW w:w="4820" w:type="dxa"/>
            <w:vAlign w:val="bottom"/>
            <w:gridSpan w:val="10"/>
          </w:tcPr>
          <w:p>
            <w:pPr>
              <w:ind w:left="140"/>
              <w:spacing w:after="0"/>
              <w:rPr>
                <w:sz w:val="20"/>
                <w:szCs w:val="20"/>
                <w:color w:val="auto"/>
              </w:rPr>
            </w:pPr>
            <w:r>
              <w:rPr>
                <w:rFonts w:ascii="Arial" w:cs="Arial" w:eastAsia="Arial" w:hAnsi="Arial"/>
                <w:sz w:val="16"/>
                <w:szCs w:val="16"/>
                <w:color w:val="auto"/>
              </w:rPr>
              <w:t>contained in Exhibit 101)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4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EVERCOMMERCE INC.</w:t>
      </w:r>
    </w:p>
    <w:p>
      <w:pPr>
        <w:spacing w:after="0" w:line="329" w:lineRule="exact"/>
        <w:rPr>
          <w:sz w:val="20"/>
          <w:szCs w:val="20"/>
          <w:color w:val="auto"/>
        </w:rPr>
      </w:pPr>
    </w:p>
    <w:p>
      <w:pPr>
        <w:ind w:left="20"/>
        <w:spacing w:after="0"/>
        <w:tabs>
          <w:tab w:leader="none" w:pos="5660" w:val="left"/>
          <w:tab w:leader="none" w:pos="8220" w:val="left"/>
        </w:tabs>
        <w:rPr>
          <w:sz w:val="20"/>
          <w:szCs w:val="20"/>
          <w:color w:val="auto"/>
        </w:rPr>
      </w:pPr>
      <w:r>
        <w:rPr>
          <w:rFonts w:ascii="Arial" w:cs="Arial" w:eastAsia="Arial" w:hAnsi="Arial"/>
          <w:sz w:val="18"/>
          <w:szCs w:val="18"/>
          <w:b w:val="1"/>
          <w:bCs w:val="1"/>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34290</wp:posOffset>
            </wp:positionV>
            <wp:extent cx="31635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57"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Eric Remer</w:t>
      </w:r>
    </w:p>
    <w:p>
      <w:pPr>
        <w:spacing w:after="0" w:line="63"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Chief Executive Officer</w:t>
      </w:r>
    </w:p>
    <w:p>
      <w:pPr>
        <w:spacing w:after="0" w:line="67" w:lineRule="exact"/>
        <w:rPr>
          <w:sz w:val="20"/>
          <w:szCs w:val="20"/>
          <w:color w:val="auto"/>
        </w:rPr>
      </w:pPr>
    </w:p>
    <w:p>
      <w:pPr>
        <w:jc w:val="center"/>
        <w:ind w:left="62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5660" w:val="left"/>
          <w:tab w:leader="none" w:pos="8020" w:val="left"/>
        </w:tabs>
        <w:rPr>
          <w:sz w:val="20"/>
          <w:szCs w:val="20"/>
          <w:color w:val="auto"/>
        </w:rPr>
      </w:pPr>
      <w:r>
        <w:rPr>
          <w:rFonts w:ascii="Arial" w:cs="Arial" w:eastAsia="Arial" w:hAnsi="Arial"/>
          <w:sz w:val="18"/>
          <w:szCs w:val="18"/>
          <w:b w:val="1"/>
          <w:bCs w:val="1"/>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34290</wp:posOffset>
            </wp:positionV>
            <wp:extent cx="31635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57"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Marc Thompson</w:t>
      </w:r>
    </w:p>
    <w:p>
      <w:pPr>
        <w:spacing w:after="0" w:line="63"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Chief Financial Officer</w:t>
      </w:r>
    </w:p>
    <w:p>
      <w:pPr>
        <w:spacing w:after="0" w:line="67" w:lineRule="exact"/>
        <w:rPr>
          <w:sz w:val="20"/>
          <w:szCs w:val="20"/>
          <w:color w:val="auto"/>
        </w:rPr>
      </w:pPr>
    </w:p>
    <w:p>
      <w:pPr>
        <w:jc w:val="center"/>
        <w:ind w:left="62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7" w:name="page48"/>
    <w:bookmarkEnd w:id="47"/>
    <w:p>
      <w:pPr>
        <w:ind w:left="1300"/>
        <w:spacing w:after="0"/>
        <w:rPr>
          <w:sz w:val="20"/>
          <w:szCs w:val="20"/>
          <w:color w:val="auto"/>
        </w:rPr>
      </w:pPr>
      <w:r>
        <w:rPr>
          <w:rFonts w:ascii="Arial" w:cs="Arial" w:eastAsia="Arial" w:hAnsi="Arial"/>
          <w:sz w:val="18"/>
          <w:szCs w:val="18"/>
          <w:color w:val="auto"/>
        </w:rPr>
        <w:t>AMENDMENT NO. 2, dated as of June 26, 2023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Credit Agreement dated as of July 6, 2021 (as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amended by Amendment No.1, dated as of November 23, 2021, and as further amended, supplemented, amended and restated or otherwise modified from time to time, the “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EVERCOMMERCE INTERMEDIATE INC., a Delaware corporation</w:t>
      </w:r>
    </w:p>
    <w:p>
      <w:pPr>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EVERCOMMERCE SOLUTIONS INC</w:t>
      </w:r>
      <w:r>
        <w:rPr>
          <w:rFonts w:ascii="Arial" w:cs="Arial" w:eastAsia="Arial" w:hAnsi="Arial"/>
          <w:sz w:val="15"/>
          <w:szCs w:val="15"/>
          <w:color w:val="auto"/>
        </w:rPr>
        <w:t>.</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each lender from time to time party thereto</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and each, individually, a “</w:t>
      </w:r>
      <w:r>
        <w:rPr>
          <w:rFonts w:ascii="Arial" w:cs="Arial" w:eastAsia="Arial" w:hAnsi="Arial"/>
          <w:sz w:val="20"/>
          <w:szCs w:val="20"/>
          <w:u w:val="single" w:color="auto"/>
          <w:color w:val="auto"/>
        </w:rPr>
        <w:t>Lender</w:t>
      </w:r>
      <w:r>
        <w:rPr>
          <w:rFonts w:ascii="Arial" w:cs="Arial" w:eastAsia="Arial" w:hAnsi="Arial"/>
          <w:sz w:val="20"/>
          <w:szCs w:val="20"/>
          <w:color w:val="auto"/>
        </w:rPr>
        <w:t>”), and ROYAL BANK OF CANADA,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and Collateral Agent, and the Issuing Banks party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pursuant to Section 2.14(b) of the Credit Agreement, if the Administrative Agent and Borrower have determined that a</w:t>
      </w:r>
    </w:p>
    <w:p>
      <w:pPr>
        <w:spacing w:after="0" w:line="1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Scheduled Unavailability Date has occurred, then the Administrative Agent and the Borrower may amend the Credit Agreement to (i) replace LIBOR with an alternate benchmark rate as the Administrative Agent and the Borrower may reasonably determine, giving due consideration</w:t>
      </w:r>
    </w:p>
    <w:p>
      <w:pPr>
        <w:spacing w:after="0" w:line="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to any evolving or then existing convention for similar U.S. dollar denominated syndicated credit facilities for such alternate benchmark rates (any such proposed rate, the “</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and (ii) implement the LIBOR Successor Rate Conforming Changes;</w:t>
      </w:r>
    </w:p>
    <w:p>
      <w:pPr>
        <w:spacing w:after="0" w:line="133" w:lineRule="exact"/>
        <w:rPr>
          <w:sz w:val="20"/>
          <w:szCs w:val="20"/>
          <w:color w:val="auto"/>
        </w:rPr>
      </w:pPr>
    </w:p>
    <w:p>
      <w:pPr>
        <w:ind w:firstLine="648"/>
        <w:spacing w:after="0" w:line="227" w:lineRule="auto"/>
        <w:rPr>
          <w:sz w:val="20"/>
          <w:szCs w:val="20"/>
          <w:color w:val="auto"/>
        </w:rPr>
      </w:pPr>
      <w:r>
        <w:rPr>
          <w:rFonts w:ascii="Arial" w:cs="Arial" w:eastAsia="Arial" w:hAnsi="Arial"/>
          <w:sz w:val="20"/>
          <w:szCs w:val="20"/>
          <w:color w:val="auto"/>
        </w:rPr>
        <w:t xml:space="preserve">WHEREAS, the Administrative Agent and the Borrower have agreed to amend the Credit Agreement to replace the LIBOR Rate with the LIBOR Successor Rate, which LIBOR Successor Rate is a SOFR-Based Rate, set forth in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hereto and to implement the related LIBOR Successor Rate Conforming Changes;</w:t>
      </w:r>
    </w:p>
    <w:p>
      <w:pPr>
        <w:spacing w:after="0" w:line="157"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WHEREAS, in accordance with Section 2.14(b) of the Credit Agreement, any such LIBOR Successor Rate amendment, together with the related LIBOR Successor Rate Conforming Changes, shall become effective at 5:00 p.m. (New York time) on the fifth Business Day</w:t>
      </w:r>
    </w:p>
    <w:p>
      <w:pPr>
        <w:spacing w:after="0" w:line="226" w:lineRule="auto"/>
        <w:rPr>
          <w:sz w:val="20"/>
          <w:szCs w:val="20"/>
          <w:color w:val="auto"/>
        </w:rPr>
      </w:pPr>
      <w:r>
        <w:rPr>
          <w:rFonts w:ascii="Arial" w:cs="Arial" w:eastAsia="Arial" w:hAnsi="Arial"/>
          <w:sz w:val="18"/>
          <w:szCs w:val="18"/>
          <w:color w:val="auto"/>
        </w:rPr>
        <w:t>after the Administrative Agent shall have posted such proposed amendment to all Lenders and the Borrower unless, prior to such time, Lenders comprising Required Lenders have delivered to the Administrative Agent written notice that such Required Lenders do not accept</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the “credit spread adjustments” (the “</w:t>
      </w:r>
      <w:r>
        <w:rPr>
          <w:rFonts w:ascii="Arial" w:cs="Arial" w:eastAsia="Arial" w:hAnsi="Arial"/>
          <w:sz w:val="20"/>
          <w:szCs w:val="20"/>
          <w:u w:val="single" w:color="auto"/>
          <w:color w:val="auto"/>
        </w:rPr>
        <w:t>Adjustments</w:t>
      </w:r>
      <w:r>
        <w:rPr>
          <w:rFonts w:ascii="Arial" w:cs="Arial" w:eastAsia="Arial" w:hAnsi="Arial"/>
          <w:sz w:val="20"/>
          <w:szCs w:val="20"/>
          <w:color w:val="auto"/>
        </w:rPr>
        <w:t>”) to Term SOFR (as defined in the Amended Credit Agreement) as set forth in the definition of “Adjusted Term SOFR” (as defined in the Amended Credit Agreement);</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NOW, THEREFORE, in consideration of the premises and for other good and valuable consideration (the receipt and sufficiency of which are hereby acknowledged), the parties hereto hereby agree as follows:</w:t>
      </w:r>
    </w:p>
    <w:p>
      <w:pPr>
        <w:spacing w:after="0" w:line="14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6"/>
          <w:szCs w:val="16"/>
          <w:b w:val="1"/>
          <w:bCs w:val="1"/>
          <w:u w:val="single" w:color="auto"/>
          <w:color w:val="auto"/>
        </w:rPr>
        <w:t>Defined Terms</w:t>
      </w:r>
      <w:r>
        <w:rPr>
          <w:rFonts w:ascii="Arial" w:cs="Arial" w:eastAsia="Arial" w:hAnsi="Arial"/>
          <w:sz w:val="16"/>
          <w:szCs w:val="16"/>
          <w:b w:val="1"/>
          <w:bCs w:val="1"/>
          <w:color w:val="auto"/>
        </w:rPr>
        <w:t>.</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Capitalized terms used but not defined herein shall have the respective meanings assigned to such terms in the Credit</w:t>
      </w:r>
    </w:p>
    <w:p>
      <w:pPr>
        <w:spacing w:after="0"/>
        <w:rPr>
          <w:sz w:val="20"/>
          <w:szCs w:val="20"/>
          <w:color w:val="auto"/>
        </w:rPr>
      </w:pPr>
      <w:r>
        <w:rPr>
          <w:rFonts w:ascii="Arial" w:cs="Arial" w:eastAsia="Arial" w:hAnsi="Arial"/>
          <w:sz w:val="20"/>
          <w:szCs w:val="20"/>
          <w:color w:val="auto"/>
        </w:rPr>
        <w:t>Agreement.</w:t>
      </w:r>
    </w:p>
    <w:p>
      <w:pPr>
        <w:spacing w:after="0" w:line="15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8"/>
          <w:szCs w:val="18"/>
          <w:b w:val="1"/>
          <w:bCs w:val="1"/>
          <w:u w:val="single" w:color="auto"/>
          <w:color w:val="auto"/>
        </w:rPr>
        <w:t>Amendments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Effective as of the Amendment No. 2 Effective Date,</w:t>
      </w:r>
    </w:p>
    <w:p>
      <w:pPr>
        <w:spacing w:after="0" w:line="222" w:lineRule="exact"/>
        <w:rPr>
          <w:sz w:val="20"/>
          <w:szCs w:val="20"/>
          <w:color w:val="auto"/>
        </w:rPr>
      </w:pPr>
    </w:p>
    <w:p>
      <w:pPr>
        <w:jc w:val="both"/>
        <w:ind w:left="1300" w:firstLine="4"/>
        <w:spacing w:after="0" w:line="220" w:lineRule="auto"/>
        <w:tabs>
          <w:tab w:leader="none" w:pos="1607"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the Credit Agreement is hereby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u w:val="single" w:color="auto"/>
          <w:color w:val="0000FF"/>
        </w:rPr>
        <w:t>double-underlined text</w:t>
      </w:r>
      <w:r>
        <w:rPr>
          <w:rFonts w:ascii="Arial" w:cs="Arial" w:eastAsia="Arial" w:hAnsi="Arial"/>
          <w:sz w:val="20"/>
          <w:szCs w:val="20"/>
          <w:color w:val="auto"/>
        </w:rPr>
        <w:t xml:space="preserve">) as set forth in the pages of the Credit Agreement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(the “</w:t>
      </w:r>
      <w:r>
        <w:rPr>
          <w:rFonts w:ascii="Arial" w:cs="Arial" w:eastAsia="Arial" w:hAnsi="Arial"/>
          <w:sz w:val="20"/>
          <w:szCs w:val="20"/>
          <w:u w:val="single" w:color="auto"/>
          <w:color w:val="auto"/>
        </w:rPr>
        <w:t>Amended Credit Agreement</w:t>
      </w:r>
      <w:r>
        <w:rPr>
          <w:rFonts w:ascii="Arial" w:cs="Arial" w:eastAsia="Arial" w:hAnsi="Arial"/>
          <w:sz w:val="20"/>
          <w:szCs w:val="20"/>
          <w:color w:val="auto"/>
        </w:rPr>
        <w:t>”);</w:t>
      </w:r>
    </w:p>
    <w:p>
      <w:pPr>
        <w:spacing w:after="0" w:line="196" w:lineRule="exact"/>
        <w:rPr>
          <w:rFonts w:ascii="Arial" w:cs="Arial" w:eastAsia="Arial" w:hAnsi="Arial"/>
          <w:sz w:val="20"/>
          <w:szCs w:val="20"/>
          <w:color w:val="auto"/>
        </w:rPr>
      </w:pPr>
    </w:p>
    <w:p>
      <w:pPr>
        <w:jc w:val="both"/>
        <w:ind w:left="1300" w:firstLine="4"/>
        <w:spacing w:after="0" w:line="220" w:lineRule="auto"/>
        <w:tabs>
          <w:tab w:leader="none" w:pos="1913"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Exhibit Q to the Credit Agreement is hereby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u w:val="single" w:color="auto"/>
          <w:color w:val="0000FF"/>
        </w:rPr>
        <w:t>double-underlined text</w:t>
      </w:r>
      <w:r>
        <w:rPr>
          <w:rFonts w:ascii="Arial" w:cs="Arial" w:eastAsia="Arial" w:hAnsi="Arial"/>
          <w:sz w:val="20"/>
          <w:szCs w:val="20"/>
          <w:color w:val="auto"/>
        </w:rPr>
        <w:t xml:space="preserve">) as set forth in the pages attached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(the “</w:t>
      </w:r>
      <w:r>
        <w:rPr>
          <w:rFonts w:ascii="Arial" w:cs="Arial" w:eastAsia="Arial" w:hAnsi="Arial"/>
          <w:sz w:val="20"/>
          <w:szCs w:val="20"/>
          <w:u w:val="single" w:color="auto"/>
          <w:color w:val="auto"/>
        </w:rPr>
        <w:t>Amended Borrowing Request Exhibit</w:t>
      </w:r>
      <w:r>
        <w:rPr>
          <w:rFonts w:ascii="Arial" w:cs="Arial" w:eastAsia="Arial" w:hAnsi="Arial"/>
          <w:sz w:val="20"/>
          <w:szCs w:val="20"/>
          <w:color w:val="auto"/>
        </w:rPr>
        <w:t>”), and</w:t>
      </w:r>
    </w:p>
    <w:p>
      <w:pPr>
        <w:sectPr>
          <w:pgSz w:w="11900" w:h="16838" w:orient="portrait"/>
          <w:cols w:equalWidth="0" w:num="1">
            <w:col w:w="11240"/>
          </w:cols>
          <w:pgMar w:left="320" w:top="1405" w:right="339" w:bottom="1440" w:gutter="0" w:footer="0" w:header="0"/>
        </w:sectPr>
      </w:pPr>
    </w:p>
    <w:bookmarkStart w:id="48" w:name="page49"/>
    <w:bookmarkEnd w:id="48"/>
    <w:p>
      <w:pPr>
        <w:jc w:val="both"/>
        <w:ind w:left="1300" w:firstLine="4"/>
        <w:spacing w:after="0" w:line="220" w:lineRule="auto"/>
        <w:tabs>
          <w:tab w:leader="none" w:pos="1726"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Exhibit R to the Credit Agreement is hereby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u w:val="single" w:color="auto"/>
          <w:color w:val="0000FF"/>
        </w:rPr>
        <w:t>double-underlined text</w:t>
      </w:r>
      <w:r>
        <w:rPr>
          <w:rFonts w:ascii="Arial" w:cs="Arial" w:eastAsia="Arial" w:hAnsi="Arial"/>
          <w:sz w:val="20"/>
          <w:szCs w:val="20"/>
          <w:color w:val="auto"/>
        </w:rPr>
        <w:t xml:space="preserve">) as set forth in the pages attached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hereto (the “</w:t>
      </w:r>
      <w:r>
        <w:rPr>
          <w:rFonts w:ascii="Arial" w:cs="Arial" w:eastAsia="Arial" w:hAnsi="Arial"/>
          <w:sz w:val="20"/>
          <w:szCs w:val="20"/>
          <w:u w:val="single" w:color="auto"/>
          <w:color w:val="auto"/>
        </w:rPr>
        <w:t>Amended Interest</w:t>
      </w:r>
      <w:r>
        <w:rPr>
          <w:rFonts w:ascii="Arial" w:cs="Arial" w:eastAsia="Arial" w:hAnsi="Arial"/>
          <w:sz w:val="20"/>
          <w:szCs w:val="20"/>
          <w:color w:val="auto"/>
        </w:rPr>
        <w:t xml:space="preserve"> </w:t>
      </w:r>
      <w:r>
        <w:rPr>
          <w:rFonts w:ascii="Arial" w:cs="Arial" w:eastAsia="Arial" w:hAnsi="Arial"/>
          <w:sz w:val="20"/>
          <w:szCs w:val="20"/>
          <w:u w:val="single" w:color="auto"/>
          <w:color w:val="auto"/>
        </w:rPr>
        <w:t>Election Request Exhibit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6"/>
          <w:szCs w:val="16"/>
          <w:b w:val="1"/>
          <w:bCs w:val="1"/>
          <w:u w:val="single" w:color="auto"/>
          <w:color w:val="auto"/>
        </w:rPr>
        <w:t>Representations and Warranties</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firstLine="656"/>
        <w:spacing w:after="0" w:line="214" w:lineRule="auto"/>
        <w:tabs>
          <w:tab w:leader="none" w:pos="1296" w:val="left"/>
        </w:tabs>
        <w:numPr>
          <w:ilvl w:val="0"/>
          <w:numId w:val="11"/>
        </w:numPr>
        <w:rPr>
          <w:rFonts w:ascii="Arial" w:cs="Arial" w:eastAsia="Arial" w:hAnsi="Arial"/>
          <w:sz w:val="20"/>
          <w:szCs w:val="20"/>
          <w:color w:val="auto"/>
        </w:rPr>
      </w:pPr>
      <w:r>
        <w:rPr>
          <w:rFonts w:ascii="Arial" w:cs="Arial" w:eastAsia="Arial" w:hAnsi="Arial"/>
          <w:sz w:val="20"/>
          <w:szCs w:val="20"/>
          <w:color w:val="auto"/>
        </w:rPr>
        <w:t>To induce the other parties hereto to enter into this Amendment, the Borrower represents and warrants to each of the Lenders, and the Administrative Agent that, as of the Amendment No. 2 Effective Date and after giving effect to the transactions and amendments to occur on the Amendment No. 2 Effective Date, this Amendment has been duly authorized, executed and delivered by each of Holdings and the Borrower and constitutes, and the Amended Credit Agreement will constitute, its legal, valid and binding obligation, enforceable against each of the Loan Parties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1" w:lineRule="exact"/>
        <w:rPr>
          <w:sz w:val="20"/>
          <w:szCs w:val="20"/>
          <w:color w:val="auto"/>
        </w:rPr>
      </w:pPr>
    </w:p>
    <w:p>
      <w:pPr>
        <w:jc w:val="both"/>
        <w:ind w:firstLine="656"/>
        <w:spacing w:after="0" w:line="226" w:lineRule="auto"/>
        <w:tabs>
          <w:tab w:leader="none" w:pos="1296"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each Loan Party set forth in the Loan Documents are, after giving effect to this Amendment on the Amendment No. 2 Effective Date, true and correct in all material respects on and as of such date, except to the extent such representations and warranties specifically refer to an earlier date, in which case such representations and warranties were true and correct in all material respects as of such earlier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representation and warranty that is qualified as to “materiality,” “Material Adverse Effect” or similar language shall be true and correct in all respects (giving effect to any such qualifications) on the Amendment No. 2 Effective Date or on such earlier date, as the case may be.</w:t>
      </w:r>
    </w:p>
    <w:p>
      <w:pPr>
        <w:spacing w:after="0" w:line="16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6"/>
          <w:szCs w:val="16"/>
          <w:b w:val="1"/>
          <w:bCs w:val="1"/>
          <w:u w:val="single" w:color="auto"/>
          <w:color w:val="auto"/>
        </w:rPr>
        <w:t>Conditions to Effectiveness of Amendment No. 2</w:t>
      </w:r>
      <w:r>
        <w:rPr>
          <w:rFonts w:ascii="Arial" w:cs="Arial" w:eastAsia="Arial" w:hAnsi="Arial"/>
          <w:sz w:val="16"/>
          <w:szCs w:val="16"/>
          <w:color w:val="auto"/>
        </w:rPr>
        <w:t>.</w:t>
      </w:r>
    </w:p>
    <w:p>
      <w:pPr>
        <w:spacing w:after="0" w:line="181"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This Amendment shall become effective on the date on which each of the following conditions is satisfied (the “</w:t>
      </w: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No. 2 Effective Date</w:t>
      </w:r>
      <w:r>
        <w:rPr>
          <w:rFonts w:ascii="Arial" w:cs="Arial" w:eastAsia="Arial" w:hAnsi="Arial"/>
          <w:sz w:val="20"/>
          <w:szCs w:val="20"/>
          <w:color w:val="auto"/>
        </w:rPr>
        <w:t>”):</w:t>
      </w:r>
    </w:p>
    <w:p>
      <w:pPr>
        <w:spacing w:after="0" w:line="167" w:lineRule="exact"/>
        <w:rPr>
          <w:sz w:val="20"/>
          <w:szCs w:val="20"/>
          <w:color w:val="auto"/>
        </w:rPr>
      </w:pPr>
    </w:p>
    <w:p>
      <w:pPr>
        <w:ind w:left="2180" w:hanging="876"/>
        <w:spacing w:after="0"/>
        <w:tabs>
          <w:tab w:leader="none" w:pos="2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Administrative Agent shall have received counterparts of this Amendment executed by the Borrower and the</w:t>
      </w:r>
    </w:p>
    <w:p>
      <w:pPr>
        <w:spacing w:after="0"/>
        <w:rPr>
          <w:rFonts w:ascii="Arial" w:cs="Arial" w:eastAsia="Arial" w:hAnsi="Arial"/>
          <w:sz w:val="18"/>
          <w:szCs w:val="18"/>
          <w:color w:val="auto"/>
        </w:rPr>
      </w:pPr>
      <w:r>
        <w:rPr>
          <w:rFonts w:ascii="Arial" w:cs="Arial" w:eastAsia="Arial" w:hAnsi="Arial"/>
          <w:sz w:val="20"/>
          <w:szCs w:val="20"/>
          <w:color w:val="auto"/>
        </w:rPr>
        <w:t>Administrative Agent; and</w:t>
      </w:r>
    </w:p>
    <w:p>
      <w:pPr>
        <w:spacing w:after="0" w:line="172" w:lineRule="exact"/>
        <w:rPr>
          <w:rFonts w:ascii="Arial" w:cs="Arial" w:eastAsia="Arial" w:hAnsi="Arial"/>
          <w:sz w:val="18"/>
          <w:szCs w:val="18"/>
          <w:color w:val="auto"/>
        </w:rPr>
      </w:pPr>
    </w:p>
    <w:p>
      <w:pPr>
        <w:jc w:val="both"/>
        <w:ind w:firstLine="1304"/>
        <w:spacing w:after="0" w:line="223" w:lineRule="auto"/>
        <w:tabs>
          <w:tab w:leader="none" w:pos="215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Administrative Agent shall have posted this Amendment to each of the Lenders, and the Administrative Agent shall not have received by 5:00 p.m., New York City time, on June [_], 2023 (the fifth Business Day following the date the Administrative Agent posted the Amendment to all Lenders (the date the Amendment is posted, the “</w:t>
      </w:r>
      <w:r>
        <w:rPr>
          <w:rFonts w:ascii="Arial" w:cs="Arial" w:eastAsia="Arial" w:hAnsi="Arial"/>
          <w:sz w:val="19"/>
          <w:szCs w:val="19"/>
          <w:u w:val="single" w:color="auto"/>
          <w:color w:val="auto"/>
        </w:rPr>
        <w:t>Posting Date</w:t>
      </w:r>
      <w:r>
        <w:rPr>
          <w:rFonts w:ascii="Arial" w:cs="Arial" w:eastAsia="Arial" w:hAnsi="Arial"/>
          <w:sz w:val="19"/>
          <w:szCs w:val="19"/>
          <w:color w:val="auto"/>
        </w:rPr>
        <w:t>”, and the fifth Business Day following the Posting Date, the “</w:t>
      </w:r>
      <w:r>
        <w:rPr>
          <w:rFonts w:ascii="Arial" w:cs="Arial" w:eastAsia="Arial" w:hAnsi="Arial"/>
          <w:sz w:val="19"/>
          <w:szCs w:val="19"/>
          <w:u w:val="single" w:color="auto"/>
          <w:color w:val="auto"/>
        </w:rPr>
        <w:t>Objection Deadline</w:t>
      </w:r>
      <w:r>
        <w:rPr>
          <w:rFonts w:ascii="Arial" w:cs="Arial" w:eastAsia="Arial" w:hAnsi="Arial"/>
          <w:sz w:val="19"/>
          <w:szCs w:val="19"/>
          <w:color w:val="auto"/>
        </w:rPr>
        <w:t>”)), written notice from Lenders comprising the Required Lenders that such Required Lenders object to the Amendment. Furthermore, in order for this Agreement to become effective (x) with respect the Revolving Lenders, the Administrative Agent shall not have received by 5:00 p.m., New York City time, on the Objection Deadline, written notice from Lenders comprising the Required Revolving Lenders that such Required Revolving Lenders object to the Amendment and (y) with respect to the Term Lenders, the Administrative Agent shall not have received by 5:00 p.m., New York City time, on the Objection Deadline, written notice from Term Lenders holding Term Loans representing more than 50% of the Term Loans outstanding on the Posting Date (the “</w:t>
      </w:r>
      <w:r>
        <w:rPr>
          <w:rFonts w:ascii="Arial" w:cs="Arial" w:eastAsia="Arial" w:hAnsi="Arial"/>
          <w:sz w:val="19"/>
          <w:szCs w:val="19"/>
          <w:u w:val="single" w:color="auto"/>
          <w:color w:val="auto"/>
        </w:rPr>
        <w:t>Required Term Lenders</w:t>
      </w:r>
      <w:r>
        <w:rPr>
          <w:rFonts w:ascii="Arial" w:cs="Arial" w:eastAsia="Arial" w:hAnsi="Arial"/>
          <w:sz w:val="19"/>
          <w:szCs w:val="19"/>
          <w:color w:val="auto"/>
        </w:rPr>
        <w:t>”) that such Required Term Lenders object to the Amendment.</w:t>
      </w:r>
    </w:p>
    <w:p>
      <w:pPr>
        <w:spacing w:after="0" w:line="200" w:lineRule="exact"/>
        <w:rPr>
          <w:sz w:val="20"/>
          <w:szCs w:val="20"/>
          <w:color w:val="auto"/>
        </w:rPr>
      </w:pPr>
    </w:p>
    <w:p>
      <w:pPr>
        <w:spacing w:after="0" w:line="207"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This Amendment shall be construed in accordance with and governed by the law of the State of New York. </w:t>
      </w:r>
      <w:r>
        <w:rPr>
          <w:rFonts w:ascii="Arial" w:cs="Arial" w:eastAsia="Arial" w:hAnsi="Arial"/>
          <w:sz w:val="18"/>
          <w:szCs w:val="18"/>
          <w:color w:val="auto"/>
        </w:rPr>
        <w:t>The provisions of Sections 9.09 and 9.10 of the Credit Agreement shall apply to this Amendment to the same extent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as if fully set forth herein.</w:t>
      </w:r>
    </w:p>
    <w:p>
      <w:pPr>
        <w:spacing w:after="0" w:line="194" w:lineRule="exact"/>
        <w:rPr>
          <w:sz w:val="20"/>
          <w:szCs w:val="20"/>
          <w:color w:val="auto"/>
        </w:rPr>
      </w:pPr>
    </w:p>
    <w:p>
      <w:pPr>
        <w:ind w:firstLine="1296"/>
        <w:spacing w:after="0" w:line="232" w:lineRule="auto"/>
        <w:rPr>
          <w:sz w:val="20"/>
          <w:szCs w:val="20"/>
          <w:color w:val="auto"/>
        </w:rPr>
      </w:pPr>
      <w:r>
        <w:rPr>
          <w:rFonts w:ascii="Arial" w:cs="Arial" w:eastAsia="Arial" w:hAnsi="Arial"/>
          <w:sz w:val="20"/>
          <w:szCs w:val="20"/>
          <w:b w:val="1"/>
          <w:bCs w:val="1"/>
          <w:color w:val="auto"/>
        </w:rPr>
        <w:t xml:space="preserve">Section 6. </w:t>
      </w:r>
      <w:r>
        <w:rPr>
          <w:rFonts w:ascii="Arial" w:cs="Arial" w:eastAsia="Arial" w:hAnsi="Arial"/>
          <w:sz w:val="20"/>
          <w:szCs w:val="20"/>
          <w:b w:val="1"/>
          <w:bCs w:val="1"/>
          <w:u w:val="single" w:color="auto"/>
          <w:color w:val="auto"/>
        </w:rPr>
        <w:t>Costs and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The Borrower agrees to reimburse the Administrative Agent for its reasonable out of</w:t>
      </w:r>
      <w:r>
        <w:rPr>
          <w:rFonts w:ascii="Arial" w:cs="Arial" w:eastAsia="Arial" w:hAnsi="Arial"/>
          <w:sz w:val="20"/>
          <w:szCs w:val="20"/>
          <w:b w:val="1"/>
          <w:bCs w:val="1"/>
          <w:color w:val="auto"/>
        </w:rPr>
        <w:t xml:space="preserve"> </w:t>
      </w:r>
      <w:r>
        <w:rPr>
          <w:rFonts w:ascii="Arial" w:cs="Arial" w:eastAsia="Arial" w:hAnsi="Arial"/>
          <w:sz w:val="20"/>
          <w:szCs w:val="20"/>
          <w:color w:val="auto"/>
        </w:rPr>
        <w:t>pocket expenses in connection with this Amendment and</w:t>
      </w:r>
    </w:p>
    <w:p>
      <w:pPr>
        <w:sectPr>
          <w:pgSz w:w="11900" w:h="16838" w:orient="portrait"/>
          <w:cols w:equalWidth="0" w:num="1">
            <w:col w:w="11240"/>
          </w:cols>
          <w:pgMar w:left="320" w:top="1405" w:right="339" w:bottom="1440" w:gutter="0" w:footer="0" w:header="0"/>
        </w:sectPr>
      </w:pPr>
    </w:p>
    <w:bookmarkStart w:id="49" w:name="page50"/>
    <w:bookmarkEnd w:id="49"/>
    <w:p>
      <w:pPr>
        <w:spacing w:after="0" w:line="236" w:lineRule="auto"/>
        <w:rPr>
          <w:sz w:val="20"/>
          <w:szCs w:val="20"/>
          <w:color w:val="auto"/>
        </w:rPr>
      </w:pPr>
      <w:r>
        <w:rPr>
          <w:rFonts w:ascii="Arial" w:cs="Arial" w:eastAsia="Arial" w:hAnsi="Arial"/>
          <w:sz w:val="20"/>
          <w:szCs w:val="20"/>
          <w:color w:val="auto"/>
        </w:rPr>
        <w:t>the transactions contemplated hereby, including the reasonable fees, charges and disbursements of Cahill Gordon &amp; Reindel LLP, counsel for the Administrative Agent.</w:t>
      </w:r>
    </w:p>
    <w:p>
      <w:pPr>
        <w:spacing w:after="0" w:line="176" w:lineRule="exact"/>
        <w:rPr>
          <w:sz w:val="20"/>
          <w:szCs w:val="20"/>
          <w:color w:val="auto"/>
        </w:rPr>
      </w:pPr>
    </w:p>
    <w:p>
      <w:pPr>
        <w:ind w:firstLine="1296"/>
        <w:spacing w:after="0" w:line="247"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Counterparts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any number of counterparts and by different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in separate counterparts, each of which when so executed and delivered shall be deemed an original, but all such counterparts together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shall constitute but one and the same instrument. Delivery of any executed counterpart of a signature page of this Amendment by facsimile transmission or other electronic imaging means shall be effective as delivery of a manually executed counterpart hereof. This Amendment</w:t>
      </w:r>
    </w:p>
    <w:p>
      <w:pPr>
        <w:spacing w:after="0" w:line="236" w:lineRule="auto"/>
        <w:rPr>
          <w:sz w:val="20"/>
          <w:szCs w:val="20"/>
          <w:color w:val="auto"/>
        </w:rPr>
      </w:pPr>
      <w:r>
        <w:rPr>
          <w:rFonts w:ascii="Arial" w:cs="Arial" w:eastAsia="Arial" w:hAnsi="Arial"/>
          <w:sz w:val="18"/>
          <w:szCs w:val="18"/>
          <w:color w:val="auto"/>
        </w:rPr>
        <w:t>and any document, amendment, approval, consent, information, notice, certificate, request, statement, disclosure or authorization related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this Amendment (each a “</w:t>
      </w:r>
      <w:r>
        <w:rPr>
          <w:rFonts w:ascii="Arial" w:cs="Arial" w:eastAsia="Arial" w:hAnsi="Arial"/>
          <w:sz w:val="18"/>
          <w:szCs w:val="18"/>
          <w:u w:val="single" w:color="auto"/>
          <w:color w:val="auto"/>
        </w:rPr>
        <w:t>Communication</w:t>
      </w:r>
      <w:r>
        <w:rPr>
          <w:rFonts w:ascii="Arial" w:cs="Arial" w:eastAsia="Arial" w:hAnsi="Arial"/>
          <w:sz w:val="18"/>
          <w:szCs w:val="18"/>
          <w:color w:val="auto"/>
        </w:rPr>
        <w:t>”), including Communications required to be in writing, may be in the form of an Electronic Record and may be executed using Electronic Signatures. Each of the Loan Parties agrees that any Electronic Signature on or associated with</w:t>
      </w:r>
    </w:p>
    <w:p>
      <w:pPr>
        <w:spacing w:after="0" w:line="236" w:lineRule="auto"/>
        <w:rPr>
          <w:sz w:val="20"/>
          <w:szCs w:val="20"/>
          <w:color w:val="auto"/>
        </w:rPr>
      </w:pPr>
      <w:r>
        <w:rPr>
          <w:rFonts w:ascii="Arial" w:cs="Arial" w:eastAsia="Arial" w:hAnsi="Arial"/>
          <w:sz w:val="18"/>
          <w:szCs w:val="18"/>
          <w:color w:val="auto"/>
        </w:rPr>
        <w:t>any Communication shall be valid and binding on each of the Loan Parties to the same extent as a manual, original signature, and that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Communication entered into by Electronic Signature, will constitute the legal, valid and binding obligation of each of the Loan Parties enforceable against such in accordance with the terms thereof to the same extent as if a manually executed original signature was delivered.</w:t>
      </w:r>
    </w:p>
    <w:p>
      <w:pPr>
        <w:spacing w:after="0" w:line="236" w:lineRule="auto"/>
        <w:rPr>
          <w:sz w:val="20"/>
          <w:szCs w:val="20"/>
          <w:color w:val="auto"/>
        </w:rPr>
      </w:pPr>
      <w:r>
        <w:rPr>
          <w:rFonts w:ascii="Arial" w:cs="Arial" w:eastAsia="Arial" w:hAnsi="Arial"/>
          <w:sz w:val="18"/>
          <w:szCs w:val="18"/>
          <w:color w:val="auto"/>
        </w:rPr>
        <w:t>Any Communication may be executed in as many counterparts as necessary or convenient, including both paper and electronic counterparts,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but all such counterparts are one and the same Communication. For the avoidance of doubt, the authorization under this paragraph may include, without limitation, use or acceptance by the Administrative Agent and each of the Secured Parties of a manually signed paper</w:t>
      </w:r>
    </w:p>
    <w:p>
      <w:pPr>
        <w:spacing w:after="0" w:line="213" w:lineRule="auto"/>
        <w:rPr>
          <w:sz w:val="20"/>
          <w:szCs w:val="20"/>
          <w:color w:val="auto"/>
        </w:rPr>
      </w:pPr>
      <w:r>
        <w:rPr>
          <w:rFonts w:ascii="Arial" w:cs="Arial" w:eastAsia="Arial" w:hAnsi="Arial"/>
          <w:sz w:val="20"/>
          <w:szCs w:val="20"/>
          <w:color w:val="auto"/>
        </w:rPr>
        <w:t>Communication which has been converted into electronic form (such as scanned into PDF format), or an electronically signed</w:t>
      </w:r>
    </w:p>
    <w:p>
      <w:pPr>
        <w:jc w:val="both"/>
        <w:spacing w:after="0" w:line="226" w:lineRule="auto"/>
        <w:rPr>
          <w:sz w:val="20"/>
          <w:szCs w:val="20"/>
          <w:color w:val="auto"/>
        </w:rPr>
      </w:pPr>
      <w:r>
        <w:rPr>
          <w:rFonts w:ascii="Arial" w:cs="Arial" w:eastAsia="Arial" w:hAnsi="Arial"/>
          <w:sz w:val="18"/>
          <w:szCs w:val="18"/>
          <w:color w:val="auto"/>
        </w:rPr>
        <w:t>Communication converted into another format, for transmission, delivery and/or retention. The Administrative Agent and each of the Secured Parties may, at its option, create one or more copies of any Communication in the form of an imaged Electronic Record (“</w:t>
      </w:r>
      <w:r>
        <w:rPr>
          <w:rFonts w:ascii="Arial" w:cs="Arial" w:eastAsia="Arial" w:hAnsi="Arial"/>
          <w:sz w:val="18"/>
          <w:szCs w:val="18"/>
          <w:u w:val="single" w:color="auto"/>
          <w:color w:val="auto"/>
        </w:rPr>
        <w:t>Electronic Copy</w:t>
      </w:r>
      <w:r>
        <w:rPr>
          <w:rFonts w:ascii="Arial" w:cs="Arial" w:eastAsia="Arial" w:hAnsi="Arial"/>
          <w:sz w:val="18"/>
          <w:szCs w:val="18"/>
          <w:color w:val="auto"/>
        </w:rPr>
        <w:t>”),</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which shall be deemed created in the ordinary course of such Person’s business, and destroy the original paper document. All Communications in the form of an Electronic Record, including an Electronic Copy, shall be considered an original for all purposes, and shall</w:t>
      </w:r>
    </w:p>
    <w:p>
      <w:pPr>
        <w:spacing w:after="0" w:line="236" w:lineRule="auto"/>
        <w:rPr>
          <w:sz w:val="20"/>
          <w:szCs w:val="20"/>
          <w:color w:val="auto"/>
        </w:rPr>
      </w:pPr>
      <w:r>
        <w:rPr>
          <w:rFonts w:ascii="Arial" w:cs="Arial" w:eastAsia="Arial" w:hAnsi="Arial"/>
          <w:sz w:val="18"/>
          <w:szCs w:val="18"/>
          <w:color w:val="auto"/>
        </w:rPr>
        <w:t>have the same legal effect, validity and enforceability as a paper record. Notwithstanding anything contained herein to the contrary,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Administrative Agent is under no obligation to accept an Electronic Signature in any form or in any format unless expressly agreed to by the Administrative Agent pursuant to procedures approved by it; provided, further, without limiting the foregoing, (a) to the extent the</w:t>
      </w:r>
    </w:p>
    <w:p>
      <w:pPr>
        <w:spacing w:after="0" w:line="236" w:lineRule="auto"/>
        <w:rPr>
          <w:sz w:val="20"/>
          <w:szCs w:val="20"/>
          <w:color w:val="auto"/>
        </w:rPr>
      </w:pPr>
      <w:r>
        <w:rPr>
          <w:rFonts w:ascii="Arial" w:cs="Arial" w:eastAsia="Arial" w:hAnsi="Arial"/>
          <w:sz w:val="18"/>
          <w:szCs w:val="18"/>
          <w:color w:val="auto"/>
        </w:rPr>
        <w:t>Administrative Agent has agreed to accept such Electronic Signature, the Administrative Agent and each of the Secured Parties shall be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entitled to rely on any such Electronic Signature purportedly given by or on behalf of any Loan Party without further verification and (b) upon the request of the Administrative Agent or any Lender, any Electronic Signature shall be promptly followed by such manually executed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counterpart. For purposes hereof, “</w:t>
      </w:r>
      <w:r>
        <w:rPr>
          <w:rFonts w:ascii="Arial" w:cs="Arial" w:eastAsia="Arial" w:hAnsi="Arial"/>
          <w:sz w:val="20"/>
          <w:szCs w:val="20"/>
          <w:u w:val="single" w:color="auto"/>
          <w:color w:val="auto"/>
        </w:rPr>
        <w:t>Electronic Record</w:t>
      </w:r>
      <w:r>
        <w:rPr>
          <w:rFonts w:ascii="Arial" w:cs="Arial" w:eastAsia="Arial" w:hAnsi="Arial"/>
          <w:sz w:val="20"/>
          <w:szCs w:val="20"/>
          <w:color w:val="auto"/>
        </w:rPr>
        <w:t>” and “</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shall have the meanings assigned to them, respectively, by 15 USC §7006, as it may be amended from time to time.</w:t>
      </w:r>
    </w:p>
    <w:p>
      <w:pPr>
        <w:spacing w:after="0" w:line="17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0"/>
          <w:szCs w:val="20"/>
          <w:b w:val="1"/>
          <w:bCs w:val="1"/>
          <w:color w:val="auto"/>
        </w:rPr>
        <w:t>Section 8.</w:t>
      </w:r>
      <w:r>
        <w:rPr>
          <w:sz w:val="20"/>
          <w:szCs w:val="20"/>
          <w:color w:val="auto"/>
        </w:rPr>
        <w:tab/>
      </w:r>
      <w:r>
        <w:rPr>
          <w:rFonts w:ascii="Arial" w:cs="Arial" w:eastAsia="Arial" w:hAnsi="Arial"/>
          <w:sz w:val="16"/>
          <w:szCs w:val="16"/>
          <w:b w:val="1"/>
          <w:bCs w:val="1"/>
          <w:u w:val="single" w:color="auto"/>
          <w:color w:val="auto"/>
        </w:rPr>
        <w:t>Effect of Amendment</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1304"/>
        <w:spacing w:after="0" w:line="235" w:lineRule="auto"/>
        <w:tabs>
          <w:tab w:leader="none" w:pos="1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expressly set forth herein, this Amendment shall not by implication or otherwise limit, impair, constitute a waiver of, or otherwise affect the rights and remedies of, the Lenders or the Agents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The parties hereto acknowledge and agree that the amendment of the Credit Agreement pursuant to this Amendment and all other Loan Documents amended and/or executed and delivered in connection herewith shall not constitute a novation of the Credit Agreement and the other Loan Documents as in effect prior to the Amendment No. 2 Effective Date. Nothing herein shall be deemed to establish a precedent for purposes of interpreting the provisions of the Amended Credit Agreement or entitle any Loan Party to a consent to, or a waiver, amendment, modification or other change of, any of the terms, conditions, obligations, covenants or agreements contained in the Amended Credit Agreement or any other Loan Document in similar or different circumstances. This Amendment shall apply to and be effective only with respect to the provisions of the Credit Agreement and the other Loan Documents specifically referred to herein.</w:t>
      </w:r>
    </w:p>
    <w:p>
      <w:pPr>
        <w:spacing w:after="0" w:line="187" w:lineRule="exact"/>
        <w:rPr>
          <w:rFonts w:ascii="Arial" w:cs="Arial" w:eastAsia="Arial" w:hAnsi="Arial"/>
          <w:sz w:val="18"/>
          <w:szCs w:val="18"/>
          <w:color w:val="auto"/>
        </w:rPr>
      </w:pPr>
    </w:p>
    <w:p>
      <w:pPr>
        <w:ind w:firstLine="1304"/>
        <w:spacing w:after="0" w:line="236" w:lineRule="auto"/>
        <w:tabs>
          <w:tab w:leader="none" w:pos="1944" w:val="left"/>
        </w:tabs>
        <w:numPr>
          <w:ilvl w:val="0"/>
          <w:numId w:val="14"/>
        </w:numPr>
        <w:rPr>
          <w:rFonts w:ascii="Arial" w:cs="Arial" w:eastAsia="Arial" w:hAnsi="Arial"/>
          <w:sz w:val="20"/>
          <w:szCs w:val="20"/>
          <w:color w:val="auto"/>
        </w:rPr>
      </w:pPr>
      <w:r>
        <w:rPr>
          <w:rFonts w:ascii="Arial" w:cs="Arial" w:eastAsia="Arial" w:hAnsi="Arial"/>
          <w:sz w:val="20"/>
          <w:szCs w:val="20"/>
          <w:color w:val="auto"/>
        </w:rPr>
        <w:t>On and after the Amendment No. 2 Effective Date, each reference in the Credit Agreement to “this Agreement”, “hereunder”, “hereof”, “herein” or words of like import, and each</w:t>
      </w:r>
    </w:p>
    <w:p>
      <w:pPr>
        <w:sectPr>
          <w:pgSz w:w="11900" w:h="16838" w:orient="portrait"/>
          <w:cols w:equalWidth="0" w:num="1">
            <w:col w:w="11240"/>
          </w:cols>
          <w:pgMar w:left="320" w:top="140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reference to the Credit Agreement, “thereunder”, “thereof”, “therein” or words of like import in any other Loan Document, shall be deemed a</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reference to the Credit Agreement, as amended hereby. This Amendment shall constitute an Incremental Facility Amendment entered into pursuant to Section 2.20 of the Credit Agreement and a “Loan Document” for all purposes of the Credit Agreement and the other Loan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Documents.</w:t>
      </w:r>
    </w:p>
    <w:p>
      <w:pPr>
        <w:spacing w:after="0" w:line="194" w:lineRule="exact"/>
        <w:rPr>
          <w:sz w:val="20"/>
          <w:szCs w:val="20"/>
          <w:color w:val="auto"/>
        </w:rPr>
      </w:pPr>
    </w:p>
    <w:p>
      <w:pPr>
        <w:ind w:firstLine="1296"/>
        <w:spacing w:after="0" w:line="227" w:lineRule="auto"/>
        <w:rPr>
          <w:sz w:val="20"/>
          <w:szCs w:val="20"/>
          <w:color w:val="auto"/>
        </w:rPr>
      </w:pPr>
      <w:r>
        <w:rPr>
          <w:rFonts w:ascii="Arial" w:cs="Arial" w:eastAsia="Arial" w:hAnsi="Arial"/>
          <w:sz w:val="19"/>
          <w:szCs w:val="19"/>
          <w:b w:val="1"/>
          <w:bCs w:val="1"/>
          <w:color w:val="auto"/>
        </w:rPr>
        <w:t xml:space="preserve">Section 9. </w:t>
      </w:r>
      <w:r>
        <w:rPr>
          <w:rFonts w:ascii="Arial" w:cs="Arial" w:eastAsia="Arial" w:hAnsi="Arial"/>
          <w:sz w:val="19"/>
          <w:szCs w:val="19"/>
          <w:b w:val="1"/>
          <w:bCs w:val="1"/>
          <w:u w:val="single" w:color="auto"/>
          <w:color w:val="auto"/>
        </w:rPr>
        <w:t>Transition to Adjusted Term SOFR</w:t>
      </w:r>
      <w:r>
        <w:rPr>
          <w:rFonts w:ascii="Arial" w:cs="Arial" w:eastAsia="Arial" w:hAnsi="Arial"/>
          <w:sz w:val="19"/>
          <w:szCs w:val="19"/>
          <w:color w:val="auto"/>
        </w:rPr>
        <w:t>. Notwithstanding any other provision herein or in any other Loan</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 the interest rate on any Term Loan and Revolving Loan that constitutes a Eurocurrency Loan that is outstanding as of the</w:t>
      </w:r>
    </w:p>
    <w:p>
      <w:pPr>
        <w:spacing w:after="0" w:line="235" w:lineRule="auto"/>
        <w:rPr>
          <w:sz w:val="20"/>
          <w:szCs w:val="20"/>
          <w:color w:val="auto"/>
        </w:rPr>
      </w:pPr>
      <w:r>
        <w:rPr>
          <w:rFonts w:ascii="Arial" w:cs="Arial" w:eastAsia="Arial" w:hAnsi="Arial"/>
          <w:sz w:val="18"/>
          <w:szCs w:val="18"/>
          <w:color w:val="auto"/>
        </w:rPr>
        <w:t>Amendment No. 2 Effective Date (each, an “</w:t>
      </w:r>
      <w:r>
        <w:rPr>
          <w:rFonts w:ascii="Arial" w:cs="Arial" w:eastAsia="Arial" w:hAnsi="Arial"/>
          <w:sz w:val="18"/>
          <w:szCs w:val="18"/>
          <w:u w:val="single" w:color="auto"/>
          <w:color w:val="auto"/>
        </w:rPr>
        <w:t>Existing LIBO Rate Loan</w:t>
      </w:r>
      <w:r>
        <w:rPr>
          <w:rFonts w:ascii="Arial" w:cs="Arial" w:eastAsia="Arial" w:hAnsi="Arial"/>
          <w:sz w:val="18"/>
          <w:szCs w:val="18"/>
          <w:color w:val="auto"/>
        </w:rPr>
        <w:t>”) shall continue to be determined by reference to the Adjusted LIBO</w:t>
      </w:r>
    </w:p>
    <w:p>
      <w:pPr>
        <w:spacing w:after="0" w:line="226" w:lineRule="auto"/>
        <w:rPr>
          <w:sz w:val="20"/>
          <w:szCs w:val="20"/>
          <w:color w:val="auto"/>
        </w:rPr>
      </w:pPr>
      <w:r>
        <w:rPr>
          <w:rFonts w:ascii="Arial" w:cs="Arial" w:eastAsia="Arial" w:hAnsi="Arial"/>
          <w:sz w:val="18"/>
          <w:szCs w:val="18"/>
          <w:color w:val="auto"/>
        </w:rPr>
        <w:t>Rate until the end of the then current Interest Period applicable to such Existing LIBO Rate Loans (the “</w:t>
      </w:r>
      <w:r>
        <w:rPr>
          <w:rFonts w:ascii="Arial" w:cs="Arial" w:eastAsia="Arial" w:hAnsi="Arial"/>
          <w:sz w:val="18"/>
          <w:szCs w:val="18"/>
          <w:u w:val="single" w:color="auto"/>
          <w:color w:val="auto"/>
        </w:rPr>
        <w:t>Current Interest Period End Date</w:t>
      </w:r>
      <w:r>
        <w:rPr>
          <w:rFonts w:ascii="Arial" w:cs="Arial" w:eastAsia="Arial" w:hAnsi="Arial"/>
          <w:sz w:val="18"/>
          <w:szCs w:val="18"/>
          <w:color w:val="auto"/>
        </w:rPr>
        <w:t>”) and the provisions of the Credit Agreement applicable thereto shall continue and remain in effect (notwithstanding the entry into this</w:t>
      </w:r>
    </w:p>
    <w:p>
      <w:pPr>
        <w:spacing w:after="0" w:line="236" w:lineRule="auto"/>
        <w:rPr>
          <w:sz w:val="20"/>
          <w:szCs w:val="20"/>
          <w:color w:val="auto"/>
        </w:rPr>
      </w:pPr>
      <w:r>
        <w:rPr>
          <w:rFonts w:ascii="Arial" w:cs="Arial" w:eastAsia="Arial" w:hAnsi="Arial"/>
          <w:sz w:val="18"/>
          <w:szCs w:val="18"/>
          <w:color w:val="auto"/>
        </w:rPr>
        <w:t>Amendment and the occurrence of the Amendment No. 2 Effective Date) until the end of the Current Interest Period End Date for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Existing LIBO Rate Loan, after which such provisions shall have no further force or effect and upon which date the terms of the Amended Credit Agreement notwithstanding this Section 9 shall automatically apply to such Term Loans and Revolving Loans without any further</w:t>
      </w:r>
    </w:p>
    <w:p>
      <w:pPr>
        <w:spacing w:after="0" w:line="236" w:lineRule="auto"/>
        <w:rPr>
          <w:sz w:val="20"/>
          <w:szCs w:val="20"/>
          <w:color w:val="auto"/>
        </w:rPr>
      </w:pPr>
      <w:r>
        <w:rPr>
          <w:rFonts w:ascii="Arial" w:cs="Arial" w:eastAsia="Arial" w:hAnsi="Arial"/>
          <w:sz w:val="18"/>
          <w:szCs w:val="18"/>
          <w:color w:val="auto"/>
        </w:rPr>
        <w:t xml:space="preserve">action by any party party hereto;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for the avoidance of doubt, at any time from and after the Amendment No. 2 Effective Date,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Borrower shall not be permitted to request a (i) Borrowing bearing interest at the Adjusted LIBO Rate or (ii) conversion to, or continuation of, any Eurocurrency Loan that is a Loan outstanding as of the Amendment No. 2 Effective Date and shall instead request that</w:t>
      </w:r>
    </w:p>
    <w:p>
      <w:pPr>
        <w:spacing w:after="0" w:line="236" w:lineRule="auto"/>
        <w:rPr>
          <w:sz w:val="20"/>
          <w:szCs w:val="20"/>
          <w:color w:val="auto"/>
        </w:rPr>
      </w:pPr>
      <w:r>
        <w:rPr>
          <w:rFonts w:ascii="Arial" w:cs="Arial" w:eastAsia="Arial" w:hAnsi="Arial"/>
          <w:sz w:val="18"/>
          <w:szCs w:val="18"/>
          <w:color w:val="auto"/>
        </w:rPr>
        <w:t>any such Borrowing is made in, converted to or continued to, as applicable, to Adjusted Term SOFR (as defined in the Amended Credit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Agreement); </w:t>
      </w:r>
      <w:r>
        <w:rPr>
          <w:rFonts w:ascii="Arial" w:cs="Arial" w:eastAsia="Arial" w:hAnsi="Arial"/>
          <w:sz w:val="18"/>
          <w:szCs w:val="18"/>
          <w:i w:val="1"/>
          <w:iCs w:val="1"/>
          <w:color w:val="auto"/>
        </w:rPr>
        <w:t>provided, further, that</w:t>
      </w:r>
      <w:r>
        <w:rPr>
          <w:rFonts w:ascii="Arial" w:cs="Arial" w:eastAsia="Arial" w:hAnsi="Arial"/>
          <w:sz w:val="18"/>
          <w:szCs w:val="18"/>
          <w:color w:val="auto"/>
        </w:rPr>
        <w:t xml:space="preserve"> if the Borrower has not delivered an Interest Election Request specifying an Interest Period (as defined in the Amended Credit Agreement) at the end of the Current Interest Period End Date for such Existing LIBO Rate Loans, the Borrower shall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deemed to have selected an Interest Period (as defined in the Amended Credit Agreement) of one month’s duration.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this page left intentionally blank]</w:t>
      </w:r>
    </w:p>
    <w:p>
      <w:pPr>
        <w:sectPr>
          <w:pgSz w:w="11900" w:h="16838" w:orient="portrait"/>
          <w:cols w:equalWidth="0" w:num="1">
            <w:col w:w="11240"/>
          </w:cols>
          <w:pgMar w:left="320" w:top="1405"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IN WITNESS WHEREOF, the parties hereto have caused this Amendment to be duly executed as of the date first above</w:t>
      </w:r>
    </w:p>
    <w:p>
      <w:pPr>
        <w:spacing w:after="0"/>
        <w:rPr>
          <w:sz w:val="20"/>
          <w:szCs w:val="20"/>
          <w:color w:val="auto"/>
        </w:rPr>
      </w:pPr>
      <w:r>
        <w:rPr>
          <w:rFonts w:ascii="Arial" w:cs="Arial" w:eastAsia="Arial" w:hAnsi="Arial"/>
          <w:sz w:val="20"/>
          <w:szCs w:val="20"/>
          <w:color w:val="auto"/>
        </w:rPr>
        <w:t>written.</w:t>
      </w:r>
    </w:p>
    <w:p>
      <w:pPr>
        <w:spacing w:after="0" w:line="17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EVERCOMMERCE SOLUTIONS INC.</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-635</wp:posOffset>
            </wp:positionV>
            <wp:extent cx="12357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4540"/>
        <w:spacing w:after="0" w:line="219" w:lineRule="auto"/>
        <w:rPr>
          <w:sz w:val="20"/>
          <w:szCs w:val="20"/>
          <w:color w:val="auto"/>
        </w:rPr>
      </w:pPr>
      <w:r>
        <w:rPr>
          <w:rFonts w:ascii="Arial" w:cs="Arial" w:eastAsia="Arial" w:hAnsi="Arial"/>
          <w:sz w:val="18"/>
          <w:szCs w:val="18"/>
          <w:color w:val="auto"/>
        </w:rPr>
        <w:t>Name: Marc Thompson</w:t>
      </w:r>
    </w:p>
    <w:p>
      <w:pPr>
        <w:jc w:val="center"/>
        <w:ind w:right="-379"/>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17"/>
          <w:szCs w:val="17"/>
          <w:i w:val="1"/>
          <w:iCs w:val="1"/>
          <w:color w:val="auto"/>
        </w:rPr>
        <w:t>Signature Page To Amendment No. 2]</w:t>
      </w:r>
    </w:p>
    <w:p>
      <w:pPr>
        <w:sectPr>
          <w:pgSz w:w="11900" w:h="16838" w:orient="portrait"/>
          <w:cols w:equalWidth="0" w:num="1">
            <w:col w:w="10800"/>
          </w:cols>
          <w:pgMar w:left="320" w:top="1440" w:right="77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ROYAL BANK OF CANADA</w:t>
      </w:r>
      <w:r>
        <w:rPr>
          <w:rFonts w:ascii="Arial" w:cs="Arial" w:eastAsia="Arial" w:hAnsi="Arial"/>
          <w:sz w:val="18"/>
          <w:szCs w:val="18"/>
          <w:color w:val="auto"/>
        </w:rPr>
        <w:t>, as Administrative Agent</w:t>
      </w:r>
    </w:p>
    <w:p>
      <w:pPr>
        <w:spacing w:after="0" w:line="200" w:lineRule="exact"/>
        <w:rPr>
          <w:sz w:val="20"/>
          <w:szCs w:val="20"/>
          <w:color w:val="auto"/>
        </w:rPr>
      </w:pPr>
    </w:p>
    <w:p>
      <w:pPr>
        <w:spacing w:after="0" w:line="216"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Casey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-7620</wp:posOffset>
            </wp:positionV>
            <wp:extent cx="8934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893445" cy="8255"/>
                    </a:xfrm>
                    <a:prstGeom prst="rect">
                      <a:avLst/>
                    </a:prstGeom>
                    <a:noFill/>
                  </pic:spPr>
                </pic:pic>
              </a:graphicData>
            </a:graphic>
          </wp:anchor>
        </w:drawing>
      </w:r>
    </w:p>
    <w:p>
      <w:pPr>
        <w:ind w:left="2980"/>
        <w:spacing w:after="0" w:line="197" w:lineRule="auto"/>
        <w:rPr>
          <w:sz w:val="20"/>
          <w:szCs w:val="20"/>
          <w:color w:val="auto"/>
        </w:rPr>
      </w:pPr>
      <w:r>
        <w:rPr>
          <w:rFonts w:ascii="Arial" w:cs="Arial" w:eastAsia="Arial" w:hAnsi="Arial"/>
          <w:sz w:val="20"/>
          <w:szCs w:val="20"/>
          <w:color w:val="auto"/>
        </w:rPr>
        <w:t>Name: Casey Clark</w:t>
      </w:r>
    </w:p>
    <w:p>
      <w:pPr>
        <w:ind w:left="2980"/>
        <w:spacing w:after="0"/>
        <w:rPr>
          <w:sz w:val="20"/>
          <w:szCs w:val="20"/>
          <w:color w:val="auto"/>
        </w:rPr>
      </w:pPr>
      <w:r>
        <w:rPr>
          <w:rFonts w:ascii="Arial" w:cs="Arial" w:eastAsia="Arial" w:hAnsi="Arial"/>
          <w:sz w:val="20"/>
          <w:szCs w:val="20"/>
          <w:color w:val="auto"/>
        </w:rPr>
        <w:t>Title: Manager, Agency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8204200</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i w:val="1"/>
          <w:iCs w:val="1"/>
          <w:color w:val="auto"/>
        </w:rPr>
        <w:t xml:space="preserve">Exhibit A to Amendment No. </w:t>
      </w:r>
      <w:r>
        <w:rPr>
          <w:rFonts w:ascii="Arial" w:cs="Arial" w:eastAsia="Arial" w:hAnsi="Arial"/>
          <w:sz w:val="20"/>
          <w:szCs w:val="20"/>
          <w:b w:val="1"/>
          <w:bCs w:val="1"/>
          <w:i w:val="1"/>
          <w:iCs w:val="1"/>
          <w:color w:val="FF0000"/>
          <w:strike w:val="1"/>
        </w:rPr>
        <w:t>1</w:t>
      </w:r>
      <w:r>
        <w:rPr>
          <w:rFonts w:ascii="Arial" w:cs="Arial" w:eastAsia="Arial" w:hAnsi="Arial"/>
          <w:sz w:val="20"/>
          <w:szCs w:val="20"/>
          <w:b w:val="1"/>
          <w:bCs w:val="1"/>
          <w:i w:val="1"/>
          <w:iCs w:val="1"/>
          <w:u w:val="single" w:color="auto"/>
          <w:color w:val="0000FF"/>
          <w:highlight w:val="lightGray"/>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714375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CREDIT AGREEMENT</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dated as of</w:t>
      </w:r>
    </w:p>
    <w:p>
      <w:pPr>
        <w:spacing w:after="0" w:line="14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July 6, 2021,</w:t>
      </w:r>
    </w:p>
    <w:p>
      <w:pPr>
        <w:jc w:val="center"/>
        <w:spacing w:after="0" w:line="203" w:lineRule="auto"/>
        <w:rPr>
          <w:sz w:val="20"/>
          <w:szCs w:val="20"/>
          <w:color w:val="auto"/>
        </w:rPr>
      </w:pPr>
      <w:r>
        <w:rPr>
          <w:rFonts w:ascii="Arial" w:cs="Arial" w:eastAsia="Arial" w:hAnsi="Arial"/>
          <w:sz w:val="18"/>
          <w:szCs w:val="18"/>
          <w:color w:val="auto"/>
        </w:rPr>
        <w:t>as amended by Amendment No. 1, dated as of November 23, 2021</w:t>
      </w:r>
    </w:p>
    <w:p>
      <w:pPr>
        <w:jc w:val="center"/>
        <w:spacing w:after="0"/>
        <w:rPr>
          <w:sz w:val="20"/>
          <w:szCs w:val="20"/>
          <w:color w:val="auto"/>
        </w:rPr>
      </w:pPr>
      <w:r>
        <w:rPr>
          <w:rFonts w:ascii="Arial" w:cs="Arial" w:eastAsia="Arial" w:hAnsi="Arial"/>
          <w:sz w:val="18"/>
          <w:szCs w:val="18"/>
          <w:u w:val="single" w:color="auto"/>
          <w:color w:val="0000FF"/>
          <w:highlight w:val="lightGray"/>
        </w:rPr>
        <w:t>as amended by Amendment No. 2, dated as of June 26, 2023</w:t>
      </w:r>
    </w:p>
    <w:p>
      <w:pPr>
        <w:spacing w:after="0" w:line="14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among</w:t>
      </w:r>
    </w:p>
    <w:p>
      <w:pPr>
        <w:spacing w:after="0" w:line="14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EVERCOMMERCE INTERMEDIATE INC.,</w:t>
      </w:r>
    </w:p>
    <w:p>
      <w:pPr>
        <w:jc w:val="center"/>
        <w:spacing w:after="0" w:line="203" w:lineRule="auto"/>
        <w:rPr>
          <w:sz w:val="20"/>
          <w:szCs w:val="20"/>
          <w:color w:val="auto"/>
        </w:rPr>
      </w:pPr>
      <w:r>
        <w:rPr>
          <w:rFonts w:ascii="Arial" w:cs="Arial" w:eastAsia="Arial" w:hAnsi="Arial"/>
          <w:sz w:val="18"/>
          <w:szCs w:val="18"/>
          <w:color w:val="auto"/>
        </w:rPr>
        <w:t>as Holdings,</w:t>
      </w:r>
    </w:p>
    <w:p>
      <w:pPr>
        <w:jc w:val="center"/>
        <w:spacing w:after="0" w:line="219" w:lineRule="auto"/>
        <w:rPr>
          <w:sz w:val="20"/>
          <w:szCs w:val="20"/>
          <w:color w:val="auto"/>
        </w:rPr>
      </w:pPr>
      <w:r>
        <w:rPr>
          <w:rFonts w:ascii="Arial" w:cs="Arial" w:eastAsia="Arial" w:hAnsi="Arial"/>
          <w:sz w:val="18"/>
          <w:szCs w:val="18"/>
          <w:color w:val="auto"/>
        </w:rPr>
        <w:t>EVERCOMMERCE SOLUTIONS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Borrower,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Party Hereto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ROYAL BANK OF CANADA,</w:t>
      </w:r>
    </w:p>
    <w:p>
      <w:pPr>
        <w:jc w:val="center"/>
        <w:spacing w:after="0"/>
        <w:rPr>
          <w:sz w:val="20"/>
          <w:szCs w:val="20"/>
          <w:color w:val="auto"/>
        </w:rPr>
      </w:pPr>
      <w:r>
        <w:rPr>
          <w:rFonts w:ascii="Arial" w:cs="Arial" w:eastAsia="Arial" w:hAnsi="Arial"/>
          <w:sz w:val="18"/>
          <w:szCs w:val="18"/>
          <w:color w:val="auto"/>
        </w:rPr>
        <w:t>as Administrative Agent, Collateral Agent and an Issuing Bank</w:t>
      </w:r>
    </w:p>
    <w:p>
      <w:pPr>
        <w:spacing w:after="0" w:line="38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9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KKR CAPITAL MARKETS LLC, GOLDMAN SACHS BANK USA, JPMORGAN CHASE BANK, N.A., RBC CAPITAL MARKETS</w:t>
      </w:r>
      <w:r>
        <w:rPr>
          <w:rFonts w:ascii="Arial" w:cs="Arial" w:eastAsia="Arial" w:hAnsi="Arial"/>
          <w:sz w:val="22"/>
          <w:szCs w:val="22"/>
          <w:color w:val="auto"/>
          <w:vertAlign w:val="superscript"/>
        </w:rPr>
        <w:t>1</w:t>
      </w:r>
      <w:r>
        <w:rPr>
          <w:rFonts w:ascii="Arial" w:cs="Arial" w:eastAsia="Arial" w:hAnsi="Arial"/>
          <w:sz w:val="17"/>
          <w:szCs w:val="17"/>
          <w:color w:val="auto"/>
        </w:rPr>
        <w:t>, BARCLAYS</w:t>
      </w:r>
    </w:p>
    <w:p>
      <w:pPr>
        <w:ind w:left="2420"/>
        <w:spacing w:after="0" w:line="203" w:lineRule="auto"/>
        <w:rPr>
          <w:sz w:val="20"/>
          <w:szCs w:val="20"/>
          <w:color w:val="auto"/>
        </w:rPr>
      </w:pPr>
      <w:r>
        <w:rPr>
          <w:rFonts w:ascii="Arial" w:cs="Arial" w:eastAsia="Arial" w:hAnsi="Arial"/>
          <w:sz w:val="18"/>
          <w:szCs w:val="18"/>
          <w:color w:val="auto"/>
        </w:rPr>
        <w:t>BANK PLC, DEUTSCHE BANK SECURITIES INC. and JEFFERIES FINANCE LLC,</w:t>
      </w:r>
    </w:p>
    <w:p>
      <w:pPr>
        <w:jc w:val="center"/>
        <w:spacing w:after="0"/>
        <w:rPr>
          <w:sz w:val="20"/>
          <w:szCs w:val="20"/>
          <w:color w:val="auto"/>
        </w:rPr>
      </w:pPr>
      <w:r>
        <w:rPr>
          <w:rFonts w:ascii="Arial" w:cs="Arial" w:eastAsia="Arial" w:hAnsi="Arial"/>
          <w:sz w:val="18"/>
          <w:szCs w:val="18"/>
          <w:color w:val="auto"/>
        </w:rPr>
        <w:t>as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1714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RBC Capital Markets is a brand name for the capital markets activities of Royal Bank of Canada and its affiliates.</w:t>
      </w:r>
    </w:p>
    <w:p>
      <w:pPr>
        <w:sectPr>
          <w:pgSz w:w="11900" w:h="16838" w:orient="portrait"/>
          <w:cols w:equalWidth="0" w:num="1">
            <w:col w:w="11240"/>
          </w:cols>
          <w:pgMar w:left="320" w:top="108" w:right="339" w:bottom="1440" w:gutter="0" w:footer="0" w:header="0"/>
        </w:sectPr>
      </w:pPr>
    </w:p>
    <w:bookmarkStart w:id="54" w:name="page55"/>
    <w:bookmarkEnd w:id="54"/>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40" w:type="dxa"/>
            <w:vAlign w:val="bottom"/>
            <w:gridSpan w:val="91"/>
          </w:tcPr>
          <w:p>
            <w:pPr>
              <w:spacing w:after="0"/>
              <w:rPr>
                <w:sz w:val="20"/>
                <w:szCs w:val="20"/>
                <w:color w:val="auto"/>
              </w:rPr>
            </w:pPr>
            <w:r>
              <w:rPr>
                <w:rFonts w:ascii="Arial" w:cs="Arial" w:eastAsia="Arial" w:hAnsi="Arial"/>
                <w:sz w:val="18"/>
                <w:szCs w:val="18"/>
                <w:color w:val="auto"/>
              </w:rPr>
              <w:t>TABLE OF CONTENTS</w:t>
            </w:r>
          </w:p>
        </w:tc>
        <w:tc>
          <w:tcPr>
            <w:tcW w:w="0" w:type="dxa"/>
            <w:vAlign w:val="bottom"/>
          </w:tcPr>
          <w:p>
            <w:pPr>
              <w:spacing w:after="0"/>
              <w:rPr>
                <w:sz w:val="1"/>
                <w:szCs w:val="1"/>
                <w:color w:val="auto"/>
              </w:rPr>
            </w:pPr>
          </w:p>
        </w:tc>
      </w:tr>
      <w:tr>
        <w:trPr>
          <w:trHeight w:val="351"/>
        </w:trPr>
        <w:tc>
          <w:tcPr>
            <w:tcW w:w="11240" w:type="dxa"/>
            <w:vAlign w:val="bottom"/>
            <w:gridSpan w:val="91"/>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12"/>
        </w:trPr>
        <w:tc>
          <w:tcPr>
            <w:tcW w:w="10900" w:type="dxa"/>
            <w:vAlign w:val="bottom"/>
            <w:gridSpan w:val="90"/>
          </w:tcPr>
          <w:p>
            <w:pPr>
              <w:spacing w:after="0"/>
              <w:rPr>
                <w:sz w:val="20"/>
                <w:szCs w:val="20"/>
                <w:color w:val="auto"/>
              </w:rPr>
            </w:pPr>
            <w:r>
              <w:rPr>
                <w:rFonts w:ascii="Arial" w:cs="Arial" w:eastAsia="Arial" w:hAnsi="Arial"/>
                <w:sz w:val="18"/>
                <w:szCs w:val="18"/>
                <w:color w:val="010000"/>
              </w:rPr>
              <w:t>ARTICLE I</w:t>
            </w: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240" w:type="dxa"/>
            <w:vAlign w:val="bottom"/>
            <w:gridSpan w:val="91"/>
          </w:tcPr>
          <w:p>
            <w:pPr>
              <w:spacing w:after="0"/>
              <w:rPr>
                <w:sz w:val="20"/>
                <w:szCs w:val="20"/>
                <w:color w:val="auto"/>
              </w:rPr>
            </w:pPr>
            <w:r>
              <w:rPr>
                <w:rFonts w:ascii="Arial" w:cs="Arial" w:eastAsia="Arial" w:hAnsi="Arial"/>
                <w:sz w:val="18"/>
                <w:szCs w:val="18"/>
                <w:color w:val="auto"/>
              </w:rPr>
              <w:t>DEFINITIONS</w:t>
            </w:r>
          </w:p>
        </w:tc>
        <w:tc>
          <w:tcPr>
            <w:tcW w:w="0" w:type="dxa"/>
            <w:vAlign w:val="bottom"/>
          </w:tcPr>
          <w:p>
            <w:pPr>
              <w:spacing w:after="0"/>
              <w:rPr>
                <w:sz w:val="1"/>
                <w:szCs w:val="1"/>
                <w:color w:val="auto"/>
              </w:rPr>
            </w:pPr>
          </w:p>
        </w:tc>
      </w:tr>
      <w:tr>
        <w:trPr>
          <w:trHeight w:val="392"/>
        </w:trPr>
        <w:tc>
          <w:tcPr>
            <w:tcW w:w="1300" w:type="dxa"/>
            <w:vAlign w:val="bottom"/>
            <w:gridSpan w:val="2"/>
          </w:tcPr>
          <w:p>
            <w:pPr>
              <w:spacing w:after="0"/>
              <w:rPr>
                <w:sz w:val="20"/>
                <w:szCs w:val="20"/>
                <w:color w:val="auto"/>
              </w:rPr>
            </w:pPr>
            <w:r>
              <w:rPr>
                <w:rFonts w:ascii="Arial" w:cs="Arial" w:eastAsia="Arial" w:hAnsi="Arial"/>
                <w:sz w:val="18"/>
                <w:szCs w:val="18"/>
                <w:color w:val="auto"/>
                <w:w w:val="99"/>
              </w:rPr>
              <w:t>SECTION 1.01</w:t>
            </w:r>
          </w:p>
        </w:tc>
        <w:tc>
          <w:tcPr>
            <w:tcW w:w="1200" w:type="dxa"/>
            <w:vAlign w:val="bottom"/>
            <w:gridSpan w:val="9"/>
          </w:tcPr>
          <w:p>
            <w:pPr>
              <w:spacing w:after="0"/>
              <w:rPr>
                <w:sz w:val="20"/>
                <w:szCs w:val="20"/>
                <w:color w:val="auto"/>
              </w:rPr>
            </w:pPr>
            <w:r>
              <w:rPr>
                <w:rFonts w:ascii="Arial" w:cs="Arial" w:eastAsia="Arial" w:hAnsi="Arial"/>
                <w:sz w:val="18"/>
                <w:szCs w:val="18"/>
                <w:color w:val="auto"/>
                <w:w w:val="98"/>
              </w:rPr>
              <w:t>Defined Terms</w:t>
            </w:r>
          </w:p>
        </w:tc>
        <w:tc>
          <w:tcPr>
            <w:tcW w:w="8740" w:type="dxa"/>
            <w:vAlign w:val="bottom"/>
            <w:gridSpan w:val="80"/>
          </w:tcPr>
          <w:p>
            <w:pPr>
              <w:jc w:val="right"/>
              <w:ind w:right="86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1.02</w:t>
            </w:r>
          </w:p>
        </w:tc>
        <w:tc>
          <w:tcPr>
            <w:tcW w:w="80" w:type="dxa"/>
            <w:vAlign w:val="bottom"/>
          </w:tcPr>
          <w:p>
            <w:pPr>
              <w:spacing w:after="0"/>
              <w:rPr>
                <w:sz w:val="17"/>
                <w:szCs w:val="17"/>
                <w:color w:val="auto"/>
              </w:rPr>
            </w:pPr>
          </w:p>
        </w:tc>
        <w:tc>
          <w:tcPr>
            <w:tcW w:w="3000" w:type="dxa"/>
            <w:vAlign w:val="bottom"/>
            <w:gridSpan w:val="64"/>
          </w:tcPr>
          <w:p>
            <w:pPr>
              <w:spacing w:after="0" w:line="176" w:lineRule="exact"/>
              <w:rPr>
                <w:sz w:val="20"/>
                <w:szCs w:val="20"/>
                <w:color w:val="auto"/>
              </w:rPr>
            </w:pPr>
            <w:r>
              <w:rPr>
                <w:rFonts w:ascii="Arial" w:cs="Arial" w:eastAsia="Arial" w:hAnsi="Arial"/>
                <w:sz w:val="18"/>
                <w:szCs w:val="18"/>
                <w:color w:val="auto"/>
                <w:w w:val="95"/>
              </w:rPr>
              <w:t>Classification of Loans and Borrowings</w:t>
            </w:r>
          </w:p>
        </w:tc>
        <w:tc>
          <w:tcPr>
            <w:tcW w:w="240" w:type="dxa"/>
            <w:vAlign w:val="bottom"/>
            <w:gridSpan w:val="5"/>
          </w:tcPr>
          <w:p>
            <w:pPr>
              <w:jc w:val="right"/>
              <w:spacing w:after="0" w:line="176" w:lineRule="exact"/>
              <w:rPr>
                <w:sz w:val="20"/>
                <w:szCs w:val="20"/>
                <w:color w:val="auto"/>
              </w:rPr>
            </w:pPr>
            <w:r>
              <w:rPr>
                <w:rFonts w:ascii="Arial" w:cs="Arial" w:eastAsia="Arial" w:hAnsi="Arial"/>
                <w:sz w:val="18"/>
                <w:szCs w:val="18"/>
                <w:color w:val="FF0000"/>
                <w:strike w:val="1"/>
              </w:rPr>
              <w:t>62</w:t>
            </w:r>
          </w:p>
        </w:tc>
        <w:tc>
          <w:tcPr>
            <w:tcW w:w="180" w:type="dxa"/>
            <w:vAlign w:val="bottom"/>
            <w:tcBorders>
              <w:bottom w:val="single" w:sz="8" w:color="0000FF"/>
            </w:tcBorders>
            <w:gridSpan w:val="4"/>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65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w w:val="99"/>
              </w:rPr>
              <w:t>SECTION 1.03</w:t>
            </w:r>
          </w:p>
        </w:tc>
        <w:tc>
          <w:tcPr>
            <w:tcW w:w="1400" w:type="dxa"/>
            <w:vAlign w:val="bottom"/>
            <w:gridSpan w:val="14"/>
          </w:tcPr>
          <w:p>
            <w:pPr>
              <w:spacing w:after="0" w:line="176" w:lineRule="exact"/>
              <w:rPr>
                <w:sz w:val="20"/>
                <w:szCs w:val="20"/>
                <w:color w:val="auto"/>
              </w:rPr>
            </w:pPr>
            <w:r>
              <w:rPr>
                <w:rFonts w:ascii="Arial" w:cs="Arial" w:eastAsia="Arial" w:hAnsi="Arial"/>
                <w:sz w:val="18"/>
                <w:szCs w:val="18"/>
                <w:color w:val="auto"/>
                <w:w w:val="87"/>
              </w:rPr>
              <w:t>Terms Generally</w:t>
            </w:r>
          </w:p>
        </w:tc>
        <w:tc>
          <w:tcPr>
            <w:tcW w:w="180" w:type="dxa"/>
            <w:vAlign w:val="bottom"/>
            <w:gridSpan w:val="3"/>
          </w:tcPr>
          <w:p>
            <w:pPr>
              <w:jc w:val="right"/>
              <w:ind w:right="20"/>
              <w:spacing w:after="0" w:line="176" w:lineRule="exact"/>
              <w:rPr>
                <w:sz w:val="20"/>
                <w:szCs w:val="20"/>
                <w:color w:val="auto"/>
              </w:rPr>
            </w:pPr>
            <w:r>
              <w:rPr>
                <w:rFonts w:ascii="Arial" w:cs="Arial" w:eastAsia="Arial" w:hAnsi="Arial"/>
                <w:sz w:val="17"/>
                <w:szCs w:val="17"/>
                <w:color w:val="FF0000"/>
                <w:strike w:val="1"/>
                <w:w w:val="73"/>
              </w:rPr>
              <w:t>62</w:t>
            </w:r>
          </w:p>
        </w:tc>
        <w:tc>
          <w:tcPr>
            <w:tcW w:w="220" w:type="dxa"/>
            <w:vAlign w:val="bottom"/>
            <w:tcBorders>
              <w:bottom w:val="single" w:sz="8" w:color="0000FF"/>
            </w:tcBorders>
            <w:gridSpan w:val="9"/>
          </w:tcPr>
          <w:p>
            <w:pPr>
              <w:jc w:val="right"/>
              <w:ind w:right="220"/>
              <w:spacing w:after="0"/>
              <w:rPr>
                <w:sz w:val="20"/>
                <w:szCs w:val="20"/>
                <w:color w:val="auto"/>
              </w:rPr>
            </w:pPr>
            <w:r>
              <w:rPr>
                <w:rFonts w:ascii="Arial" w:cs="Arial" w:eastAsia="Arial" w:hAnsi="Arial"/>
                <w:sz w:val="15"/>
                <w:szCs w:val="15"/>
                <w:color w:val="0000FF"/>
                <w:highlight w:val="lightGray"/>
              </w:rPr>
              <w:t>65</w:t>
            </w:r>
          </w:p>
        </w:tc>
        <w:tc>
          <w:tcPr>
            <w:tcW w:w="8140" w:type="dxa"/>
            <w:vAlign w:val="bottom"/>
            <w:gridSpan w:val="63"/>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1.04</w:t>
            </w:r>
          </w:p>
        </w:tc>
        <w:tc>
          <w:tcPr>
            <w:tcW w:w="80" w:type="dxa"/>
            <w:vAlign w:val="bottom"/>
          </w:tcPr>
          <w:p>
            <w:pPr>
              <w:spacing w:after="0"/>
              <w:rPr>
                <w:sz w:val="17"/>
                <w:szCs w:val="17"/>
                <w:color w:val="auto"/>
              </w:rPr>
            </w:pPr>
          </w:p>
        </w:tc>
        <w:tc>
          <w:tcPr>
            <w:tcW w:w="3600" w:type="dxa"/>
            <w:vAlign w:val="bottom"/>
            <w:gridSpan w:val="74"/>
          </w:tcPr>
          <w:p>
            <w:pPr>
              <w:spacing w:after="0" w:line="176" w:lineRule="exact"/>
              <w:rPr>
                <w:sz w:val="20"/>
                <w:szCs w:val="20"/>
                <w:color w:val="auto"/>
              </w:rPr>
            </w:pPr>
            <w:r>
              <w:rPr>
                <w:rFonts w:ascii="Arial" w:cs="Arial" w:eastAsia="Arial" w:hAnsi="Arial"/>
                <w:sz w:val="18"/>
                <w:szCs w:val="18"/>
                <w:color w:val="auto"/>
                <w:w w:val="95"/>
              </w:rPr>
              <w:t>Accounting Terms; GAAP; Certain Calculations</w:t>
            </w:r>
          </w:p>
        </w:tc>
        <w:tc>
          <w:tcPr>
            <w:tcW w:w="20" w:type="dxa"/>
            <w:vAlign w:val="bottom"/>
          </w:tcPr>
          <w:p>
            <w:pPr>
              <w:spacing w:after="0"/>
              <w:rPr>
                <w:sz w:val="17"/>
                <w:szCs w:val="17"/>
                <w:color w:val="auto"/>
              </w:rPr>
            </w:pPr>
          </w:p>
        </w:tc>
        <w:tc>
          <w:tcPr>
            <w:tcW w:w="220" w:type="dxa"/>
            <w:vAlign w:val="bottom"/>
            <w:gridSpan w:val="4"/>
          </w:tcPr>
          <w:p>
            <w:pPr>
              <w:jc w:val="right"/>
              <w:spacing w:after="0" w:line="176" w:lineRule="exact"/>
              <w:rPr>
                <w:sz w:val="20"/>
                <w:szCs w:val="20"/>
                <w:color w:val="auto"/>
              </w:rPr>
            </w:pPr>
            <w:r>
              <w:rPr>
                <w:rFonts w:ascii="Arial" w:cs="Arial" w:eastAsia="Arial" w:hAnsi="Arial"/>
                <w:sz w:val="18"/>
                <w:szCs w:val="18"/>
                <w:color w:val="FF0000"/>
                <w:strike w:val="1"/>
                <w:w w:val="99"/>
              </w:rPr>
              <w:t>63</w:t>
            </w:r>
          </w:p>
        </w:tc>
        <w:tc>
          <w:tcPr>
            <w:tcW w:w="20" w:type="dxa"/>
            <w:vAlign w:val="bottom"/>
            <w:tcBorders>
              <w:bottom w:val="single" w:sz="8" w:color="0000FF"/>
            </w:tcBorders>
          </w:tcPr>
          <w:p>
            <w:pPr>
              <w:spacing w:after="0"/>
              <w:rPr>
                <w:sz w:val="17"/>
                <w:szCs w:val="17"/>
                <w:color w:val="auto"/>
              </w:rPr>
            </w:pPr>
          </w:p>
        </w:tc>
        <w:tc>
          <w:tcPr>
            <w:tcW w:w="160" w:type="dxa"/>
            <w:vAlign w:val="bottom"/>
            <w:tcBorders>
              <w:bottom w:val="single" w:sz="8" w:color="0000FF"/>
            </w:tcBorders>
            <w:gridSpan w:val="2"/>
            <w:shd w:val="clear" w:color="auto" w:fill="DDDDDD"/>
          </w:tcPr>
          <w:p>
            <w:pPr>
              <w:spacing w:after="0" w:line="176" w:lineRule="exact"/>
              <w:rPr>
                <w:sz w:val="20"/>
                <w:szCs w:val="20"/>
                <w:color w:val="auto"/>
              </w:rPr>
            </w:pPr>
            <w:r>
              <w:rPr>
                <w:rFonts w:ascii="Arial" w:cs="Arial" w:eastAsia="Arial" w:hAnsi="Arial"/>
                <w:sz w:val="17"/>
                <w:szCs w:val="17"/>
                <w:color w:val="0000FF"/>
                <w:highlight w:val="lightGray"/>
                <w:w w:val="73"/>
              </w:rPr>
              <w:t>66</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1.05</w:t>
            </w:r>
          </w:p>
        </w:tc>
        <w:tc>
          <w:tcPr>
            <w:tcW w:w="80" w:type="dxa"/>
            <w:vAlign w:val="bottom"/>
            <w:vMerge w:val="restart"/>
          </w:tcPr>
          <w:p>
            <w:pPr>
              <w:spacing w:after="0" w:line="20" w:lineRule="exact"/>
              <w:rPr>
                <w:sz w:val="1"/>
                <w:szCs w:val="1"/>
                <w:color w:val="auto"/>
              </w:rPr>
            </w:pPr>
          </w:p>
        </w:tc>
        <w:tc>
          <w:tcPr>
            <w:tcW w:w="2200" w:type="dxa"/>
            <w:vAlign w:val="bottom"/>
            <w:gridSpan w:val="39"/>
            <w:vMerge w:val="restart"/>
          </w:tcPr>
          <w:p>
            <w:pPr>
              <w:spacing w:after="0" w:line="176" w:lineRule="exact"/>
              <w:rPr>
                <w:sz w:val="20"/>
                <w:szCs w:val="20"/>
                <w:color w:val="auto"/>
              </w:rPr>
            </w:pPr>
            <w:r>
              <w:rPr>
                <w:rFonts w:ascii="Arial" w:cs="Arial" w:eastAsia="Arial" w:hAnsi="Arial"/>
                <w:sz w:val="18"/>
                <w:szCs w:val="18"/>
                <w:color w:val="auto"/>
                <w:w w:val="88"/>
              </w:rPr>
              <w:t>Certain Calculations and Tests</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vMerge w:val="restart"/>
          </w:tcPr>
          <w:p>
            <w:pPr>
              <w:jc w:val="right"/>
              <w:spacing w:after="0" w:line="176" w:lineRule="exact"/>
              <w:rPr>
                <w:sz w:val="20"/>
                <w:szCs w:val="20"/>
                <w:color w:val="auto"/>
              </w:rPr>
            </w:pPr>
            <w:r>
              <w:rPr>
                <w:rFonts w:ascii="Arial" w:cs="Arial" w:eastAsia="Arial" w:hAnsi="Arial"/>
                <w:sz w:val="17"/>
                <w:szCs w:val="17"/>
                <w:color w:val="FF0000"/>
                <w:strike w:val="1"/>
                <w:w w:val="73"/>
              </w:rPr>
              <w:t>64</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200" w:type="dxa"/>
            <w:vAlign w:val="bottom"/>
            <w:gridSpan w:val="39"/>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4"/>
            <w:vMerge w:val="continue"/>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160" w:type="dxa"/>
            <w:vAlign w:val="bottom"/>
            <w:tcBorders>
              <w:left w:val="single" w:sz="8" w:color="DDDDDD"/>
              <w:bottom w:val="single" w:sz="8" w:color="0000FF"/>
            </w:tcBorders>
            <w:gridSpan w:val="6"/>
            <w:shd w:val="clear" w:color="auto" w:fill="DDDDDD"/>
          </w:tcPr>
          <w:p>
            <w:pPr>
              <w:jc w:val="right"/>
              <w:spacing w:after="0" w:line="156" w:lineRule="exact"/>
              <w:rPr>
                <w:sz w:val="20"/>
                <w:szCs w:val="20"/>
                <w:color w:val="auto"/>
              </w:rPr>
            </w:pPr>
            <w:r>
              <w:rPr>
                <w:rFonts w:ascii="Arial" w:cs="Arial" w:eastAsia="Arial" w:hAnsi="Arial"/>
                <w:sz w:val="17"/>
                <w:szCs w:val="17"/>
                <w:color w:val="0000FF"/>
                <w:highlight w:val="lightGray"/>
                <w:w w:val="73"/>
              </w:rPr>
              <w:t>67</w:t>
            </w:r>
          </w:p>
        </w:tc>
        <w:tc>
          <w:tcPr>
            <w:tcW w:w="20" w:type="dxa"/>
            <w:vAlign w:val="bottom"/>
            <w:tcBorders>
              <w:bottom w:val="single" w:sz="8" w:color="0000FF"/>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1.06</w:t>
            </w:r>
          </w:p>
        </w:tc>
        <w:tc>
          <w:tcPr>
            <w:tcW w:w="80" w:type="dxa"/>
            <w:vAlign w:val="bottom"/>
          </w:tcPr>
          <w:p>
            <w:pPr>
              <w:spacing w:after="0"/>
              <w:rPr>
                <w:sz w:val="17"/>
                <w:szCs w:val="17"/>
                <w:color w:val="auto"/>
              </w:rPr>
            </w:pPr>
          </w:p>
        </w:tc>
        <w:tc>
          <w:tcPr>
            <w:tcW w:w="2200" w:type="dxa"/>
            <w:vAlign w:val="bottom"/>
            <w:gridSpan w:val="39"/>
          </w:tcPr>
          <w:p>
            <w:pPr>
              <w:spacing w:after="0" w:line="176" w:lineRule="exact"/>
              <w:rPr>
                <w:sz w:val="20"/>
                <w:szCs w:val="20"/>
                <w:color w:val="auto"/>
              </w:rPr>
            </w:pPr>
            <w:r>
              <w:rPr>
                <w:rFonts w:ascii="Arial" w:cs="Arial" w:eastAsia="Arial" w:hAnsi="Arial"/>
                <w:sz w:val="18"/>
                <w:szCs w:val="18"/>
                <w:color w:val="auto"/>
                <w:w w:val="96"/>
              </w:rPr>
              <w:t>Effectuation of Transactions</w:t>
            </w:r>
          </w:p>
        </w:tc>
        <w:tc>
          <w:tcPr>
            <w:tcW w:w="200" w:type="dxa"/>
            <w:vAlign w:val="bottom"/>
            <w:gridSpan w:val="6"/>
          </w:tcPr>
          <w:p>
            <w:pPr>
              <w:ind w:left="20"/>
              <w:spacing w:after="0" w:line="176" w:lineRule="exact"/>
              <w:rPr>
                <w:sz w:val="20"/>
                <w:szCs w:val="20"/>
                <w:color w:val="auto"/>
              </w:rPr>
            </w:pPr>
            <w:r>
              <w:rPr>
                <w:rFonts w:ascii="Arial" w:cs="Arial" w:eastAsia="Arial" w:hAnsi="Arial"/>
                <w:sz w:val="17"/>
                <w:szCs w:val="17"/>
                <w:color w:val="FF0000"/>
                <w:strike w:val="1"/>
                <w:w w:val="73"/>
              </w:rPr>
              <w:t>64</w:t>
            </w:r>
          </w:p>
        </w:tc>
        <w:tc>
          <w:tcPr>
            <w:tcW w:w="180" w:type="dxa"/>
            <w:vAlign w:val="bottom"/>
            <w:gridSpan w:val="5"/>
            <w:shd w:val="clear" w:color="auto" w:fill="DDDDDD"/>
          </w:tcPr>
          <w:p>
            <w:pPr>
              <w:jc w:val="right"/>
              <w:ind w:right="20"/>
              <w:spacing w:after="0" w:line="176" w:lineRule="exact"/>
              <w:rPr>
                <w:sz w:val="20"/>
                <w:szCs w:val="20"/>
                <w:color w:val="auto"/>
              </w:rPr>
            </w:pPr>
            <w:r>
              <w:rPr>
                <w:rFonts w:ascii="Arial" w:cs="Arial" w:eastAsia="Arial" w:hAnsi="Arial"/>
                <w:sz w:val="17"/>
                <w:szCs w:val="17"/>
                <w:color w:val="0000FF"/>
                <w:highlight w:val="lightGray"/>
                <w:w w:val="73"/>
              </w:rPr>
              <w:t>67</w:t>
            </w:r>
          </w:p>
        </w:tc>
        <w:tc>
          <w:tcPr>
            <w:tcW w:w="20" w:type="dxa"/>
            <w:vAlign w:val="bottom"/>
            <w:tcBorders>
              <w:top w:val="single" w:sz="8" w:color="DDDDDD"/>
              <w:left w:val="single" w:sz="8" w:color="DDDDDD"/>
            </w:tcBorders>
          </w:tcPr>
          <w:p>
            <w:pPr>
              <w:spacing w:after="0"/>
              <w:rPr>
                <w:sz w:val="17"/>
                <w:szCs w:val="17"/>
                <w:color w:val="auto"/>
              </w:rPr>
            </w:pPr>
          </w:p>
        </w:tc>
        <w:tc>
          <w:tcPr>
            <w:tcW w:w="20" w:type="dxa"/>
            <w:vAlign w:val="bottom"/>
            <w:tcBorders>
              <w:top w:val="single" w:sz="8" w:color="DDDDDD"/>
            </w:tcBorders>
          </w:tcPr>
          <w:p>
            <w:pPr>
              <w:spacing w:after="0"/>
              <w:rPr>
                <w:sz w:val="17"/>
                <w:szCs w:val="17"/>
                <w:color w:val="auto"/>
              </w:rPr>
            </w:pPr>
          </w:p>
        </w:tc>
        <w:tc>
          <w:tcPr>
            <w:tcW w:w="40" w:type="dxa"/>
            <w:vAlign w:val="bottom"/>
            <w:tcBorders>
              <w:top w:val="single" w:sz="8" w:color="DDDDDD"/>
            </w:tcBorders>
          </w:tcPr>
          <w:p>
            <w:pPr>
              <w:spacing w:after="0"/>
              <w:rPr>
                <w:sz w:val="17"/>
                <w:szCs w:val="17"/>
                <w:color w:val="auto"/>
              </w:rPr>
            </w:pPr>
          </w:p>
        </w:tc>
        <w:tc>
          <w:tcPr>
            <w:tcW w:w="20" w:type="dxa"/>
            <w:vAlign w:val="bottom"/>
            <w:tcBorders>
              <w:top w:val="single" w:sz="8" w:color="DDDDDD"/>
            </w:tcBorders>
          </w:tcPr>
          <w:p>
            <w:pPr>
              <w:spacing w:after="0"/>
              <w:rPr>
                <w:sz w:val="17"/>
                <w:szCs w:val="17"/>
                <w:color w:val="auto"/>
              </w:rPr>
            </w:pPr>
          </w:p>
        </w:tc>
        <w:tc>
          <w:tcPr>
            <w:tcW w:w="20" w:type="dxa"/>
            <w:vAlign w:val="bottom"/>
            <w:tcBorders>
              <w:top w:val="single" w:sz="8" w:color="DDDDDD"/>
            </w:tcBorders>
          </w:tcPr>
          <w:p>
            <w:pPr>
              <w:spacing w:after="0"/>
              <w:rPr>
                <w:sz w:val="17"/>
                <w:szCs w:val="17"/>
                <w:color w:val="auto"/>
              </w:rPr>
            </w:pPr>
          </w:p>
        </w:tc>
        <w:tc>
          <w:tcPr>
            <w:tcW w:w="40" w:type="dxa"/>
            <w:vAlign w:val="bottom"/>
            <w:tcBorders>
              <w:top w:val="single" w:sz="8" w:color="DDDDDD"/>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line="163" w:lineRule="exact"/>
              <w:rPr>
                <w:sz w:val="20"/>
                <w:szCs w:val="20"/>
                <w:color w:val="auto"/>
              </w:rPr>
            </w:pPr>
            <w:r>
              <w:rPr>
                <w:rFonts w:ascii="Arial" w:cs="Arial" w:eastAsia="Arial" w:hAnsi="Arial"/>
                <w:sz w:val="18"/>
                <w:szCs w:val="18"/>
                <w:color w:val="auto"/>
                <w:w w:val="99"/>
              </w:rPr>
              <w:t>SECTION 1.07</w:t>
            </w:r>
          </w:p>
        </w:tc>
        <w:tc>
          <w:tcPr>
            <w:tcW w:w="80" w:type="dxa"/>
            <w:vAlign w:val="bottom"/>
          </w:tcPr>
          <w:p>
            <w:pPr>
              <w:spacing w:after="0"/>
              <w:rPr>
                <w:sz w:val="14"/>
                <w:szCs w:val="14"/>
                <w:color w:val="auto"/>
              </w:rPr>
            </w:pPr>
          </w:p>
        </w:tc>
        <w:tc>
          <w:tcPr>
            <w:tcW w:w="2200" w:type="dxa"/>
            <w:vAlign w:val="bottom"/>
            <w:gridSpan w:val="39"/>
          </w:tcPr>
          <w:p>
            <w:pPr>
              <w:spacing w:after="0" w:line="163" w:lineRule="exact"/>
              <w:rPr>
                <w:sz w:val="20"/>
                <w:szCs w:val="20"/>
                <w:color w:val="auto"/>
              </w:rPr>
            </w:pPr>
            <w:r>
              <w:rPr>
                <w:rFonts w:ascii="Arial" w:cs="Arial" w:eastAsia="Arial" w:hAnsi="Arial"/>
                <w:sz w:val="18"/>
                <w:szCs w:val="18"/>
                <w:color w:val="auto"/>
                <w:w w:val="96"/>
              </w:rPr>
              <w:t>Currency Translation; Rates</w:t>
            </w:r>
          </w:p>
        </w:tc>
        <w:tc>
          <w:tcPr>
            <w:tcW w:w="200" w:type="dxa"/>
            <w:vAlign w:val="bottom"/>
            <w:tcBorders>
              <w:right w:val="single" w:sz="8" w:color="DDDDDD"/>
            </w:tcBorders>
            <w:gridSpan w:val="6"/>
          </w:tcPr>
          <w:p>
            <w:pPr>
              <w:spacing w:after="0" w:line="163" w:lineRule="exact"/>
              <w:rPr>
                <w:sz w:val="20"/>
                <w:szCs w:val="20"/>
                <w:color w:val="auto"/>
              </w:rPr>
            </w:pPr>
            <w:r>
              <w:rPr>
                <w:rFonts w:ascii="Arial" w:cs="Arial" w:eastAsia="Arial" w:hAnsi="Arial"/>
                <w:sz w:val="18"/>
                <w:szCs w:val="18"/>
                <w:color w:val="FF0000"/>
                <w:strike w:val="1"/>
                <w:w w:val="79"/>
              </w:rPr>
              <w:t>65</w:t>
            </w:r>
          </w:p>
        </w:tc>
        <w:tc>
          <w:tcPr>
            <w:tcW w:w="180" w:type="dxa"/>
            <w:vAlign w:val="bottom"/>
            <w:tcBorders>
              <w:top w:val="single" w:sz="8" w:color="0000FF"/>
              <w:bottom w:val="single" w:sz="8" w:color="0000FF"/>
            </w:tcBorders>
            <w:gridSpan w:val="5"/>
            <w:shd w:val="clear" w:color="auto" w:fill="DDDDDD"/>
          </w:tcPr>
          <w:p>
            <w:pPr>
              <w:jc w:val="right"/>
              <w:ind w:right="20"/>
              <w:spacing w:after="0" w:line="163" w:lineRule="exact"/>
              <w:rPr>
                <w:sz w:val="20"/>
                <w:szCs w:val="20"/>
                <w:color w:val="auto"/>
              </w:rPr>
            </w:pPr>
            <w:r>
              <w:rPr>
                <w:rFonts w:ascii="Arial" w:cs="Arial" w:eastAsia="Arial" w:hAnsi="Arial"/>
                <w:sz w:val="17"/>
                <w:szCs w:val="17"/>
                <w:color w:val="0000FF"/>
                <w:highlight w:val="lightGray"/>
                <w:w w:val="73"/>
              </w:rPr>
              <w:t>68</w:t>
            </w:r>
          </w:p>
        </w:tc>
        <w:tc>
          <w:tcPr>
            <w:tcW w:w="20" w:type="dxa"/>
            <w:vAlign w:val="bottom"/>
            <w:tcBorders>
              <w:left w:val="single" w:sz="8" w:color="DDDDDD"/>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gridSpan w:val="47"/>
          </w:tcPr>
          <w:p>
            <w:pPr>
              <w:spacing w:after="0" w:line="189" w:lineRule="exact"/>
              <w:rPr>
                <w:sz w:val="20"/>
                <w:szCs w:val="20"/>
                <w:color w:val="auto"/>
              </w:rPr>
            </w:pPr>
            <w:r>
              <w:rPr>
                <w:rFonts w:ascii="Arial" w:cs="Arial" w:eastAsia="Arial" w:hAnsi="Arial"/>
                <w:sz w:val="18"/>
                <w:szCs w:val="18"/>
                <w:color w:val="auto"/>
                <w:w w:val="95"/>
              </w:rPr>
              <w:t>SECTION 1.08  Limited Condition Transactions.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7"/>
          </w:tcPr>
          <w:p>
            <w:pPr>
              <w:jc w:val="right"/>
              <w:spacing w:after="0" w:line="189" w:lineRule="exact"/>
              <w:rPr>
                <w:sz w:val="20"/>
                <w:szCs w:val="20"/>
                <w:color w:val="auto"/>
              </w:rPr>
            </w:pPr>
            <w:r>
              <w:rPr>
                <w:rFonts w:ascii="Arial" w:cs="Arial" w:eastAsia="Arial" w:hAnsi="Arial"/>
                <w:sz w:val="18"/>
                <w:szCs w:val="18"/>
                <w:color w:val="FF0000"/>
                <w:strike w:val="1"/>
                <w:w w:val="79"/>
              </w:rPr>
              <w:t>65</w:t>
            </w:r>
          </w:p>
        </w:tc>
        <w:tc>
          <w:tcPr>
            <w:tcW w:w="180" w:type="dxa"/>
            <w:vAlign w:val="bottom"/>
            <w:tcBorders>
              <w:bottom w:val="single" w:sz="8" w:color="0000FF"/>
            </w:tcBorders>
            <w:gridSpan w:val="6"/>
            <w:shd w:val="clear" w:color="auto" w:fill="DDDDDD"/>
          </w:tcPr>
          <w:p>
            <w:pPr>
              <w:jc w:val="right"/>
              <w:spacing w:after="0" w:line="189" w:lineRule="exact"/>
              <w:rPr>
                <w:sz w:val="20"/>
                <w:szCs w:val="20"/>
                <w:color w:val="auto"/>
              </w:rPr>
            </w:pPr>
            <w:r>
              <w:rPr>
                <w:rFonts w:ascii="Arial" w:cs="Arial" w:eastAsia="Arial" w:hAnsi="Arial"/>
                <w:sz w:val="18"/>
                <w:szCs w:val="18"/>
                <w:color w:val="0000FF"/>
                <w:highlight w:val="lightGray"/>
                <w:w w:val="79"/>
              </w:rPr>
              <w:t>68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w w:val="99"/>
              </w:rPr>
              <w:t>SECTION 1.09</w:t>
            </w:r>
          </w:p>
        </w:tc>
        <w:tc>
          <w:tcPr>
            <w:tcW w:w="1580" w:type="dxa"/>
            <w:vAlign w:val="bottom"/>
            <w:gridSpan w:val="17"/>
          </w:tcPr>
          <w:p>
            <w:pPr>
              <w:spacing w:after="0" w:line="176" w:lineRule="exact"/>
              <w:rPr>
                <w:sz w:val="20"/>
                <w:szCs w:val="20"/>
                <w:color w:val="auto"/>
              </w:rPr>
            </w:pPr>
            <w:r>
              <w:rPr>
                <w:rFonts w:ascii="Arial" w:cs="Arial" w:eastAsia="Arial" w:hAnsi="Arial"/>
                <w:sz w:val="18"/>
                <w:szCs w:val="18"/>
                <w:color w:val="auto"/>
                <w:w w:val="92"/>
              </w:rPr>
              <w:t>Cashless Rollovers</w:t>
            </w:r>
          </w:p>
        </w:tc>
        <w:tc>
          <w:tcPr>
            <w:tcW w:w="200" w:type="dxa"/>
            <w:vAlign w:val="bottom"/>
            <w:gridSpan w:val="7"/>
          </w:tcPr>
          <w:p>
            <w:pPr>
              <w:jc w:val="right"/>
              <w:ind w:right="40"/>
              <w:spacing w:after="0" w:line="176" w:lineRule="exact"/>
              <w:rPr>
                <w:sz w:val="20"/>
                <w:szCs w:val="20"/>
                <w:color w:val="auto"/>
              </w:rPr>
            </w:pPr>
            <w:r>
              <w:rPr>
                <w:rFonts w:ascii="Arial" w:cs="Arial" w:eastAsia="Arial" w:hAnsi="Arial"/>
                <w:sz w:val="17"/>
                <w:szCs w:val="17"/>
                <w:color w:val="FF0000"/>
                <w:strike w:val="1"/>
                <w:w w:val="73"/>
              </w:rPr>
              <w:t>66</w:t>
            </w:r>
          </w:p>
        </w:tc>
        <w:tc>
          <w:tcPr>
            <w:tcW w:w="160" w:type="dxa"/>
            <w:vAlign w:val="bottom"/>
            <w:tcBorders>
              <w:bottom w:val="single" w:sz="8" w:color="0000FF"/>
            </w:tcBorders>
            <w:gridSpan w:val="8"/>
          </w:tcPr>
          <w:p>
            <w:pPr>
              <w:jc w:val="right"/>
              <w:ind w:right="160"/>
              <w:spacing w:after="0"/>
              <w:rPr>
                <w:sz w:val="20"/>
                <w:szCs w:val="20"/>
                <w:color w:val="auto"/>
              </w:rPr>
            </w:pPr>
            <w:r>
              <w:rPr>
                <w:rFonts w:ascii="Arial" w:cs="Arial" w:eastAsia="Arial" w:hAnsi="Arial"/>
                <w:sz w:val="12"/>
                <w:szCs w:val="12"/>
                <w:color w:val="0000FF"/>
                <w:highlight w:val="lightGray"/>
              </w:rPr>
              <w:t>69</w:t>
            </w:r>
          </w:p>
        </w:tc>
        <w:tc>
          <w:tcPr>
            <w:tcW w:w="8000" w:type="dxa"/>
            <w:vAlign w:val="bottom"/>
            <w:gridSpan w:val="5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w w:val="99"/>
              </w:rPr>
              <w:t>SECTION 1.10</w:t>
            </w:r>
          </w:p>
        </w:tc>
        <w:tc>
          <w:tcPr>
            <w:tcW w:w="1940" w:type="dxa"/>
            <w:vAlign w:val="bottom"/>
            <w:gridSpan w:val="32"/>
          </w:tcPr>
          <w:p>
            <w:pPr>
              <w:spacing w:after="0" w:line="176" w:lineRule="exact"/>
              <w:rPr>
                <w:sz w:val="20"/>
                <w:szCs w:val="20"/>
                <w:color w:val="auto"/>
              </w:rPr>
            </w:pPr>
            <w:r>
              <w:rPr>
                <w:rFonts w:ascii="Arial" w:cs="Arial" w:eastAsia="Arial" w:hAnsi="Arial"/>
                <w:sz w:val="18"/>
                <w:szCs w:val="18"/>
                <w:color w:val="auto"/>
                <w:w w:val="90"/>
              </w:rPr>
              <w:t>Letter of Credit Amounts</w:t>
            </w:r>
          </w:p>
        </w:tc>
        <w:tc>
          <w:tcPr>
            <w:tcW w:w="260" w:type="dxa"/>
            <w:vAlign w:val="bottom"/>
            <w:tcBorders>
              <w:right w:val="single" w:sz="8" w:color="DDDDDD"/>
            </w:tcBorders>
            <w:gridSpan w:val="7"/>
          </w:tcPr>
          <w:p>
            <w:pPr>
              <w:ind w:left="60"/>
              <w:spacing w:after="0" w:line="176" w:lineRule="exact"/>
              <w:rPr>
                <w:sz w:val="20"/>
                <w:szCs w:val="20"/>
                <w:color w:val="auto"/>
              </w:rPr>
            </w:pPr>
            <w:r>
              <w:rPr>
                <w:rFonts w:ascii="Arial" w:cs="Arial" w:eastAsia="Arial" w:hAnsi="Arial"/>
                <w:sz w:val="18"/>
                <w:szCs w:val="18"/>
                <w:color w:val="FF0000"/>
                <w:strike w:val="1"/>
                <w:w w:val="79"/>
              </w:rPr>
              <w:t>66</w:t>
            </w:r>
          </w:p>
        </w:tc>
        <w:tc>
          <w:tcPr>
            <w:tcW w:w="160" w:type="dxa"/>
            <w:vAlign w:val="bottom"/>
            <w:tcBorders>
              <w:bottom w:val="single" w:sz="8" w:color="0000FF"/>
            </w:tcBorders>
            <w:gridSpan w:val="5"/>
            <w:shd w:val="clear" w:color="auto" w:fill="DDDDDD"/>
          </w:tcPr>
          <w:p>
            <w:pPr>
              <w:spacing w:after="0" w:line="176" w:lineRule="exact"/>
              <w:rPr>
                <w:sz w:val="20"/>
                <w:szCs w:val="20"/>
                <w:color w:val="auto"/>
              </w:rPr>
            </w:pPr>
            <w:r>
              <w:rPr>
                <w:rFonts w:ascii="Arial" w:cs="Arial" w:eastAsia="Arial" w:hAnsi="Arial"/>
                <w:sz w:val="17"/>
                <w:szCs w:val="17"/>
                <w:color w:val="0000FF"/>
                <w:highlight w:val="lightGray"/>
                <w:w w:val="73"/>
              </w:rPr>
              <w:t>70</w:t>
            </w:r>
          </w:p>
        </w:tc>
        <w:tc>
          <w:tcPr>
            <w:tcW w:w="7580" w:type="dxa"/>
            <w:vAlign w:val="bottom"/>
            <w:gridSpan w:val="45"/>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20" w:type="dxa"/>
            <w:vAlign w:val="bottom"/>
          </w:tcPr>
          <w:p>
            <w:pPr>
              <w:spacing w:after="0" w:line="189" w:lineRule="exact"/>
              <w:rPr>
                <w:sz w:val="20"/>
                <w:szCs w:val="20"/>
                <w:color w:val="auto"/>
              </w:rPr>
            </w:pPr>
            <w:r>
              <w:rPr>
                <w:rFonts w:ascii="Arial" w:cs="Arial" w:eastAsia="Arial" w:hAnsi="Arial"/>
                <w:sz w:val="18"/>
                <w:szCs w:val="18"/>
                <w:color w:val="auto"/>
                <w:w w:val="99"/>
              </w:rPr>
              <w:t>SECTION 1.11</w:t>
            </w:r>
          </w:p>
        </w:tc>
        <w:tc>
          <w:tcPr>
            <w:tcW w:w="3020" w:type="dxa"/>
            <w:vAlign w:val="bottom"/>
            <w:gridSpan w:val="63"/>
          </w:tcPr>
          <w:p>
            <w:pPr>
              <w:ind w:left="80"/>
              <w:spacing w:after="0" w:line="189" w:lineRule="exact"/>
              <w:rPr>
                <w:sz w:val="20"/>
                <w:szCs w:val="20"/>
                <w:color w:val="auto"/>
              </w:rPr>
            </w:pPr>
            <w:r>
              <w:rPr>
                <w:rFonts w:ascii="Arial" w:cs="Arial" w:eastAsia="Arial" w:hAnsi="Arial"/>
                <w:sz w:val="18"/>
                <w:szCs w:val="18"/>
                <w:color w:val="auto"/>
                <w:w w:val="97"/>
              </w:rPr>
              <w:t>Times of Day; Timing of Performance</w:t>
            </w:r>
          </w:p>
        </w:tc>
        <w:tc>
          <w:tcPr>
            <w:tcW w:w="180" w:type="dxa"/>
            <w:vAlign w:val="bottom"/>
            <w:gridSpan w:val="3"/>
          </w:tcPr>
          <w:p>
            <w:pPr>
              <w:jc w:val="right"/>
              <w:spacing w:after="0" w:line="189" w:lineRule="exact"/>
              <w:rPr>
                <w:sz w:val="20"/>
                <w:szCs w:val="20"/>
                <w:color w:val="auto"/>
              </w:rPr>
            </w:pPr>
            <w:r>
              <w:rPr>
                <w:rFonts w:ascii="Arial" w:cs="Arial" w:eastAsia="Arial" w:hAnsi="Arial"/>
                <w:sz w:val="18"/>
                <w:szCs w:val="18"/>
                <w:color w:val="FF0000"/>
                <w:strike w:val="1"/>
                <w:w w:val="79"/>
              </w:rPr>
              <w:t>66</w:t>
            </w:r>
          </w:p>
        </w:tc>
        <w:tc>
          <w:tcPr>
            <w:tcW w:w="180" w:type="dxa"/>
            <w:vAlign w:val="bottom"/>
            <w:tcBorders>
              <w:bottom w:val="single" w:sz="8" w:color="0000FF"/>
            </w:tcBorders>
            <w:gridSpan w:val="5"/>
            <w:shd w:val="clear" w:color="auto" w:fill="DDDDDD"/>
          </w:tcPr>
          <w:p>
            <w:pPr>
              <w:jc w:val="right"/>
              <w:spacing w:after="0" w:line="189" w:lineRule="exact"/>
              <w:rPr>
                <w:sz w:val="20"/>
                <w:szCs w:val="20"/>
                <w:color w:val="auto"/>
              </w:rPr>
            </w:pPr>
            <w:r>
              <w:rPr>
                <w:rFonts w:ascii="Arial" w:cs="Arial" w:eastAsia="Arial" w:hAnsi="Arial"/>
                <w:sz w:val="18"/>
                <w:szCs w:val="18"/>
                <w:color w:val="0000FF"/>
                <w:highlight w:val="lightGray"/>
                <w:w w:val="79"/>
              </w:rPr>
              <w:t>70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1.12</w:t>
            </w:r>
          </w:p>
        </w:tc>
        <w:tc>
          <w:tcPr>
            <w:tcW w:w="80" w:type="dxa"/>
            <w:vAlign w:val="bottom"/>
          </w:tcPr>
          <w:p>
            <w:pPr>
              <w:spacing w:after="0"/>
              <w:rPr>
                <w:sz w:val="17"/>
                <w:szCs w:val="17"/>
                <w:color w:val="auto"/>
              </w:rPr>
            </w:pPr>
          </w:p>
        </w:tc>
        <w:tc>
          <w:tcPr>
            <w:tcW w:w="2620" w:type="dxa"/>
            <w:vAlign w:val="bottom"/>
            <w:gridSpan w:val="52"/>
          </w:tcPr>
          <w:p>
            <w:pPr>
              <w:spacing w:after="0" w:line="176" w:lineRule="exact"/>
              <w:rPr>
                <w:sz w:val="20"/>
                <w:szCs w:val="20"/>
                <w:color w:val="auto"/>
              </w:rPr>
            </w:pPr>
            <w:r>
              <w:rPr>
                <w:rFonts w:ascii="Arial" w:cs="Arial" w:eastAsia="Arial" w:hAnsi="Arial"/>
                <w:sz w:val="18"/>
                <w:szCs w:val="18"/>
                <w:color w:val="auto"/>
                <w:w w:val="99"/>
              </w:rPr>
              <w:t>Additional Alternative Currencies</w:t>
            </w:r>
          </w:p>
        </w:tc>
        <w:tc>
          <w:tcPr>
            <w:tcW w:w="180" w:type="dxa"/>
            <w:vAlign w:val="bottom"/>
            <w:gridSpan w:val="6"/>
          </w:tcPr>
          <w:p>
            <w:pPr>
              <w:jc w:val="right"/>
              <w:spacing w:after="0" w:line="176" w:lineRule="exact"/>
              <w:rPr>
                <w:sz w:val="20"/>
                <w:szCs w:val="20"/>
                <w:color w:val="auto"/>
              </w:rPr>
            </w:pPr>
            <w:r>
              <w:rPr>
                <w:rFonts w:ascii="Arial" w:cs="Arial" w:eastAsia="Arial" w:hAnsi="Arial"/>
                <w:sz w:val="18"/>
                <w:szCs w:val="18"/>
                <w:color w:val="FF0000"/>
                <w:strike w:val="1"/>
                <w:w w:val="79"/>
              </w:rPr>
              <w:t>67</w:t>
            </w:r>
          </w:p>
        </w:tc>
        <w:tc>
          <w:tcPr>
            <w:tcW w:w="200" w:type="dxa"/>
            <w:vAlign w:val="bottom"/>
            <w:tcBorders>
              <w:bottom w:val="single" w:sz="8" w:color="0000FF"/>
            </w:tcBorders>
            <w:gridSpan w:val="6"/>
            <w:shd w:val="clear" w:color="auto" w:fill="DDDDDD"/>
          </w:tcPr>
          <w:p>
            <w:pPr>
              <w:jc w:val="right"/>
              <w:ind w:right="20"/>
              <w:spacing w:after="0" w:line="176" w:lineRule="exact"/>
              <w:rPr>
                <w:sz w:val="20"/>
                <w:szCs w:val="20"/>
                <w:color w:val="auto"/>
              </w:rPr>
            </w:pPr>
            <w:r>
              <w:rPr>
                <w:rFonts w:ascii="Arial" w:cs="Arial" w:eastAsia="Arial" w:hAnsi="Arial"/>
                <w:sz w:val="18"/>
                <w:szCs w:val="18"/>
                <w:color w:val="0000FF"/>
                <w:highlight w:val="lightGray"/>
                <w:w w:val="79"/>
              </w:rPr>
              <w:t>70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line="163" w:lineRule="exact"/>
              <w:rPr>
                <w:sz w:val="20"/>
                <w:szCs w:val="20"/>
                <w:color w:val="auto"/>
              </w:rPr>
            </w:pPr>
            <w:r>
              <w:rPr>
                <w:rFonts w:ascii="Arial" w:cs="Arial" w:eastAsia="Arial" w:hAnsi="Arial"/>
                <w:sz w:val="18"/>
                <w:szCs w:val="18"/>
                <w:color w:val="auto"/>
                <w:w w:val="99"/>
              </w:rPr>
              <w:t>SECTION 1.13</w:t>
            </w:r>
          </w:p>
        </w:tc>
        <w:tc>
          <w:tcPr>
            <w:tcW w:w="80" w:type="dxa"/>
            <w:vAlign w:val="bottom"/>
          </w:tcPr>
          <w:p>
            <w:pPr>
              <w:spacing w:after="0"/>
              <w:rPr>
                <w:sz w:val="14"/>
                <w:szCs w:val="14"/>
                <w:color w:val="auto"/>
              </w:rPr>
            </w:pPr>
          </w:p>
        </w:tc>
        <w:tc>
          <w:tcPr>
            <w:tcW w:w="2620" w:type="dxa"/>
            <w:vAlign w:val="bottom"/>
            <w:gridSpan w:val="52"/>
          </w:tcPr>
          <w:p>
            <w:pPr>
              <w:spacing w:after="0" w:line="163" w:lineRule="exact"/>
              <w:rPr>
                <w:sz w:val="20"/>
                <w:szCs w:val="20"/>
                <w:color w:val="auto"/>
              </w:rPr>
            </w:pPr>
            <w:r>
              <w:rPr>
                <w:rFonts w:ascii="Arial" w:cs="Arial" w:eastAsia="Arial" w:hAnsi="Arial"/>
                <w:sz w:val="18"/>
                <w:szCs w:val="18"/>
                <w:color w:val="auto"/>
                <w:w w:val="96"/>
              </w:rPr>
              <w:t>Compliance with Certain Sections</w:t>
            </w:r>
          </w:p>
        </w:tc>
        <w:tc>
          <w:tcPr>
            <w:tcW w:w="180" w:type="dxa"/>
            <w:vAlign w:val="bottom"/>
            <w:gridSpan w:val="6"/>
          </w:tcPr>
          <w:p>
            <w:pPr>
              <w:jc w:val="right"/>
              <w:spacing w:after="0" w:line="163" w:lineRule="exact"/>
              <w:rPr>
                <w:sz w:val="20"/>
                <w:szCs w:val="20"/>
                <w:color w:val="auto"/>
              </w:rPr>
            </w:pPr>
            <w:r>
              <w:rPr>
                <w:rFonts w:ascii="Arial" w:cs="Arial" w:eastAsia="Arial" w:hAnsi="Arial"/>
                <w:sz w:val="18"/>
                <w:szCs w:val="18"/>
                <w:color w:val="FF0000"/>
                <w:strike w:val="1"/>
                <w:w w:val="79"/>
              </w:rPr>
              <w:t>67</w:t>
            </w:r>
          </w:p>
        </w:tc>
        <w:tc>
          <w:tcPr>
            <w:tcW w:w="20" w:type="dxa"/>
            <w:vAlign w:val="bottom"/>
            <w:tcBorders>
              <w:top w:val="single" w:sz="8" w:color="DDDDDD"/>
            </w:tcBorders>
          </w:tcPr>
          <w:p>
            <w:pPr>
              <w:spacing w:after="0"/>
              <w:rPr>
                <w:sz w:val="14"/>
                <w:szCs w:val="14"/>
                <w:color w:val="auto"/>
              </w:rPr>
            </w:pPr>
          </w:p>
        </w:tc>
        <w:tc>
          <w:tcPr>
            <w:tcW w:w="180" w:type="dxa"/>
            <w:vAlign w:val="bottom"/>
            <w:tcBorders>
              <w:top w:val="single" w:sz="8" w:color="DDDDDD"/>
            </w:tcBorders>
            <w:gridSpan w:val="5"/>
            <w:shd w:val="clear" w:color="auto" w:fill="DDDDDD"/>
          </w:tcPr>
          <w:p>
            <w:pPr>
              <w:jc w:val="right"/>
              <w:ind w:right="20"/>
              <w:spacing w:after="0" w:line="163" w:lineRule="exact"/>
              <w:rPr>
                <w:sz w:val="20"/>
                <w:szCs w:val="20"/>
                <w:color w:val="auto"/>
              </w:rPr>
            </w:pPr>
            <w:r>
              <w:rPr>
                <w:rFonts w:ascii="Arial" w:cs="Arial" w:eastAsia="Arial" w:hAnsi="Arial"/>
                <w:sz w:val="17"/>
                <w:szCs w:val="17"/>
                <w:color w:val="0000FF"/>
                <w:highlight w:val="lightGray"/>
                <w:w w:val="73"/>
              </w:rPr>
              <w:t>70</w:t>
            </w:r>
          </w:p>
        </w:tc>
        <w:tc>
          <w:tcPr>
            <w:tcW w:w="120" w:type="dxa"/>
            <w:vAlign w:val="bottom"/>
            <w:tcBorders>
              <w:left w:val="single" w:sz="8" w:color="DDDDDD"/>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60" w:type="dxa"/>
            <w:vAlign w:val="bottom"/>
            <w:gridSpan w:val="8"/>
            <w:vMerge w:val="restart"/>
          </w:tcPr>
          <w:p>
            <w:pPr>
              <w:jc w:val="center"/>
              <w:ind w:right="5160"/>
              <w:spacing w:after="0"/>
              <w:rPr>
                <w:sz w:val="20"/>
                <w:szCs w:val="20"/>
                <w:color w:val="auto"/>
              </w:rPr>
            </w:pPr>
            <w:r>
              <w:rPr>
                <w:rFonts w:ascii="Arial" w:cs="Arial" w:eastAsia="Arial" w:hAnsi="Arial"/>
                <w:sz w:val="18"/>
                <w:szCs w:val="18"/>
                <w:color w:val="010000"/>
                <w:w w:val="98"/>
              </w:rPr>
              <w:t>ARTICLE II</w:t>
            </w:r>
          </w:p>
        </w:tc>
        <w:tc>
          <w:tcPr>
            <w:tcW w:w="0" w:type="dxa"/>
            <w:vAlign w:val="bottom"/>
          </w:tcPr>
          <w:p>
            <w:pPr>
              <w:spacing w:after="0"/>
              <w:rPr>
                <w:sz w:val="1"/>
                <w:szCs w:val="1"/>
                <w:color w:val="auto"/>
              </w:rPr>
            </w:pPr>
          </w:p>
        </w:tc>
      </w:tr>
      <w:tr>
        <w:trPr>
          <w:trHeight w:val="446"/>
        </w:trPr>
        <w:tc>
          <w:tcPr>
            <w:tcW w:w="4120" w:type="dxa"/>
            <w:vAlign w:val="bottom"/>
            <w:gridSpan w:val="61"/>
          </w:tcPr>
          <w:p>
            <w:pPr>
              <w:spacing w:after="0"/>
              <w:rPr>
                <w:sz w:val="24"/>
                <w:szCs w:val="24"/>
                <w:color w:val="auto"/>
              </w:rPr>
            </w:pPr>
          </w:p>
        </w:tc>
        <w:tc>
          <w:tcPr>
            <w:tcW w:w="20" w:type="dxa"/>
            <w:vAlign w:val="bottom"/>
            <w:tcBorders>
              <w:top w:val="single" w:sz="8" w:color="DDDDDD"/>
            </w:tcBorders>
          </w:tcPr>
          <w:p>
            <w:pPr>
              <w:spacing w:after="0"/>
              <w:rPr>
                <w:sz w:val="24"/>
                <w:szCs w:val="24"/>
                <w:color w:val="auto"/>
              </w:rPr>
            </w:pPr>
          </w:p>
        </w:tc>
        <w:tc>
          <w:tcPr>
            <w:tcW w:w="160" w:type="dxa"/>
            <w:vAlign w:val="bottom"/>
            <w:tcBorders>
              <w:top w:val="single" w:sz="8" w:color="0000FF"/>
            </w:tcBorders>
            <w:gridSpan w:val="4"/>
          </w:tcPr>
          <w:p>
            <w:pPr>
              <w:spacing w:after="0"/>
              <w:rPr>
                <w:sz w:val="24"/>
                <w:szCs w:val="24"/>
                <w:color w:val="auto"/>
              </w:rPr>
            </w:pPr>
          </w:p>
        </w:tc>
        <w:tc>
          <w:tcPr>
            <w:tcW w:w="880" w:type="dxa"/>
            <w:vAlign w:val="bottom"/>
            <w:gridSpan w:val="17"/>
          </w:tcPr>
          <w:p>
            <w:pPr>
              <w:spacing w:after="0"/>
              <w:rPr>
                <w:sz w:val="24"/>
                <w:szCs w:val="24"/>
                <w:color w:val="auto"/>
              </w:rPr>
            </w:pPr>
          </w:p>
        </w:tc>
        <w:tc>
          <w:tcPr>
            <w:tcW w:w="6060" w:type="dxa"/>
            <w:vAlign w:val="bottom"/>
            <w:gridSpan w:val="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240" w:type="dxa"/>
            <w:vAlign w:val="bottom"/>
            <w:gridSpan w:val="91"/>
          </w:tcPr>
          <w:p>
            <w:pPr>
              <w:spacing w:after="0"/>
              <w:rPr>
                <w:sz w:val="20"/>
                <w:szCs w:val="20"/>
                <w:color w:val="auto"/>
              </w:rPr>
            </w:pPr>
            <w:r>
              <w:rPr>
                <w:rFonts w:ascii="Arial" w:cs="Arial" w:eastAsia="Arial" w:hAnsi="Arial"/>
                <w:sz w:val="18"/>
                <w:szCs w:val="18"/>
                <w:color w:val="auto"/>
              </w:rPr>
              <w:t>THE CREDITS</w:t>
            </w:r>
          </w:p>
        </w:tc>
        <w:tc>
          <w:tcPr>
            <w:tcW w:w="0" w:type="dxa"/>
            <w:vAlign w:val="bottom"/>
          </w:tcPr>
          <w:p>
            <w:pPr>
              <w:spacing w:after="0"/>
              <w:rPr>
                <w:sz w:val="1"/>
                <w:szCs w:val="1"/>
                <w:color w:val="auto"/>
              </w:rPr>
            </w:pPr>
          </w:p>
        </w:tc>
      </w:tr>
      <w:tr>
        <w:trPr>
          <w:trHeight w:val="175"/>
        </w:trPr>
        <w:tc>
          <w:tcPr>
            <w:tcW w:w="1220" w:type="dxa"/>
            <w:vAlign w:val="bottom"/>
            <w:vMerge w:val="restart"/>
          </w:tcPr>
          <w:p>
            <w:pPr>
              <w:spacing w:after="0"/>
              <w:rPr>
                <w:sz w:val="20"/>
                <w:szCs w:val="20"/>
                <w:color w:val="auto"/>
              </w:rPr>
            </w:pPr>
            <w:r>
              <w:rPr>
                <w:rFonts w:ascii="Arial" w:cs="Arial" w:eastAsia="Arial" w:hAnsi="Arial"/>
                <w:sz w:val="18"/>
                <w:szCs w:val="18"/>
                <w:color w:val="auto"/>
                <w:w w:val="99"/>
              </w:rPr>
              <w:t>SECTION 2.01</w:t>
            </w:r>
          </w:p>
        </w:tc>
        <w:tc>
          <w:tcPr>
            <w:tcW w:w="80" w:type="dxa"/>
            <w:vAlign w:val="bottom"/>
            <w:vMerge w:val="restart"/>
          </w:tcPr>
          <w:p>
            <w:pPr>
              <w:spacing w:after="0"/>
              <w:rPr>
                <w:sz w:val="15"/>
                <w:szCs w:val="15"/>
                <w:color w:val="auto"/>
              </w:rPr>
            </w:pPr>
          </w:p>
        </w:tc>
        <w:tc>
          <w:tcPr>
            <w:tcW w:w="1200" w:type="dxa"/>
            <w:vAlign w:val="bottom"/>
            <w:gridSpan w:val="9"/>
            <w:vMerge w:val="restart"/>
          </w:tcPr>
          <w:p>
            <w:pPr>
              <w:spacing w:after="0"/>
              <w:rPr>
                <w:sz w:val="20"/>
                <w:szCs w:val="20"/>
                <w:color w:val="auto"/>
              </w:rPr>
            </w:pPr>
            <w:r>
              <w:rPr>
                <w:rFonts w:ascii="Arial" w:cs="Arial" w:eastAsia="Arial" w:hAnsi="Arial"/>
                <w:sz w:val="18"/>
                <w:szCs w:val="18"/>
                <w:color w:val="auto"/>
              </w:rPr>
              <w:t>Commitments</w:t>
            </w:r>
          </w:p>
        </w:tc>
        <w:tc>
          <w:tcPr>
            <w:tcW w:w="200" w:type="dxa"/>
            <w:vAlign w:val="bottom"/>
            <w:gridSpan w:val="5"/>
            <w:vMerge w:val="restart"/>
          </w:tcPr>
          <w:p>
            <w:pPr>
              <w:jc w:val="right"/>
              <w:spacing w:after="0"/>
              <w:rPr>
                <w:sz w:val="20"/>
                <w:szCs w:val="20"/>
                <w:color w:val="auto"/>
              </w:rPr>
            </w:pPr>
            <w:r>
              <w:rPr>
                <w:rFonts w:ascii="Arial" w:cs="Arial" w:eastAsia="Arial" w:hAnsi="Arial"/>
                <w:sz w:val="18"/>
                <w:szCs w:val="18"/>
                <w:color w:val="FF0000"/>
                <w:strike w:val="1"/>
                <w:w w:val="79"/>
              </w:rPr>
              <w:t>68</w:t>
            </w:r>
          </w:p>
        </w:tc>
        <w:tc>
          <w:tcPr>
            <w:tcW w:w="8540" w:type="dxa"/>
            <w:vAlign w:val="bottom"/>
            <w:gridSpan w:val="7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0" w:type="dxa"/>
            <w:vAlign w:val="bottom"/>
            <w:gridSpan w:val="9"/>
            <w:vMerge w:val="continue"/>
          </w:tcPr>
          <w:p>
            <w:pPr>
              <w:spacing w:after="0"/>
              <w:rPr>
                <w:sz w:val="15"/>
                <w:szCs w:val="15"/>
                <w:color w:val="auto"/>
              </w:rPr>
            </w:pPr>
          </w:p>
        </w:tc>
        <w:tc>
          <w:tcPr>
            <w:tcW w:w="200" w:type="dxa"/>
            <w:vAlign w:val="bottom"/>
            <w:gridSpan w:val="5"/>
            <w:vMerge w:val="continue"/>
          </w:tcPr>
          <w:p>
            <w:pPr>
              <w:spacing w:after="0"/>
              <w:rPr>
                <w:sz w:val="15"/>
                <w:szCs w:val="15"/>
                <w:color w:val="auto"/>
              </w:rPr>
            </w:pPr>
          </w:p>
        </w:tc>
        <w:tc>
          <w:tcPr>
            <w:tcW w:w="180" w:type="dxa"/>
            <w:vAlign w:val="bottom"/>
            <w:tcBorders>
              <w:bottom w:val="single" w:sz="8" w:color="0000FF"/>
              <w:right w:val="single" w:sz="8" w:color="DDDDDD"/>
            </w:tcBorders>
            <w:gridSpan w:val="3"/>
            <w:shd w:val="clear" w:color="auto" w:fill="DDDDDD"/>
          </w:tcPr>
          <w:p>
            <w:pPr>
              <w:jc w:val="right"/>
              <w:ind w:right="20"/>
              <w:spacing w:after="0" w:line="176" w:lineRule="exact"/>
              <w:rPr>
                <w:sz w:val="20"/>
                <w:szCs w:val="20"/>
                <w:color w:val="auto"/>
              </w:rPr>
            </w:pPr>
            <w:r>
              <w:rPr>
                <w:rFonts w:ascii="Arial" w:cs="Arial" w:eastAsia="Arial" w:hAnsi="Arial"/>
                <w:sz w:val="17"/>
                <w:szCs w:val="17"/>
                <w:color w:val="0000FF"/>
                <w:highlight w:val="lightGray"/>
                <w:w w:val="73"/>
              </w:rPr>
              <w:t>71</w:t>
            </w:r>
          </w:p>
        </w:tc>
        <w:tc>
          <w:tcPr>
            <w:tcW w:w="20" w:type="dxa"/>
            <w:vAlign w:val="bottom"/>
            <w:tcBorders>
              <w:bottom w:val="single" w:sz="8" w:color="0000FF"/>
            </w:tcBorders>
            <w:shd w:val="clear" w:color="auto" w:fill="DDDDDD"/>
          </w:tcPr>
          <w:p>
            <w:pPr>
              <w:spacing w:after="0"/>
              <w:rPr>
                <w:sz w:val="15"/>
                <w:szCs w:val="15"/>
                <w:color w:val="auto"/>
              </w:rPr>
            </w:pPr>
          </w:p>
        </w:tc>
        <w:tc>
          <w:tcPr>
            <w:tcW w:w="8340" w:type="dxa"/>
            <w:vAlign w:val="bottom"/>
            <w:gridSpan w:val="7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w w:val="99"/>
              </w:rPr>
              <w:t>SECTION 2.02</w:t>
            </w:r>
          </w:p>
        </w:tc>
        <w:tc>
          <w:tcPr>
            <w:tcW w:w="1820" w:type="dxa"/>
            <w:vAlign w:val="bottom"/>
            <w:gridSpan w:val="27"/>
          </w:tcPr>
          <w:p>
            <w:pPr>
              <w:spacing w:after="0" w:line="176" w:lineRule="exact"/>
              <w:rPr>
                <w:sz w:val="20"/>
                <w:szCs w:val="20"/>
                <w:color w:val="auto"/>
              </w:rPr>
            </w:pPr>
            <w:r>
              <w:rPr>
                <w:rFonts w:ascii="Arial" w:cs="Arial" w:eastAsia="Arial" w:hAnsi="Arial"/>
                <w:sz w:val="18"/>
                <w:szCs w:val="18"/>
                <w:color w:val="auto"/>
                <w:w w:val="88"/>
              </w:rPr>
              <w:t>Loans and Borrowings</w:t>
            </w:r>
          </w:p>
        </w:tc>
        <w:tc>
          <w:tcPr>
            <w:tcW w:w="180" w:type="dxa"/>
            <w:vAlign w:val="bottom"/>
            <w:gridSpan w:val="6"/>
          </w:tcPr>
          <w:p>
            <w:pPr>
              <w:jc w:val="right"/>
              <w:spacing w:after="0" w:line="176" w:lineRule="exact"/>
              <w:rPr>
                <w:sz w:val="20"/>
                <w:szCs w:val="20"/>
                <w:color w:val="auto"/>
              </w:rPr>
            </w:pPr>
            <w:r>
              <w:rPr>
                <w:rFonts w:ascii="Arial" w:cs="Arial" w:eastAsia="Arial" w:hAnsi="Arial"/>
                <w:sz w:val="18"/>
                <w:szCs w:val="18"/>
                <w:color w:val="FF0000"/>
                <w:strike w:val="1"/>
                <w:w w:val="79"/>
              </w:rPr>
              <w:t>68</w:t>
            </w:r>
          </w:p>
        </w:tc>
        <w:tc>
          <w:tcPr>
            <w:tcW w:w="200" w:type="dxa"/>
            <w:vAlign w:val="bottom"/>
            <w:tcBorders>
              <w:bottom w:val="single" w:sz="8" w:color="0000FF"/>
              <w:right w:val="single" w:sz="8" w:color="DDDDDD"/>
            </w:tcBorders>
            <w:gridSpan w:val="6"/>
            <w:shd w:val="clear" w:color="auto" w:fill="DDDDDD"/>
          </w:tcPr>
          <w:p>
            <w:pPr>
              <w:spacing w:after="0" w:line="176" w:lineRule="exact"/>
              <w:rPr>
                <w:sz w:val="20"/>
                <w:szCs w:val="20"/>
                <w:color w:val="auto"/>
              </w:rPr>
            </w:pPr>
            <w:r>
              <w:rPr>
                <w:rFonts w:ascii="Arial" w:cs="Arial" w:eastAsia="Arial" w:hAnsi="Arial"/>
                <w:sz w:val="18"/>
                <w:szCs w:val="18"/>
                <w:color w:val="0000FF"/>
                <w:highlight w:val="lightGray"/>
                <w:w w:val="79"/>
              </w:rPr>
              <w:t>71</w:t>
            </w:r>
          </w:p>
        </w:tc>
        <w:tc>
          <w:tcPr>
            <w:tcW w:w="7740" w:type="dxa"/>
            <w:vAlign w:val="bottom"/>
            <w:gridSpan w:val="5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SECTION 2.03</w:t>
            </w:r>
          </w:p>
        </w:tc>
        <w:tc>
          <w:tcPr>
            <w:tcW w:w="80" w:type="dxa"/>
            <w:vAlign w:val="bottom"/>
            <w:vMerge w:val="restart"/>
          </w:tcPr>
          <w:p>
            <w:pPr>
              <w:spacing w:after="0" w:line="20" w:lineRule="exact"/>
              <w:rPr>
                <w:sz w:val="1"/>
                <w:szCs w:val="1"/>
                <w:color w:val="auto"/>
              </w:rPr>
            </w:pPr>
          </w:p>
        </w:tc>
        <w:tc>
          <w:tcPr>
            <w:tcW w:w="1940" w:type="dxa"/>
            <w:vAlign w:val="bottom"/>
            <w:gridSpan w:val="32"/>
            <w:vMerge w:val="restart"/>
          </w:tcPr>
          <w:p>
            <w:pPr>
              <w:spacing w:after="0" w:line="189" w:lineRule="exact"/>
              <w:rPr>
                <w:sz w:val="20"/>
                <w:szCs w:val="20"/>
                <w:color w:val="auto"/>
              </w:rPr>
            </w:pPr>
            <w:r>
              <w:rPr>
                <w:rFonts w:ascii="Arial" w:cs="Arial" w:eastAsia="Arial" w:hAnsi="Arial"/>
                <w:sz w:val="18"/>
                <w:szCs w:val="18"/>
                <w:color w:val="auto"/>
                <w:w w:val="97"/>
              </w:rPr>
              <w:t>Requests for Borrowings</w:t>
            </w:r>
          </w:p>
        </w:tc>
        <w:tc>
          <w:tcPr>
            <w:tcW w:w="60" w:type="dxa"/>
            <w:vAlign w:val="bottom"/>
          </w:tcPr>
          <w:p>
            <w:pPr>
              <w:spacing w:after="0" w:line="20" w:lineRule="exact"/>
              <w:rPr>
                <w:sz w:val="1"/>
                <w:szCs w:val="1"/>
                <w:color w:val="auto"/>
              </w:rPr>
            </w:pPr>
          </w:p>
        </w:tc>
        <w:tc>
          <w:tcPr>
            <w:tcW w:w="160" w:type="dxa"/>
            <w:vAlign w:val="bottom"/>
            <w:gridSpan w:val="5"/>
            <w:vMerge w:val="restart"/>
          </w:tcPr>
          <w:p>
            <w:pPr>
              <w:spacing w:after="0" w:line="189" w:lineRule="exact"/>
              <w:rPr>
                <w:sz w:val="20"/>
                <w:szCs w:val="20"/>
                <w:color w:val="auto"/>
              </w:rPr>
            </w:pPr>
            <w:r>
              <w:rPr>
                <w:rFonts w:ascii="Arial" w:cs="Arial" w:eastAsia="Arial" w:hAnsi="Arial"/>
                <w:sz w:val="17"/>
                <w:szCs w:val="17"/>
                <w:color w:val="FF0000"/>
                <w:strike w:val="1"/>
                <w:w w:val="73"/>
              </w:rPr>
              <w:t>68</w:t>
            </w:r>
          </w:p>
        </w:tc>
        <w:tc>
          <w:tcPr>
            <w:tcW w:w="180" w:type="dxa"/>
            <w:vAlign w:val="bottom"/>
            <w:gridSpan w:val="5"/>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580" w:type="dxa"/>
            <w:vAlign w:val="bottom"/>
            <w:gridSpan w:val="4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940" w:type="dxa"/>
            <w:vAlign w:val="bottom"/>
            <w:gridSpan w:val="3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5"/>
            <w:vMerge w:val="continue"/>
          </w:tcPr>
          <w:p>
            <w:pPr>
              <w:spacing w:after="0"/>
              <w:rPr>
                <w:sz w:val="16"/>
                <w:szCs w:val="16"/>
                <w:color w:val="auto"/>
              </w:rPr>
            </w:pPr>
          </w:p>
        </w:tc>
        <w:tc>
          <w:tcPr>
            <w:tcW w:w="40" w:type="dxa"/>
            <w:vAlign w:val="bottom"/>
            <w:tcBorders>
              <w:bottom w:val="single" w:sz="8" w:color="0000FF"/>
              <w:right w:val="single" w:sz="8" w:color="DDDDDD"/>
            </w:tcBorders>
            <w:shd w:val="clear" w:color="auto" w:fill="DDDDDD"/>
          </w:tcPr>
          <w:p>
            <w:pPr>
              <w:spacing w:after="0"/>
              <w:rPr>
                <w:sz w:val="16"/>
                <w:szCs w:val="16"/>
                <w:color w:val="auto"/>
              </w:rPr>
            </w:pPr>
          </w:p>
        </w:tc>
        <w:tc>
          <w:tcPr>
            <w:tcW w:w="140" w:type="dxa"/>
            <w:vAlign w:val="bottom"/>
            <w:tcBorders>
              <w:bottom w:val="single" w:sz="8" w:color="0000FF"/>
            </w:tcBorders>
            <w:gridSpan w:val="4"/>
            <w:shd w:val="clear" w:color="auto" w:fill="DDDDDD"/>
          </w:tcPr>
          <w:p>
            <w:pPr>
              <w:spacing w:after="0" w:line="169" w:lineRule="exact"/>
              <w:rPr>
                <w:sz w:val="20"/>
                <w:szCs w:val="20"/>
                <w:color w:val="auto"/>
              </w:rPr>
            </w:pPr>
            <w:r>
              <w:rPr>
                <w:rFonts w:ascii="Arial" w:cs="Arial" w:eastAsia="Arial" w:hAnsi="Arial"/>
                <w:sz w:val="15"/>
                <w:szCs w:val="15"/>
                <w:color w:val="0000FF"/>
                <w:highlight w:val="lightGray"/>
                <w:w w:val="71"/>
              </w:rPr>
              <w:t>71</w:t>
            </w:r>
          </w:p>
        </w:tc>
        <w:tc>
          <w:tcPr>
            <w:tcW w:w="20" w:type="dxa"/>
            <w:vAlign w:val="bottom"/>
            <w:tcBorders>
              <w:bottom w:val="single" w:sz="8" w:color="0000FF"/>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w w:val="99"/>
              </w:rPr>
              <w:t>SECTION 2.04</w:t>
            </w:r>
          </w:p>
        </w:tc>
        <w:tc>
          <w:tcPr>
            <w:tcW w:w="960" w:type="dxa"/>
            <w:vAlign w:val="bottom"/>
            <w:gridSpan w:val="6"/>
          </w:tcPr>
          <w:p>
            <w:pPr>
              <w:spacing w:after="0" w:line="176" w:lineRule="exact"/>
              <w:rPr>
                <w:sz w:val="20"/>
                <w:szCs w:val="20"/>
                <w:color w:val="auto"/>
              </w:rPr>
            </w:pPr>
            <w:r>
              <w:rPr>
                <w:rFonts w:ascii="Arial" w:cs="Arial" w:eastAsia="Arial" w:hAnsi="Arial"/>
                <w:sz w:val="18"/>
                <w:szCs w:val="18"/>
                <w:color w:val="auto"/>
                <w:w w:val="87"/>
              </w:rPr>
              <w:t>[Reserved]</w:t>
            </w:r>
          </w:p>
        </w:tc>
        <w:tc>
          <w:tcPr>
            <w:tcW w:w="240" w:type="dxa"/>
            <w:vAlign w:val="bottom"/>
            <w:tcBorders>
              <w:right w:val="single" w:sz="8" w:color="DDDDDD"/>
            </w:tcBorders>
            <w:gridSpan w:val="3"/>
          </w:tcPr>
          <w:p>
            <w:pPr>
              <w:jc w:val="right"/>
              <w:spacing w:after="0" w:line="176" w:lineRule="exact"/>
              <w:rPr>
                <w:sz w:val="20"/>
                <w:szCs w:val="20"/>
                <w:color w:val="auto"/>
              </w:rPr>
            </w:pPr>
            <w:r>
              <w:rPr>
                <w:rFonts w:ascii="Arial" w:cs="Arial" w:eastAsia="Arial" w:hAnsi="Arial"/>
                <w:sz w:val="18"/>
                <w:szCs w:val="18"/>
                <w:color w:val="FF0000"/>
                <w:strike w:val="1"/>
                <w:w w:val="89"/>
              </w:rPr>
              <w:t>69</w:t>
            </w:r>
          </w:p>
        </w:tc>
        <w:tc>
          <w:tcPr>
            <w:tcW w:w="140" w:type="dxa"/>
            <w:vAlign w:val="bottom"/>
            <w:tcBorders>
              <w:bottom w:val="single" w:sz="8" w:color="0000FF"/>
            </w:tcBorders>
            <w:gridSpan w:val="2"/>
            <w:shd w:val="clear" w:color="auto" w:fill="DDDDDD"/>
          </w:tcPr>
          <w:p>
            <w:pPr>
              <w:jc w:val="right"/>
              <w:spacing w:after="0"/>
              <w:rPr>
                <w:sz w:val="20"/>
                <w:szCs w:val="20"/>
                <w:color w:val="auto"/>
              </w:rPr>
            </w:pPr>
            <w:r>
              <w:rPr>
                <w:rFonts w:ascii="Arial" w:cs="Arial" w:eastAsia="Arial" w:hAnsi="Arial"/>
                <w:sz w:val="15"/>
                <w:szCs w:val="15"/>
                <w:color w:val="0000FF"/>
                <w:highlight w:val="lightGray"/>
                <w:w w:val="71"/>
              </w:rPr>
              <w:t>72</w:t>
            </w:r>
          </w:p>
        </w:tc>
        <w:tc>
          <w:tcPr>
            <w:tcW w:w="8600" w:type="dxa"/>
            <w:vAlign w:val="bottom"/>
            <w:gridSpan w:val="78"/>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00" w:type="dxa"/>
            <w:vAlign w:val="bottom"/>
            <w:gridSpan w:val="2"/>
          </w:tcPr>
          <w:p>
            <w:pPr>
              <w:spacing w:after="0" w:line="163" w:lineRule="exact"/>
              <w:rPr>
                <w:sz w:val="20"/>
                <w:szCs w:val="20"/>
                <w:color w:val="auto"/>
              </w:rPr>
            </w:pPr>
            <w:r>
              <w:rPr>
                <w:rFonts w:ascii="Arial" w:cs="Arial" w:eastAsia="Arial" w:hAnsi="Arial"/>
                <w:sz w:val="18"/>
                <w:szCs w:val="18"/>
                <w:color w:val="auto"/>
                <w:w w:val="99"/>
              </w:rPr>
              <w:t>SECTION 2.05</w:t>
            </w:r>
          </w:p>
        </w:tc>
        <w:tc>
          <w:tcPr>
            <w:tcW w:w="1200" w:type="dxa"/>
            <w:vAlign w:val="bottom"/>
            <w:gridSpan w:val="9"/>
          </w:tcPr>
          <w:p>
            <w:pPr>
              <w:spacing w:after="0" w:line="163" w:lineRule="exact"/>
              <w:rPr>
                <w:sz w:val="20"/>
                <w:szCs w:val="20"/>
                <w:color w:val="auto"/>
              </w:rPr>
            </w:pPr>
            <w:r>
              <w:rPr>
                <w:rFonts w:ascii="Arial" w:cs="Arial" w:eastAsia="Arial" w:hAnsi="Arial"/>
                <w:sz w:val="18"/>
                <w:szCs w:val="18"/>
                <w:color w:val="auto"/>
                <w:w w:val="90"/>
              </w:rPr>
              <w:t>Letters of Credit</w:t>
            </w:r>
          </w:p>
        </w:tc>
        <w:tc>
          <w:tcPr>
            <w:tcW w:w="140" w:type="dxa"/>
            <w:vAlign w:val="bottom"/>
            <w:tcBorders>
              <w:top w:val="single" w:sz="8" w:color="DDDDDD"/>
            </w:tcBorders>
            <w:gridSpan w:val="2"/>
          </w:tcPr>
          <w:p>
            <w:pPr>
              <w:spacing w:after="0"/>
              <w:rPr>
                <w:sz w:val="15"/>
                <w:szCs w:val="15"/>
                <w:color w:val="auto"/>
              </w:rPr>
            </w:pPr>
          </w:p>
        </w:tc>
        <w:tc>
          <w:tcPr>
            <w:tcW w:w="240" w:type="dxa"/>
            <w:vAlign w:val="bottom"/>
            <w:gridSpan w:val="6"/>
          </w:tcPr>
          <w:p>
            <w:pPr>
              <w:jc w:val="right"/>
              <w:ind w:right="240"/>
              <w:spacing w:after="0"/>
              <w:rPr>
                <w:sz w:val="20"/>
                <w:szCs w:val="20"/>
                <w:color w:val="auto"/>
              </w:rPr>
            </w:pPr>
            <w:r>
              <w:rPr>
                <w:rFonts w:ascii="Arial" w:cs="Arial" w:eastAsia="Arial" w:hAnsi="Arial"/>
                <w:sz w:val="18"/>
                <w:szCs w:val="18"/>
                <w:color w:val="FF0000"/>
                <w:strike w:val="1"/>
              </w:rPr>
              <w:t>69</w:t>
            </w:r>
          </w:p>
        </w:tc>
        <w:tc>
          <w:tcPr>
            <w:tcW w:w="180" w:type="dxa"/>
            <w:vAlign w:val="bottom"/>
            <w:tcBorders>
              <w:bottom w:val="single" w:sz="8" w:color="0000FF"/>
            </w:tcBorders>
            <w:gridSpan w:val="6"/>
            <w:shd w:val="clear" w:color="auto" w:fill="DDDDDD"/>
          </w:tcPr>
          <w:p>
            <w:pPr>
              <w:jc w:val="right"/>
              <w:spacing w:after="0" w:line="163" w:lineRule="exact"/>
              <w:rPr>
                <w:sz w:val="20"/>
                <w:szCs w:val="20"/>
                <w:color w:val="auto"/>
              </w:rPr>
            </w:pPr>
            <w:r>
              <w:rPr>
                <w:rFonts w:ascii="Arial" w:cs="Arial" w:eastAsia="Arial" w:hAnsi="Arial"/>
                <w:sz w:val="17"/>
                <w:szCs w:val="17"/>
                <w:color w:val="0000FF"/>
                <w:highlight w:val="lightGray"/>
                <w:w w:val="73"/>
              </w:rPr>
              <w:t>72</w:t>
            </w:r>
          </w:p>
        </w:tc>
        <w:tc>
          <w:tcPr>
            <w:tcW w:w="8180" w:type="dxa"/>
            <w:vAlign w:val="bottom"/>
            <w:gridSpan w:val="6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w w:val="99"/>
              </w:rPr>
              <w:t>SECTION 2.06</w:t>
            </w:r>
          </w:p>
        </w:tc>
        <w:tc>
          <w:tcPr>
            <w:tcW w:w="1580" w:type="dxa"/>
            <w:vAlign w:val="bottom"/>
            <w:gridSpan w:val="17"/>
          </w:tcPr>
          <w:p>
            <w:pPr>
              <w:spacing w:after="0" w:line="176" w:lineRule="exact"/>
              <w:rPr>
                <w:sz w:val="20"/>
                <w:szCs w:val="20"/>
                <w:color w:val="auto"/>
              </w:rPr>
            </w:pPr>
            <w:r>
              <w:rPr>
                <w:rFonts w:ascii="Arial" w:cs="Arial" w:eastAsia="Arial" w:hAnsi="Arial"/>
                <w:sz w:val="18"/>
                <w:szCs w:val="18"/>
                <w:color w:val="auto"/>
                <w:w w:val="85"/>
              </w:rPr>
              <w:t>Funding of Borrowings</w:t>
            </w:r>
          </w:p>
        </w:tc>
        <w:tc>
          <w:tcPr>
            <w:tcW w:w="160" w:type="dxa"/>
            <w:vAlign w:val="bottom"/>
            <w:tcBorders>
              <w:top w:val="single" w:sz="8" w:color="DDDDDD"/>
            </w:tcBorders>
            <w:gridSpan w:val="5"/>
          </w:tcPr>
          <w:p>
            <w:pPr>
              <w:spacing w:after="0"/>
              <w:rPr>
                <w:sz w:val="17"/>
                <w:szCs w:val="17"/>
                <w:color w:val="auto"/>
              </w:rPr>
            </w:pPr>
          </w:p>
        </w:tc>
        <w:tc>
          <w:tcPr>
            <w:tcW w:w="320" w:type="dxa"/>
            <w:vAlign w:val="bottom"/>
            <w:gridSpan w:val="13"/>
          </w:tcPr>
          <w:p>
            <w:pPr>
              <w:jc w:val="right"/>
              <w:ind w:right="230"/>
              <w:spacing w:after="0"/>
              <w:rPr>
                <w:sz w:val="20"/>
                <w:szCs w:val="20"/>
                <w:color w:val="auto"/>
              </w:rPr>
            </w:pPr>
            <w:r>
              <w:rPr>
                <w:rFonts w:ascii="Arial" w:cs="Arial" w:eastAsia="Arial" w:hAnsi="Arial"/>
                <w:sz w:val="18"/>
                <w:szCs w:val="18"/>
                <w:color w:val="FF0000"/>
                <w:strike w:val="1"/>
              </w:rPr>
              <w:t>75</w:t>
            </w:r>
          </w:p>
        </w:tc>
        <w:tc>
          <w:tcPr>
            <w:tcW w:w="200" w:type="dxa"/>
            <w:vAlign w:val="bottom"/>
            <w:tcBorders>
              <w:bottom w:val="single" w:sz="8" w:color="0000FF"/>
            </w:tcBorders>
            <w:gridSpan w:val="6"/>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78</w:t>
            </w:r>
          </w:p>
        </w:tc>
        <w:tc>
          <w:tcPr>
            <w:tcW w:w="7680" w:type="dxa"/>
            <w:vAlign w:val="bottom"/>
            <w:gridSpan w:val="48"/>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w w:val="99"/>
              </w:rPr>
              <w:t>SECTION 2.07</w:t>
            </w:r>
          </w:p>
        </w:tc>
        <w:tc>
          <w:tcPr>
            <w:tcW w:w="1440" w:type="dxa"/>
            <w:vAlign w:val="bottom"/>
            <w:gridSpan w:val="15"/>
          </w:tcPr>
          <w:p>
            <w:pPr>
              <w:spacing w:after="0" w:line="176" w:lineRule="exact"/>
              <w:rPr>
                <w:sz w:val="20"/>
                <w:szCs w:val="20"/>
                <w:color w:val="auto"/>
              </w:rPr>
            </w:pPr>
            <w:r>
              <w:rPr>
                <w:rFonts w:ascii="Arial" w:cs="Arial" w:eastAsia="Arial" w:hAnsi="Arial"/>
                <w:sz w:val="18"/>
                <w:szCs w:val="18"/>
                <w:color w:val="auto"/>
              </w:rPr>
              <w:t>Interest Elections</w:t>
            </w:r>
          </w:p>
        </w:tc>
        <w:tc>
          <w:tcPr>
            <w:tcW w:w="240" w:type="dxa"/>
            <w:vAlign w:val="bottom"/>
            <w:tcBorders>
              <w:right w:val="single" w:sz="8" w:color="DDDDDD"/>
            </w:tcBorders>
            <w:gridSpan w:val="4"/>
          </w:tcPr>
          <w:p>
            <w:pPr>
              <w:jc w:val="right"/>
              <w:spacing w:after="0" w:line="176" w:lineRule="exact"/>
              <w:rPr>
                <w:sz w:val="20"/>
                <w:szCs w:val="20"/>
                <w:color w:val="auto"/>
              </w:rPr>
            </w:pPr>
            <w:r>
              <w:rPr>
                <w:rFonts w:ascii="Arial" w:cs="Arial" w:eastAsia="Arial" w:hAnsi="Arial"/>
                <w:sz w:val="18"/>
                <w:szCs w:val="18"/>
                <w:color w:val="FF0000"/>
                <w:strike w:val="1"/>
                <w:w w:val="79"/>
              </w:rPr>
              <w:t>75</w:t>
            </w:r>
          </w:p>
        </w:tc>
        <w:tc>
          <w:tcPr>
            <w:tcW w:w="8260" w:type="dxa"/>
            <w:vAlign w:val="bottom"/>
            <w:gridSpan w:val="70"/>
            <w:shd w:val="clear" w:color="auto" w:fill="DDDDDD"/>
          </w:tcPr>
          <w:p>
            <w:pPr>
              <w:jc w:val="right"/>
              <w:ind w:right="8140"/>
              <w:spacing w:after="0"/>
              <w:rPr>
                <w:sz w:val="20"/>
                <w:szCs w:val="20"/>
                <w:color w:val="auto"/>
              </w:rPr>
            </w:pPr>
            <w:r>
              <w:rPr>
                <w:rFonts w:ascii="Arial" w:cs="Arial" w:eastAsia="Arial" w:hAnsi="Arial"/>
                <w:sz w:val="12"/>
                <w:szCs w:val="12"/>
                <w:color w:val="0000FF"/>
                <w:highlight w:val="lightGray"/>
                <w:w w:val="74"/>
              </w:rPr>
              <w:t>79</w:t>
            </w:r>
          </w:p>
        </w:tc>
        <w:tc>
          <w:tcPr>
            <w:tcW w:w="0" w:type="dxa"/>
            <w:vAlign w:val="bottom"/>
          </w:tcPr>
          <w:p>
            <w:pPr>
              <w:spacing w:after="0"/>
              <w:rPr>
                <w:sz w:val="1"/>
                <w:szCs w:val="1"/>
                <w:color w:val="auto"/>
              </w:rPr>
            </w:pPr>
          </w:p>
        </w:tc>
      </w:tr>
      <w:tr>
        <w:trPr>
          <w:trHeight w:val="27"/>
        </w:trPr>
        <w:tc>
          <w:tcPr>
            <w:tcW w:w="1220" w:type="dxa"/>
            <w:vAlign w:val="bottom"/>
            <w:vMerge w:val="restart"/>
          </w:tcPr>
          <w:p>
            <w:pPr>
              <w:spacing w:after="0" w:line="202" w:lineRule="exact"/>
              <w:rPr>
                <w:sz w:val="20"/>
                <w:szCs w:val="20"/>
                <w:color w:val="auto"/>
              </w:rPr>
            </w:pPr>
            <w:r>
              <w:rPr>
                <w:rFonts w:ascii="Arial" w:cs="Arial" w:eastAsia="Arial" w:hAnsi="Arial"/>
                <w:sz w:val="18"/>
                <w:szCs w:val="18"/>
                <w:color w:val="auto"/>
                <w:w w:val="99"/>
              </w:rPr>
              <w:t>SECTION 2.08</w:t>
            </w: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gridSpan w:val="3"/>
            <w:vMerge w:val="restart"/>
          </w:tcPr>
          <w:p>
            <w:pPr>
              <w:spacing w:after="0"/>
              <w:rPr>
                <w:sz w:val="2"/>
                <w:szCs w:val="2"/>
                <w:color w:val="auto"/>
              </w:rPr>
            </w:pPr>
          </w:p>
        </w:tc>
        <w:tc>
          <w:tcPr>
            <w:tcW w:w="1420" w:type="dxa"/>
            <w:vAlign w:val="bottom"/>
            <w:gridSpan w:val="40"/>
            <w:vMerge w:val="restart"/>
          </w:tcPr>
          <w:p>
            <w:pPr>
              <w:ind w:left="20"/>
              <w:spacing w:after="0" w:line="202" w:lineRule="exact"/>
              <w:rPr>
                <w:sz w:val="20"/>
                <w:szCs w:val="20"/>
                <w:color w:val="auto"/>
              </w:rPr>
            </w:pPr>
            <w:r>
              <w:rPr>
                <w:rFonts w:ascii="Arial" w:cs="Arial" w:eastAsia="Arial" w:hAnsi="Arial"/>
                <w:sz w:val="18"/>
                <w:szCs w:val="18"/>
                <w:color w:val="auto"/>
              </w:rPr>
              <w:t>of Commitments</w:t>
            </w:r>
          </w:p>
        </w:tc>
        <w:tc>
          <w:tcPr>
            <w:tcW w:w="180" w:type="dxa"/>
            <w:vAlign w:val="bottom"/>
            <w:vMerge w:val="restart"/>
          </w:tcPr>
          <w:p>
            <w:pPr>
              <w:jc w:val="right"/>
              <w:spacing w:after="0" w:line="202" w:lineRule="exact"/>
              <w:rPr>
                <w:sz w:val="20"/>
                <w:szCs w:val="20"/>
                <w:color w:val="auto"/>
              </w:rPr>
            </w:pPr>
            <w:r>
              <w:rPr>
                <w:rFonts w:ascii="Arial" w:cs="Arial" w:eastAsia="Arial" w:hAnsi="Arial"/>
                <w:sz w:val="18"/>
                <w:szCs w:val="18"/>
                <w:color w:val="FF0000"/>
                <w:strike w:val="1"/>
                <w:w w:val="79"/>
              </w:rPr>
              <w:t>76</w:t>
            </w:r>
          </w:p>
        </w:tc>
        <w:tc>
          <w:tcPr>
            <w:tcW w:w="2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5040" w:type="dxa"/>
            <w:vAlign w:val="bottom"/>
            <w:gridSpan w:val="2"/>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26"/>
          </w:tcPr>
          <w:p>
            <w:pPr>
              <w:spacing w:after="0" w:line="176" w:lineRule="exact"/>
              <w:rPr>
                <w:sz w:val="20"/>
                <w:szCs w:val="20"/>
                <w:color w:val="auto"/>
              </w:rPr>
            </w:pPr>
            <w:r>
              <w:rPr>
                <w:rFonts w:ascii="Arial" w:cs="Arial" w:eastAsia="Arial" w:hAnsi="Arial"/>
                <w:sz w:val="18"/>
                <w:szCs w:val="18"/>
                <w:color w:val="auto"/>
                <w:w w:val="82"/>
              </w:rPr>
              <w:t>Termination and Reduction</w:t>
            </w:r>
          </w:p>
        </w:tc>
        <w:tc>
          <w:tcPr>
            <w:tcW w:w="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gridSpan w:val="3"/>
            <w:vMerge w:val="continue"/>
          </w:tcPr>
          <w:p>
            <w:pPr>
              <w:spacing w:after="0"/>
              <w:rPr>
                <w:sz w:val="17"/>
                <w:szCs w:val="17"/>
                <w:color w:val="auto"/>
              </w:rPr>
            </w:pPr>
          </w:p>
        </w:tc>
        <w:tc>
          <w:tcPr>
            <w:tcW w:w="1420" w:type="dxa"/>
            <w:vAlign w:val="bottom"/>
            <w:gridSpan w:val="40"/>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160" w:type="dxa"/>
            <w:vAlign w:val="bottom"/>
            <w:tcBorders>
              <w:bottom w:val="single" w:sz="8" w:color="0000FF"/>
            </w:tcBorders>
            <w:gridSpan w:val="2"/>
            <w:shd w:val="clear" w:color="auto" w:fill="DDDDDD"/>
          </w:tcPr>
          <w:p>
            <w:pPr>
              <w:jc w:val="right"/>
              <w:spacing w:after="0" w:line="176" w:lineRule="exact"/>
              <w:rPr>
                <w:sz w:val="20"/>
                <w:szCs w:val="20"/>
                <w:color w:val="auto"/>
              </w:rPr>
            </w:pPr>
            <w:r>
              <w:rPr>
                <w:rFonts w:ascii="Arial" w:cs="Arial" w:eastAsia="Arial" w:hAnsi="Arial"/>
                <w:sz w:val="17"/>
                <w:szCs w:val="17"/>
                <w:color w:val="0000FF"/>
                <w:highlight w:val="lightGray"/>
                <w:w w:val="73"/>
              </w:rPr>
              <w:t>79</w:t>
            </w:r>
          </w:p>
        </w:tc>
        <w:tc>
          <w:tcPr>
            <w:tcW w:w="20" w:type="dxa"/>
            <w:vAlign w:val="bottom"/>
            <w:tcBorders>
              <w:bottom w:val="single" w:sz="8" w:color="0000FF"/>
            </w:tcBorders>
            <w:vMerge w:val="continue"/>
          </w:tcPr>
          <w:p>
            <w:pPr>
              <w:spacing w:after="0"/>
              <w:rPr>
                <w:sz w:val="17"/>
                <w:szCs w:val="17"/>
                <w:color w:val="auto"/>
              </w:rPr>
            </w:pPr>
          </w:p>
        </w:tc>
        <w:tc>
          <w:tcPr>
            <w:tcW w:w="6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5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2.09</w:t>
            </w:r>
          </w:p>
        </w:tc>
        <w:tc>
          <w:tcPr>
            <w:tcW w:w="80" w:type="dxa"/>
            <w:vAlign w:val="bottom"/>
            <w:vMerge w:val="restart"/>
          </w:tcPr>
          <w:p>
            <w:pPr>
              <w:spacing w:after="0" w:line="20" w:lineRule="exact"/>
              <w:rPr>
                <w:sz w:val="1"/>
                <w:szCs w:val="1"/>
                <w:color w:val="auto"/>
              </w:rPr>
            </w:pPr>
          </w:p>
        </w:tc>
        <w:tc>
          <w:tcPr>
            <w:tcW w:w="3000" w:type="dxa"/>
            <w:vAlign w:val="bottom"/>
            <w:gridSpan w:val="64"/>
            <w:vMerge w:val="restart"/>
          </w:tcPr>
          <w:p>
            <w:pPr>
              <w:spacing w:after="0" w:line="176" w:lineRule="exact"/>
              <w:rPr>
                <w:sz w:val="20"/>
                <w:szCs w:val="20"/>
                <w:color w:val="auto"/>
              </w:rPr>
            </w:pPr>
            <w:r>
              <w:rPr>
                <w:rFonts w:ascii="Arial" w:cs="Arial" w:eastAsia="Arial" w:hAnsi="Arial"/>
                <w:sz w:val="18"/>
                <w:szCs w:val="18"/>
                <w:color w:val="auto"/>
                <w:w w:val="94"/>
              </w:rPr>
              <w:t>Repayment of Loans; Evidence of Debt</w:t>
            </w:r>
          </w:p>
        </w:tc>
        <w:tc>
          <w:tcPr>
            <w:tcW w:w="220" w:type="dxa"/>
            <w:vAlign w:val="bottom"/>
            <w:gridSpan w:val="4"/>
            <w:vMerge w:val="restart"/>
          </w:tcPr>
          <w:p>
            <w:pPr>
              <w:jc w:val="right"/>
              <w:spacing w:after="0" w:line="176" w:lineRule="exact"/>
              <w:rPr>
                <w:sz w:val="20"/>
                <w:szCs w:val="20"/>
                <w:color w:val="auto"/>
              </w:rPr>
            </w:pPr>
            <w:r>
              <w:rPr>
                <w:rFonts w:ascii="Arial" w:cs="Arial" w:eastAsia="Arial" w:hAnsi="Arial"/>
                <w:sz w:val="18"/>
                <w:szCs w:val="18"/>
                <w:color w:val="FF0000"/>
                <w:strike w:val="1"/>
                <w:w w:val="99"/>
              </w:rPr>
              <w:t>77</w:t>
            </w: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3000" w:type="dxa"/>
            <w:vAlign w:val="bottom"/>
            <w:gridSpan w:val="64"/>
            <w:vMerge w:val="continue"/>
          </w:tcPr>
          <w:p>
            <w:pPr>
              <w:spacing w:after="0"/>
              <w:rPr>
                <w:sz w:val="15"/>
                <w:szCs w:val="15"/>
                <w:color w:val="auto"/>
              </w:rPr>
            </w:pPr>
          </w:p>
        </w:tc>
        <w:tc>
          <w:tcPr>
            <w:tcW w:w="220" w:type="dxa"/>
            <w:vAlign w:val="bottom"/>
            <w:gridSpan w:val="4"/>
            <w:vMerge w:val="continue"/>
          </w:tcPr>
          <w:p>
            <w:pPr>
              <w:spacing w:after="0"/>
              <w:rPr>
                <w:sz w:val="15"/>
                <w:szCs w:val="15"/>
                <w:color w:val="auto"/>
              </w:rPr>
            </w:pPr>
          </w:p>
        </w:tc>
        <w:tc>
          <w:tcPr>
            <w:tcW w:w="180" w:type="dxa"/>
            <w:vAlign w:val="bottom"/>
            <w:tcBorders>
              <w:bottom w:val="single" w:sz="8" w:color="0000FF"/>
            </w:tcBorders>
            <w:gridSpan w:val="4"/>
            <w:shd w:val="clear" w:color="auto" w:fill="DDDDDD"/>
          </w:tcPr>
          <w:p>
            <w:pPr>
              <w:jc w:val="right"/>
              <w:spacing w:after="0" w:line="156" w:lineRule="exact"/>
              <w:rPr>
                <w:sz w:val="20"/>
                <w:szCs w:val="20"/>
                <w:color w:val="auto"/>
              </w:rPr>
            </w:pPr>
            <w:r>
              <w:rPr>
                <w:rFonts w:ascii="Arial" w:cs="Arial" w:eastAsia="Arial" w:hAnsi="Arial"/>
                <w:sz w:val="18"/>
                <w:szCs w:val="18"/>
                <w:color w:val="0000FF"/>
                <w:highlight w:val="lightGray"/>
                <w:w w:val="79"/>
              </w:rPr>
              <w:t>80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2.10</w:t>
            </w:r>
          </w:p>
        </w:tc>
        <w:tc>
          <w:tcPr>
            <w:tcW w:w="80" w:type="dxa"/>
            <w:vAlign w:val="bottom"/>
          </w:tcPr>
          <w:p>
            <w:pPr>
              <w:spacing w:after="0"/>
              <w:rPr>
                <w:sz w:val="15"/>
                <w:szCs w:val="15"/>
                <w:color w:val="auto"/>
              </w:rPr>
            </w:pPr>
          </w:p>
        </w:tc>
        <w:tc>
          <w:tcPr>
            <w:tcW w:w="2200" w:type="dxa"/>
            <w:vAlign w:val="bottom"/>
            <w:gridSpan w:val="39"/>
          </w:tcPr>
          <w:p>
            <w:pPr>
              <w:spacing w:after="0" w:line="176" w:lineRule="exact"/>
              <w:rPr>
                <w:sz w:val="20"/>
                <w:szCs w:val="20"/>
                <w:color w:val="auto"/>
              </w:rPr>
            </w:pPr>
            <w:r>
              <w:rPr>
                <w:rFonts w:ascii="Arial" w:cs="Arial" w:eastAsia="Arial" w:hAnsi="Arial"/>
                <w:sz w:val="18"/>
                <w:szCs w:val="18"/>
                <w:color w:val="auto"/>
                <w:w w:val="97"/>
              </w:rPr>
              <w:t>Amortization of Term Loans</w:t>
            </w:r>
          </w:p>
        </w:tc>
        <w:tc>
          <w:tcPr>
            <w:tcW w:w="40" w:type="dxa"/>
            <w:vAlign w:val="bottom"/>
          </w:tcPr>
          <w:p>
            <w:pPr>
              <w:spacing w:after="0"/>
              <w:rPr>
                <w:sz w:val="15"/>
                <w:szCs w:val="15"/>
                <w:color w:val="auto"/>
              </w:rPr>
            </w:pPr>
          </w:p>
        </w:tc>
        <w:tc>
          <w:tcPr>
            <w:tcW w:w="180" w:type="dxa"/>
            <w:vAlign w:val="bottom"/>
            <w:gridSpan w:val="6"/>
          </w:tcPr>
          <w:p>
            <w:pPr>
              <w:jc w:val="right"/>
              <w:spacing w:after="0" w:line="176" w:lineRule="exact"/>
              <w:rPr>
                <w:sz w:val="20"/>
                <w:szCs w:val="20"/>
                <w:color w:val="auto"/>
              </w:rPr>
            </w:pPr>
            <w:r>
              <w:rPr>
                <w:rFonts w:ascii="Arial" w:cs="Arial" w:eastAsia="Arial" w:hAnsi="Arial"/>
                <w:sz w:val="18"/>
                <w:szCs w:val="18"/>
                <w:color w:val="FF0000"/>
                <w:strike w:val="1"/>
                <w:w w:val="79"/>
              </w:rPr>
              <w:t>77</w:t>
            </w:r>
          </w:p>
        </w:tc>
        <w:tc>
          <w:tcPr>
            <w:tcW w:w="180" w:type="dxa"/>
            <w:vAlign w:val="bottom"/>
            <w:tcBorders>
              <w:bottom w:val="single" w:sz="8" w:color="0000FF"/>
            </w:tcBorders>
            <w:gridSpan w:val="5"/>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81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2.11</w:t>
            </w:r>
          </w:p>
        </w:tc>
        <w:tc>
          <w:tcPr>
            <w:tcW w:w="1800" w:type="dxa"/>
            <w:vAlign w:val="bottom"/>
            <w:gridSpan w:val="22"/>
          </w:tcPr>
          <w:p>
            <w:pPr>
              <w:ind w:left="80"/>
              <w:spacing w:after="0" w:line="176" w:lineRule="exact"/>
              <w:rPr>
                <w:sz w:val="20"/>
                <w:szCs w:val="20"/>
                <w:color w:val="auto"/>
              </w:rPr>
            </w:pPr>
            <w:r>
              <w:rPr>
                <w:rFonts w:ascii="Arial" w:cs="Arial" w:eastAsia="Arial" w:hAnsi="Arial"/>
                <w:sz w:val="18"/>
                <w:szCs w:val="18"/>
                <w:color w:val="auto"/>
                <w:w w:val="99"/>
              </w:rPr>
              <w:t>Prepayment of Loans</w:t>
            </w:r>
          </w:p>
        </w:tc>
        <w:tc>
          <w:tcPr>
            <w:tcW w:w="180" w:type="dxa"/>
            <w:vAlign w:val="bottom"/>
            <w:gridSpan w:val="9"/>
          </w:tcPr>
          <w:p>
            <w:pPr>
              <w:jc w:val="right"/>
              <w:spacing w:after="0" w:line="176" w:lineRule="exact"/>
              <w:rPr>
                <w:sz w:val="20"/>
                <w:szCs w:val="20"/>
                <w:color w:val="auto"/>
              </w:rPr>
            </w:pPr>
            <w:r>
              <w:rPr>
                <w:rFonts w:ascii="Arial" w:cs="Arial" w:eastAsia="Arial" w:hAnsi="Arial"/>
                <w:sz w:val="18"/>
                <w:szCs w:val="18"/>
                <w:color w:val="FF0000"/>
                <w:strike w:val="1"/>
                <w:w w:val="79"/>
              </w:rPr>
              <w:t>79</w:t>
            </w:r>
          </w:p>
        </w:tc>
        <w:tc>
          <w:tcPr>
            <w:tcW w:w="180" w:type="dxa"/>
            <w:vAlign w:val="bottom"/>
            <w:tcBorders>
              <w:bottom w:val="single" w:sz="8" w:color="0000FF"/>
            </w:tcBorders>
            <w:gridSpan w:val="6"/>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82</w:t>
            </w:r>
          </w:p>
        </w:tc>
        <w:tc>
          <w:tcPr>
            <w:tcW w:w="7860" w:type="dxa"/>
            <w:vAlign w:val="bottom"/>
            <w:gridSpan w:val="53"/>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w w:val="99"/>
              </w:rPr>
              <w:t>SECTION 2.12</w:t>
            </w:r>
          </w:p>
        </w:tc>
        <w:tc>
          <w:tcPr>
            <w:tcW w:w="520" w:type="dxa"/>
            <w:vAlign w:val="bottom"/>
          </w:tcPr>
          <w:p>
            <w:pPr>
              <w:spacing w:after="0" w:line="176" w:lineRule="exact"/>
              <w:rPr>
                <w:sz w:val="20"/>
                <w:szCs w:val="20"/>
                <w:color w:val="auto"/>
              </w:rPr>
            </w:pPr>
            <w:r>
              <w:rPr>
                <w:rFonts w:ascii="Arial" w:cs="Arial" w:eastAsia="Arial" w:hAnsi="Arial"/>
                <w:sz w:val="18"/>
                <w:szCs w:val="18"/>
                <w:color w:val="auto"/>
              </w:rPr>
              <w:t>Fees</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FF0000"/>
                <w:strike w:val="1"/>
                <w:w w:val="79"/>
              </w:rPr>
              <w:t>86</w:t>
            </w:r>
          </w:p>
        </w:tc>
        <w:tc>
          <w:tcPr>
            <w:tcW w:w="180" w:type="dxa"/>
            <w:vAlign w:val="bottom"/>
            <w:tcBorders>
              <w:bottom w:val="single" w:sz="8" w:color="0000FF"/>
            </w:tcBorders>
            <w:gridSpan w:val="3"/>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89</w:t>
            </w:r>
          </w:p>
        </w:tc>
        <w:tc>
          <w:tcPr>
            <w:tcW w:w="9060" w:type="dxa"/>
            <w:vAlign w:val="bottom"/>
            <w:gridSpan w:val="8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SECTION 2.13</w:t>
            </w:r>
          </w:p>
        </w:tc>
        <w:tc>
          <w:tcPr>
            <w:tcW w:w="80" w:type="dxa"/>
            <w:vAlign w:val="bottom"/>
            <w:vMerge w:val="restart"/>
          </w:tcPr>
          <w:p>
            <w:pPr>
              <w:spacing w:after="0" w:line="20" w:lineRule="exact"/>
              <w:rPr>
                <w:sz w:val="1"/>
                <w:szCs w:val="1"/>
                <w:color w:val="auto"/>
              </w:rPr>
            </w:pPr>
          </w:p>
        </w:tc>
        <w:tc>
          <w:tcPr>
            <w:tcW w:w="700" w:type="dxa"/>
            <w:vAlign w:val="bottom"/>
            <w:gridSpan w:val="2"/>
            <w:vMerge w:val="restart"/>
          </w:tcPr>
          <w:p>
            <w:pPr>
              <w:spacing w:after="0" w:line="189" w:lineRule="exact"/>
              <w:rPr>
                <w:sz w:val="20"/>
                <w:szCs w:val="20"/>
                <w:color w:val="auto"/>
              </w:rPr>
            </w:pPr>
            <w:r>
              <w:rPr>
                <w:rFonts w:ascii="Arial" w:cs="Arial" w:eastAsia="Arial" w:hAnsi="Arial"/>
                <w:sz w:val="18"/>
                <w:szCs w:val="18"/>
                <w:color w:val="auto"/>
              </w:rPr>
              <w:t>Interest</w:t>
            </w:r>
          </w:p>
        </w:tc>
        <w:tc>
          <w:tcPr>
            <w:tcW w:w="180" w:type="dxa"/>
            <w:vAlign w:val="bottom"/>
            <w:gridSpan w:val="3"/>
            <w:vMerge w:val="restart"/>
          </w:tcPr>
          <w:p>
            <w:pPr>
              <w:jc w:val="right"/>
              <w:spacing w:after="0" w:line="189" w:lineRule="exact"/>
              <w:rPr>
                <w:sz w:val="20"/>
                <w:szCs w:val="20"/>
                <w:color w:val="auto"/>
              </w:rPr>
            </w:pPr>
            <w:r>
              <w:rPr>
                <w:rFonts w:ascii="Arial" w:cs="Arial" w:eastAsia="Arial" w:hAnsi="Arial"/>
                <w:sz w:val="18"/>
                <w:szCs w:val="18"/>
                <w:color w:val="FF0000"/>
                <w:strike w:val="1"/>
                <w:w w:val="79"/>
              </w:rPr>
              <w:t>87</w:t>
            </w:r>
          </w:p>
        </w:tc>
        <w:tc>
          <w:tcPr>
            <w:tcW w:w="20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740" w:type="dxa"/>
            <w:vAlign w:val="bottom"/>
            <w:gridSpan w:val="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gridSpan w:val="3"/>
            <w:vMerge w:val="continue"/>
          </w:tcPr>
          <w:p>
            <w:pPr>
              <w:spacing w:after="0"/>
              <w:rPr>
                <w:sz w:val="14"/>
                <w:szCs w:val="14"/>
                <w:color w:val="auto"/>
              </w:rPr>
            </w:pPr>
          </w:p>
        </w:tc>
        <w:tc>
          <w:tcPr>
            <w:tcW w:w="80" w:type="dxa"/>
            <w:vAlign w:val="bottom"/>
            <w:tcBorders>
              <w:bottom w:val="single" w:sz="8" w:color="0000FF"/>
              <w:right w:val="single" w:sz="8" w:color="DDDDDD"/>
            </w:tcBorders>
          </w:tcPr>
          <w:p>
            <w:pPr>
              <w:spacing w:after="0"/>
              <w:rPr>
                <w:sz w:val="14"/>
                <w:szCs w:val="14"/>
                <w:color w:val="auto"/>
              </w:rPr>
            </w:pPr>
          </w:p>
        </w:tc>
        <w:tc>
          <w:tcPr>
            <w:tcW w:w="120" w:type="dxa"/>
            <w:vAlign w:val="bottom"/>
            <w:tcBorders>
              <w:left w:val="single" w:sz="8" w:color="DDDDDD"/>
              <w:bottom w:val="single" w:sz="8" w:color="0000FF"/>
            </w:tcBorders>
            <w:shd w:val="clear" w:color="auto" w:fill="DDDDDD"/>
          </w:tcPr>
          <w:p>
            <w:pPr>
              <w:jc w:val="right"/>
              <w:spacing w:after="0"/>
              <w:rPr>
                <w:sz w:val="20"/>
                <w:szCs w:val="20"/>
                <w:color w:val="auto"/>
              </w:rPr>
            </w:pPr>
            <w:r>
              <w:rPr>
                <w:rFonts w:ascii="Arial" w:cs="Arial" w:eastAsia="Arial" w:hAnsi="Arial"/>
                <w:sz w:val="12"/>
                <w:szCs w:val="12"/>
                <w:color w:val="0000FF"/>
                <w:highlight w:val="lightGray"/>
                <w:w w:val="74"/>
              </w:rPr>
              <w:t>90</w:t>
            </w:r>
          </w:p>
        </w:tc>
        <w:tc>
          <w:tcPr>
            <w:tcW w:w="20" w:type="dxa"/>
            <w:vAlign w:val="bottom"/>
            <w:tcBorders>
              <w:bottom w:val="single" w:sz="8" w:color="0000FF"/>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740" w:type="dxa"/>
            <w:vAlign w:val="bottom"/>
            <w:gridSpan w:val="8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82" w:lineRule="exact"/>
              <w:rPr>
                <w:sz w:val="20"/>
                <w:szCs w:val="20"/>
                <w:color w:val="auto"/>
              </w:rPr>
            </w:pPr>
            <w:r>
              <w:rPr>
                <w:rFonts w:ascii="Arial" w:cs="Arial" w:eastAsia="Arial" w:hAnsi="Arial"/>
                <w:sz w:val="18"/>
                <w:szCs w:val="18"/>
                <w:color w:val="auto"/>
                <w:w w:val="99"/>
              </w:rPr>
              <w:t>SECTION 2.14</w:t>
            </w:r>
          </w:p>
        </w:tc>
        <w:tc>
          <w:tcPr>
            <w:tcW w:w="1040" w:type="dxa"/>
            <w:vAlign w:val="bottom"/>
            <w:tcBorders>
              <w:right w:val="single" w:sz="8" w:color="DDDDDD"/>
            </w:tcBorders>
            <w:gridSpan w:val="7"/>
          </w:tcPr>
          <w:p>
            <w:pPr>
              <w:spacing w:after="0" w:line="20" w:lineRule="exact"/>
              <w:rPr>
                <w:sz w:val="1"/>
                <w:szCs w:val="1"/>
                <w:color w:val="auto"/>
              </w:rPr>
            </w:pPr>
          </w:p>
        </w:tc>
        <w:tc>
          <w:tcPr>
            <w:tcW w:w="140" w:type="dxa"/>
            <w:vAlign w:val="bottom"/>
            <w:tcBorders>
              <w:left w:val="single" w:sz="8" w:color="DDDDDD"/>
            </w:tcBorders>
            <w:gridSpan w:val="2"/>
            <w:shd w:val="clear" w:color="auto" w:fill="DDDDDD"/>
          </w:tcPr>
          <w:p>
            <w:pPr>
              <w:spacing w:after="0" w:line="20" w:lineRule="exact"/>
              <w:rPr>
                <w:sz w:val="1"/>
                <w:szCs w:val="1"/>
                <w:color w:val="auto"/>
              </w:rPr>
            </w:pPr>
          </w:p>
        </w:tc>
        <w:tc>
          <w:tcPr>
            <w:tcW w:w="840" w:type="dxa"/>
            <w:vAlign w:val="bottom"/>
            <w:gridSpan w:val="24"/>
            <w:vMerge w:val="restart"/>
          </w:tcPr>
          <w:p>
            <w:pPr>
              <w:spacing w:after="0" w:line="182" w:lineRule="exact"/>
              <w:rPr>
                <w:sz w:val="20"/>
                <w:szCs w:val="20"/>
                <w:color w:val="auto"/>
              </w:rPr>
            </w:pPr>
            <w:r>
              <w:rPr>
                <w:rFonts w:ascii="Arial" w:cs="Arial" w:eastAsia="Arial" w:hAnsi="Arial"/>
                <w:sz w:val="18"/>
                <w:szCs w:val="18"/>
                <w:color w:val="auto"/>
              </w:rPr>
              <w:t>of Interest</w:t>
            </w:r>
          </w:p>
        </w:tc>
        <w:tc>
          <w:tcPr>
            <w:tcW w:w="60" w:type="dxa"/>
            <w:vAlign w:val="bottom"/>
            <w:vMerge w:val="restart"/>
          </w:tcPr>
          <w:p>
            <w:pPr>
              <w:spacing w:after="0" w:line="20" w:lineRule="exact"/>
              <w:rPr>
                <w:sz w:val="1"/>
                <w:szCs w:val="1"/>
                <w:color w:val="auto"/>
              </w:rPr>
            </w:pPr>
          </w:p>
        </w:tc>
        <w:tc>
          <w:tcPr>
            <w:tcW w:w="200" w:type="dxa"/>
            <w:vAlign w:val="bottom"/>
            <w:gridSpan w:val="6"/>
            <w:vMerge w:val="restart"/>
          </w:tcPr>
          <w:p>
            <w:pPr>
              <w:ind w:left="20"/>
              <w:spacing w:after="0" w:line="183" w:lineRule="exact"/>
              <w:rPr>
                <w:sz w:val="20"/>
                <w:szCs w:val="20"/>
                <w:color w:val="auto"/>
              </w:rPr>
            </w:pPr>
            <w:r>
              <w:rPr>
                <w:rFonts w:ascii="Arial" w:cs="Arial" w:eastAsia="Arial" w:hAnsi="Arial"/>
                <w:sz w:val="17"/>
                <w:szCs w:val="17"/>
                <w:color w:val="FF0000"/>
                <w:strike w:val="1"/>
                <w:w w:val="73"/>
              </w:rPr>
              <w:t>88</w:t>
            </w:r>
          </w:p>
        </w:tc>
        <w:tc>
          <w:tcPr>
            <w:tcW w:w="160" w:type="dxa"/>
            <w:vAlign w:val="bottom"/>
            <w:gridSpan w:val="5"/>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540" w:type="dxa"/>
            <w:vAlign w:val="bottom"/>
            <w:gridSpan w:val="4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7"/>
          </w:tcPr>
          <w:p>
            <w:pPr>
              <w:spacing w:after="0" w:line="163" w:lineRule="exact"/>
              <w:rPr>
                <w:sz w:val="20"/>
                <w:szCs w:val="20"/>
                <w:color w:val="auto"/>
              </w:rPr>
            </w:pPr>
            <w:r>
              <w:rPr>
                <w:rFonts w:ascii="Arial" w:cs="Arial" w:eastAsia="Arial" w:hAnsi="Arial"/>
                <w:sz w:val="18"/>
                <w:szCs w:val="18"/>
                <w:color w:val="auto"/>
                <w:w w:val="92"/>
              </w:rPr>
              <w:t>Alternate Rate</w:t>
            </w:r>
          </w:p>
        </w:tc>
        <w:tc>
          <w:tcPr>
            <w:tcW w:w="20" w:type="dxa"/>
            <w:vAlign w:val="bottom"/>
          </w:tcPr>
          <w:p>
            <w:pPr>
              <w:spacing w:after="0"/>
              <w:rPr>
                <w:sz w:val="15"/>
                <w:szCs w:val="15"/>
                <w:color w:val="auto"/>
              </w:rPr>
            </w:pPr>
          </w:p>
        </w:tc>
        <w:tc>
          <w:tcPr>
            <w:tcW w:w="840" w:type="dxa"/>
            <w:vAlign w:val="bottom"/>
            <w:gridSpan w:val="24"/>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0" w:type="dxa"/>
            <w:vAlign w:val="bottom"/>
            <w:gridSpan w:val="6"/>
            <w:vMerge w:val="continue"/>
          </w:tcPr>
          <w:p>
            <w:pPr>
              <w:spacing w:after="0"/>
              <w:rPr>
                <w:sz w:val="15"/>
                <w:szCs w:val="15"/>
                <w:color w:val="auto"/>
              </w:rPr>
            </w:pPr>
          </w:p>
        </w:tc>
        <w:tc>
          <w:tcPr>
            <w:tcW w:w="160" w:type="dxa"/>
            <w:vAlign w:val="bottom"/>
            <w:gridSpan w:val="5"/>
            <w:shd w:val="clear" w:color="auto" w:fill="DDDDDD"/>
          </w:tcPr>
          <w:p>
            <w:pPr>
              <w:spacing w:after="0" w:line="163" w:lineRule="exact"/>
              <w:rPr>
                <w:sz w:val="20"/>
                <w:szCs w:val="20"/>
                <w:color w:val="auto"/>
              </w:rPr>
            </w:pPr>
            <w:r>
              <w:rPr>
                <w:rFonts w:ascii="Arial" w:cs="Arial" w:eastAsia="Arial" w:hAnsi="Arial"/>
                <w:sz w:val="17"/>
                <w:szCs w:val="17"/>
                <w:color w:val="0000FF"/>
                <w:highlight w:val="lightGray"/>
                <w:w w:val="73"/>
              </w:rPr>
              <w:t>91</w:t>
            </w:r>
          </w:p>
        </w:tc>
        <w:tc>
          <w:tcPr>
            <w:tcW w:w="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w w:val="99"/>
              </w:rPr>
              <w:t>SECTION 2.15</w:t>
            </w:r>
          </w:p>
        </w:tc>
        <w:tc>
          <w:tcPr>
            <w:tcW w:w="1320" w:type="dxa"/>
            <w:vAlign w:val="bottom"/>
            <w:gridSpan w:val="10"/>
          </w:tcPr>
          <w:p>
            <w:pPr>
              <w:spacing w:after="0" w:line="176" w:lineRule="exact"/>
              <w:rPr>
                <w:sz w:val="20"/>
                <w:szCs w:val="20"/>
                <w:color w:val="auto"/>
              </w:rPr>
            </w:pPr>
            <w:r>
              <w:rPr>
                <w:rFonts w:ascii="Arial" w:cs="Arial" w:eastAsia="Arial" w:hAnsi="Arial"/>
                <w:sz w:val="18"/>
                <w:szCs w:val="18"/>
                <w:color w:val="auto"/>
                <w:w w:val="89"/>
              </w:rPr>
              <w:t>Increased Costs</w:t>
            </w:r>
          </w:p>
        </w:tc>
        <w:tc>
          <w:tcPr>
            <w:tcW w:w="180" w:type="dxa"/>
            <w:vAlign w:val="bottom"/>
            <w:gridSpan w:val="6"/>
          </w:tcPr>
          <w:p>
            <w:pPr>
              <w:jc w:val="right"/>
              <w:spacing w:after="0" w:line="176" w:lineRule="exact"/>
              <w:rPr>
                <w:sz w:val="20"/>
                <w:szCs w:val="20"/>
                <w:color w:val="auto"/>
              </w:rPr>
            </w:pPr>
            <w:r>
              <w:rPr>
                <w:rFonts w:ascii="Arial" w:cs="Arial" w:eastAsia="Arial" w:hAnsi="Arial"/>
                <w:sz w:val="18"/>
                <w:szCs w:val="18"/>
                <w:color w:val="FF0000"/>
                <w:strike w:val="1"/>
                <w:w w:val="79"/>
              </w:rPr>
              <w:t>90</w:t>
            </w:r>
          </w:p>
        </w:tc>
        <w:tc>
          <w:tcPr>
            <w:tcW w:w="80" w:type="dxa"/>
            <w:vAlign w:val="bottom"/>
            <w:tcBorders>
              <w:bottom w:val="single" w:sz="8" w:color="0000FF"/>
              <w:right w:val="single" w:sz="8" w:color="DDDDDD"/>
            </w:tcBorders>
          </w:tcPr>
          <w:p>
            <w:pPr>
              <w:spacing w:after="0"/>
              <w:rPr>
                <w:sz w:val="15"/>
                <w:szCs w:val="15"/>
                <w:color w:val="auto"/>
              </w:rPr>
            </w:pPr>
          </w:p>
        </w:tc>
        <w:tc>
          <w:tcPr>
            <w:tcW w:w="100" w:type="dxa"/>
            <w:vAlign w:val="bottom"/>
            <w:tcBorders>
              <w:bottom w:val="single" w:sz="8" w:color="0000FF"/>
              <w:right w:val="single" w:sz="8" w:color="DDDDDD"/>
            </w:tcBorders>
            <w:gridSpan w:val="2"/>
            <w:shd w:val="clear" w:color="auto" w:fill="DDDDDD"/>
          </w:tcPr>
          <w:p>
            <w:pPr>
              <w:jc w:val="right"/>
              <w:spacing w:after="0"/>
              <w:rPr>
                <w:sz w:val="20"/>
                <w:szCs w:val="20"/>
                <w:color w:val="auto"/>
              </w:rPr>
            </w:pPr>
            <w:r>
              <w:rPr>
                <w:rFonts w:ascii="Arial" w:cs="Arial" w:eastAsia="Arial" w:hAnsi="Arial"/>
                <w:sz w:val="10"/>
                <w:szCs w:val="10"/>
                <w:color w:val="0000FF"/>
                <w:highlight w:val="lightGray"/>
                <w:w w:val="71"/>
              </w:rPr>
              <w:t>92</w:t>
            </w:r>
          </w:p>
        </w:tc>
        <w:tc>
          <w:tcPr>
            <w:tcW w:w="20" w:type="dxa"/>
            <w:vAlign w:val="bottom"/>
            <w:tcBorders>
              <w:bottom w:val="single" w:sz="8" w:color="0000FF"/>
            </w:tcBorders>
          </w:tcPr>
          <w:p>
            <w:pPr>
              <w:spacing w:after="0"/>
              <w:rPr>
                <w:sz w:val="15"/>
                <w:szCs w:val="15"/>
                <w:color w:val="auto"/>
              </w:rPr>
            </w:pPr>
          </w:p>
        </w:tc>
        <w:tc>
          <w:tcPr>
            <w:tcW w:w="500" w:type="dxa"/>
            <w:vAlign w:val="bottom"/>
            <w:gridSpan w:val="19"/>
          </w:tcPr>
          <w:p>
            <w:pPr>
              <w:spacing w:after="0"/>
              <w:rPr>
                <w:sz w:val="15"/>
                <w:szCs w:val="15"/>
                <w:color w:val="auto"/>
              </w:rPr>
            </w:pPr>
          </w:p>
        </w:tc>
        <w:tc>
          <w:tcPr>
            <w:tcW w:w="200" w:type="dxa"/>
            <w:vAlign w:val="bottom"/>
            <w:tcBorders>
              <w:top w:val="single" w:sz="8" w:color="0000FF"/>
            </w:tcBorders>
            <w:gridSpan w:val="6"/>
          </w:tcPr>
          <w:p>
            <w:pPr>
              <w:spacing w:after="0"/>
              <w:rPr>
                <w:sz w:val="15"/>
                <w:szCs w:val="15"/>
                <w:color w:val="auto"/>
              </w:rPr>
            </w:pPr>
          </w:p>
        </w:tc>
        <w:tc>
          <w:tcPr>
            <w:tcW w:w="7540" w:type="dxa"/>
            <w:vAlign w:val="bottom"/>
            <w:gridSpan w:val="4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96" w:lineRule="exact"/>
              <w:rPr>
                <w:sz w:val="20"/>
                <w:szCs w:val="20"/>
                <w:color w:val="auto"/>
              </w:rPr>
            </w:pPr>
            <w:r>
              <w:rPr>
                <w:rFonts w:ascii="Arial" w:cs="Arial" w:eastAsia="Arial" w:hAnsi="Arial"/>
                <w:sz w:val="18"/>
                <w:szCs w:val="18"/>
                <w:color w:val="auto"/>
                <w:w w:val="99"/>
              </w:rPr>
              <w:t>SECTION 2.16</w:t>
            </w:r>
          </w:p>
        </w:tc>
        <w:tc>
          <w:tcPr>
            <w:tcW w:w="1660" w:type="dxa"/>
            <w:vAlign w:val="bottom"/>
            <w:tcBorders>
              <w:right w:val="single" w:sz="8" w:color="DDDDDD"/>
            </w:tcBorders>
            <w:gridSpan w:val="18"/>
          </w:tcPr>
          <w:p>
            <w:pPr>
              <w:spacing w:after="0" w:line="20" w:lineRule="exact"/>
              <w:rPr>
                <w:sz w:val="1"/>
                <w:szCs w:val="1"/>
                <w:color w:val="auto"/>
              </w:rPr>
            </w:pPr>
          </w:p>
        </w:tc>
        <w:tc>
          <w:tcPr>
            <w:tcW w:w="100" w:type="dxa"/>
            <w:vAlign w:val="bottom"/>
            <w:tcBorders>
              <w:right w:val="single" w:sz="8" w:color="DDDDDD"/>
            </w:tcBorders>
            <w:gridSpan w:val="2"/>
            <w:shd w:val="clear" w:color="auto" w:fill="DDDDDD"/>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7"/>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6"/>
            <w:vMerge w:val="restart"/>
          </w:tcPr>
          <w:p>
            <w:pPr>
              <w:spacing w:after="0" w:line="196" w:lineRule="exact"/>
              <w:rPr>
                <w:sz w:val="20"/>
                <w:szCs w:val="20"/>
                <w:color w:val="auto"/>
              </w:rPr>
            </w:pPr>
            <w:r>
              <w:rPr>
                <w:rFonts w:ascii="Arial" w:cs="Arial" w:eastAsia="Arial" w:hAnsi="Arial"/>
                <w:sz w:val="18"/>
                <w:szCs w:val="18"/>
                <w:color w:val="FF0000"/>
                <w:strike w:val="1"/>
                <w:w w:val="79"/>
              </w:rPr>
              <w:t>91</w:t>
            </w: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gridSpan w:val="5"/>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gridSpan w:val="8"/>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4"/>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5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19"/>
            <w:vMerge w:val="restart"/>
          </w:tcPr>
          <w:p>
            <w:pPr>
              <w:spacing w:after="0" w:line="176" w:lineRule="exact"/>
              <w:rPr>
                <w:sz w:val="20"/>
                <w:szCs w:val="20"/>
                <w:color w:val="auto"/>
              </w:rPr>
            </w:pPr>
            <w:r>
              <w:rPr>
                <w:rFonts w:ascii="Arial" w:cs="Arial" w:eastAsia="Arial" w:hAnsi="Arial"/>
                <w:sz w:val="18"/>
                <w:szCs w:val="18"/>
                <w:color w:val="FF0000"/>
                <w:strike w:val="1"/>
                <w:w w:val="81"/>
              </w:rPr>
              <w:t>Break Funding Payments</w:t>
            </w:r>
          </w:p>
        </w:tc>
        <w:tc>
          <w:tcPr>
            <w:tcW w:w="20" w:type="dxa"/>
            <w:vAlign w:val="bottom"/>
            <w:vMerge w:val="continue"/>
          </w:tcPr>
          <w:p>
            <w:pPr>
              <w:spacing w:after="0" w:line="20" w:lineRule="exact"/>
              <w:rPr>
                <w:sz w:val="1"/>
                <w:szCs w:val="1"/>
                <w:color w:val="auto"/>
              </w:rPr>
            </w:pPr>
          </w:p>
        </w:tc>
        <w:tc>
          <w:tcPr>
            <w:tcW w:w="120" w:type="dxa"/>
            <w:vAlign w:val="bottom"/>
            <w:gridSpan w:val="7"/>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6"/>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80" w:type="dxa"/>
            <w:vAlign w:val="bottom"/>
            <w:gridSpan w:val="5"/>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8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60" w:type="dxa"/>
            <w:vAlign w:val="bottom"/>
            <w:gridSpan w:val="8"/>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0" w:type="dxa"/>
            <w:vAlign w:val="bottom"/>
            <w:gridSpan w:val="4"/>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19"/>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6"/>
            <w:vMerge w:val="continue"/>
          </w:tcPr>
          <w:p>
            <w:pPr>
              <w:spacing w:after="0"/>
              <w:rPr>
                <w:sz w:val="14"/>
                <w:szCs w:val="14"/>
                <w:color w:val="auto"/>
              </w:rPr>
            </w:pPr>
          </w:p>
        </w:tc>
        <w:tc>
          <w:tcPr>
            <w:tcW w:w="780" w:type="dxa"/>
            <w:vAlign w:val="bottom"/>
            <w:gridSpan w:val="24"/>
            <w:shd w:val="clear" w:color="auto" w:fill="DDDDDD"/>
          </w:tcPr>
          <w:p>
            <w:pPr>
              <w:spacing w:after="0" w:line="156" w:lineRule="exact"/>
              <w:rPr>
                <w:sz w:val="20"/>
                <w:szCs w:val="20"/>
                <w:color w:val="auto"/>
              </w:rPr>
            </w:pPr>
            <w:r>
              <w:rPr>
                <w:rFonts w:ascii="Arial" w:cs="Arial" w:eastAsia="Arial" w:hAnsi="Arial"/>
                <w:sz w:val="18"/>
                <w:szCs w:val="18"/>
                <w:color w:val="0000FF"/>
                <w:highlight w:val="lightGray"/>
                <w:w w:val="87"/>
              </w:rPr>
              <w:t>[Reserved]</w:t>
            </w:r>
          </w:p>
        </w:tc>
        <w:tc>
          <w:tcPr>
            <w:tcW w:w="20" w:type="dxa"/>
            <w:vAlign w:val="bottom"/>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00" w:type="dxa"/>
            <w:vAlign w:val="bottom"/>
            <w:gridSpan w:val="5"/>
            <w:shd w:val="clear" w:color="auto" w:fill="DDDDDD"/>
          </w:tcPr>
          <w:p>
            <w:pPr>
              <w:jc w:val="right"/>
              <w:spacing w:after="0" w:line="156" w:lineRule="exact"/>
              <w:rPr>
                <w:sz w:val="20"/>
                <w:szCs w:val="20"/>
                <w:color w:val="auto"/>
              </w:rPr>
            </w:pPr>
            <w:r>
              <w:rPr>
                <w:rFonts w:ascii="Arial" w:cs="Arial" w:eastAsia="Arial" w:hAnsi="Arial"/>
                <w:sz w:val="18"/>
                <w:szCs w:val="18"/>
                <w:color w:val="0000FF"/>
                <w:highlight w:val="lightGray"/>
                <w:w w:val="89"/>
              </w:rPr>
              <w:t>94</w:t>
            </w:r>
          </w:p>
        </w:tc>
        <w:tc>
          <w:tcPr>
            <w:tcW w:w="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w w:val="99"/>
              </w:rPr>
              <w:t>SECTION 2.17</w:t>
            </w:r>
          </w:p>
        </w:tc>
        <w:tc>
          <w:tcPr>
            <w:tcW w:w="520" w:type="dxa"/>
            <w:vAlign w:val="bottom"/>
          </w:tcPr>
          <w:p>
            <w:pPr>
              <w:spacing w:after="0" w:line="176" w:lineRule="exact"/>
              <w:rPr>
                <w:sz w:val="20"/>
                <w:szCs w:val="20"/>
                <w:color w:val="auto"/>
              </w:rPr>
            </w:pPr>
            <w:r>
              <w:rPr>
                <w:rFonts w:ascii="Arial" w:cs="Arial" w:eastAsia="Arial" w:hAnsi="Arial"/>
                <w:sz w:val="18"/>
                <w:szCs w:val="18"/>
                <w:color w:val="auto"/>
              </w:rPr>
              <w:t>Taxes</w:t>
            </w:r>
          </w:p>
        </w:tc>
        <w:tc>
          <w:tcPr>
            <w:tcW w:w="260" w:type="dxa"/>
            <w:vAlign w:val="bottom"/>
            <w:gridSpan w:val="2"/>
          </w:tcPr>
          <w:p>
            <w:pPr>
              <w:jc w:val="right"/>
              <w:spacing w:after="0" w:line="176" w:lineRule="exact"/>
              <w:rPr>
                <w:sz w:val="20"/>
                <w:szCs w:val="20"/>
                <w:color w:val="auto"/>
              </w:rPr>
            </w:pPr>
            <w:r>
              <w:rPr>
                <w:rFonts w:ascii="Arial" w:cs="Arial" w:eastAsia="Arial" w:hAnsi="Arial"/>
                <w:sz w:val="18"/>
                <w:szCs w:val="18"/>
                <w:color w:val="FF0000"/>
                <w:strike w:val="1"/>
              </w:rPr>
              <w:t>91</w:t>
            </w:r>
          </w:p>
        </w:tc>
        <w:tc>
          <w:tcPr>
            <w:tcW w:w="20" w:type="dxa"/>
            <w:vAlign w:val="bottom"/>
            <w:tcBorders>
              <w:bottom w:val="single" w:sz="8" w:color="0000FF"/>
            </w:tcBorders>
          </w:tcPr>
          <w:p>
            <w:pPr>
              <w:spacing w:after="0"/>
              <w:rPr>
                <w:sz w:val="15"/>
                <w:szCs w:val="15"/>
                <w:color w:val="auto"/>
              </w:rPr>
            </w:pPr>
          </w:p>
        </w:tc>
        <w:tc>
          <w:tcPr>
            <w:tcW w:w="160" w:type="dxa"/>
            <w:vAlign w:val="bottom"/>
            <w:tcBorders>
              <w:left w:val="single" w:sz="8" w:color="DDDDDD"/>
              <w:bottom w:val="single" w:sz="8" w:color="0000FF"/>
              <w:right w:val="single" w:sz="8" w:color="DDDDDD"/>
            </w:tcBorders>
            <w:gridSpan w:val="2"/>
            <w:shd w:val="clear" w:color="auto" w:fill="DDDDDD"/>
          </w:tcPr>
          <w:p>
            <w:pPr>
              <w:spacing w:after="0"/>
              <w:rPr>
                <w:sz w:val="20"/>
                <w:szCs w:val="20"/>
                <w:color w:val="auto"/>
              </w:rPr>
            </w:pPr>
            <w:r>
              <w:rPr>
                <w:rFonts w:ascii="Arial" w:cs="Arial" w:eastAsia="Arial" w:hAnsi="Arial"/>
                <w:sz w:val="15"/>
                <w:szCs w:val="15"/>
                <w:color w:val="0000FF"/>
                <w:highlight w:val="lightGray"/>
                <w:w w:val="71"/>
              </w:rPr>
              <w:t>94</w:t>
            </w:r>
          </w:p>
        </w:tc>
        <w:tc>
          <w:tcPr>
            <w:tcW w:w="1240" w:type="dxa"/>
            <w:vAlign w:val="bottom"/>
            <w:gridSpan w:val="33"/>
          </w:tcPr>
          <w:p>
            <w:pPr>
              <w:spacing w:after="0"/>
              <w:rPr>
                <w:sz w:val="15"/>
                <w:szCs w:val="15"/>
                <w:color w:val="auto"/>
              </w:rPr>
            </w:pPr>
          </w:p>
        </w:tc>
        <w:tc>
          <w:tcPr>
            <w:tcW w:w="800" w:type="dxa"/>
            <w:vAlign w:val="bottom"/>
            <w:tcBorders>
              <w:top w:val="single" w:sz="8" w:color="0000FF"/>
            </w:tcBorders>
            <w:gridSpan w:val="25"/>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Borders>
              <w:top w:val="single" w:sz="8" w:color="DDDDDD"/>
            </w:tcBorders>
          </w:tcPr>
          <w:p>
            <w:pPr>
              <w:spacing w:after="0"/>
              <w:rPr>
                <w:sz w:val="15"/>
                <w:szCs w:val="15"/>
                <w:color w:val="auto"/>
              </w:rPr>
            </w:pPr>
          </w:p>
        </w:tc>
        <w:tc>
          <w:tcPr>
            <w:tcW w:w="180" w:type="dxa"/>
            <w:vAlign w:val="bottom"/>
            <w:tcBorders>
              <w:top w:val="single" w:sz="8" w:color="0000FF"/>
            </w:tcBorders>
            <w:gridSpan w:val="4"/>
          </w:tcPr>
          <w:p>
            <w:pPr>
              <w:spacing w:after="0"/>
              <w:rPr>
                <w:sz w:val="15"/>
                <w:szCs w:val="15"/>
                <w:color w:val="auto"/>
              </w:rPr>
            </w:pPr>
          </w:p>
        </w:tc>
        <w:tc>
          <w:tcPr>
            <w:tcW w:w="660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96" w:lineRule="exact"/>
              <w:rPr>
                <w:sz w:val="20"/>
                <w:szCs w:val="20"/>
                <w:color w:val="auto"/>
              </w:rPr>
            </w:pPr>
            <w:r>
              <w:rPr>
                <w:rFonts w:ascii="Arial" w:cs="Arial" w:eastAsia="Arial" w:hAnsi="Arial"/>
                <w:sz w:val="18"/>
                <w:szCs w:val="18"/>
                <w:color w:val="auto"/>
                <w:w w:val="99"/>
              </w:rPr>
              <w:t>SECTION 2.18</w:t>
            </w:r>
          </w:p>
        </w:tc>
        <w:tc>
          <w:tcPr>
            <w:tcW w:w="80" w:type="dxa"/>
            <w:vAlign w:val="bottom"/>
          </w:tcPr>
          <w:p>
            <w:pPr>
              <w:spacing w:after="0" w:line="20" w:lineRule="exact"/>
              <w:rPr>
                <w:sz w:val="1"/>
                <w:szCs w:val="1"/>
                <w:color w:val="auto"/>
              </w:rPr>
            </w:pPr>
          </w:p>
        </w:tc>
        <w:tc>
          <w:tcPr>
            <w:tcW w:w="80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w w:val="94"/>
              </w:rPr>
              <w:t>Payments</w:t>
            </w:r>
          </w:p>
        </w:tc>
        <w:tc>
          <w:tcPr>
            <w:tcW w:w="160" w:type="dxa"/>
            <w:vAlign w:val="bottom"/>
            <w:tcBorders>
              <w:left w:val="single" w:sz="8" w:color="DDDDDD"/>
              <w:right w:val="single" w:sz="8" w:color="DDDDDD"/>
            </w:tcBorders>
            <w:gridSpan w:val="2"/>
            <w:shd w:val="clear" w:color="auto" w:fill="DDDDDD"/>
          </w:tcPr>
          <w:p>
            <w:pPr>
              <w:spacing w:after="0" w:line="20" w:lineRule="exact"/>
              <w:rPr>
                <w:sz w:val="1"/>
                <w:szCs w:val="1"/>
                <w:color w:val="auto"/>
              </w:rPr>
            </w:pPr>
          </w:p>
        </w:tc>
        <w:tc>
          <w:tcPr>
            <w:tcW w:w="8980" w:type="dxa"/>
            <w:vAlign w:val="bottom"/>
            <w:gridSpan w:val="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4"/>
            <w:vMerge w:val="continue"/>
          </w:tcPr>
          <w:p>
            <w:pPr>
              <w:spacing w:after="0"/>
              <w:rPr>
                <w:sz w:val="17"/>
                <w:szCs w:val="17"/>
                <w:color w:val="auto"/>
              </w:rPr>
            </w:pPr>
          </w:p>
        </w:tc>
        <w:tc>
          <w:tcPr>
            <w:tcW w:w="3740" w:type="dxa"/>
            <w:vAlign w:val="bottom"/>
            <w:gridSpan w:val="81"/>
          </w:tcPr>
          <w:p>
            <w:pPr>
              <w:spacing w:after="0" w:line="176" w:lineRule="exact"/>
              <w:rPr>
                <w:sz w:val="20"/>
                <w:szCs w:val="20"/>
                <w:color w:val="auto"/>
              </w:rPr>
            </w:pPr>
            <w:r>
              <w:rPr>
                <w:rFonts w:ascii="Arial" w:cs="Arial" w:eastAsia="Arial" w:hAnsi="Arial"/>
                <w:sz w:val="18"/>
                <w:szCs w:val="18"/>
                <w:color w:val="auto"/>
                <w:w w:val="93"/>
              </w:rPr>
              <w:t>Generally; Pro Rata Treatment; Sharing of Setoffs</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FF0000"/>
                <w:strike w:val="1"/>
                <w:w w:val="79"/>
              </w:rPr>
              <w:t>94</w:t>
            </w:r>
          </w:p>
        </w:tc>
        <w:tc>
          <w:tcPr>
            <w:tcW w:w="180" w:type="dxa"/>
            <w:vAlign w:val="bottom"/>
            <w:tcBorders>
              <w:bottom w:val="single" w:sz="8" w:color="0000FF"/>
            </w:tcBorders>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97</w:t>
            </w:r>
          </w:p>
        </w:tc>
        <w:tc>
          <w:tcPr>
            <w:tcW w:w="5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2.19</w:t>
            </w:r>
          </w:p>
        </w:tc>
        <w:tc>
          <w:tcPr>
            <w:tcW w:w="80" w:type="dxa"/>
            <w:vAlign w:val="bottom"/>
          </w:tcPr>
          <w:p>
            <w:pPr>
              <w:spacing w:after="0" w:line="20" w:lineRule="exact"/>
              <w:rPr>
                <w:sz w:val="1"/>
                <w:szCs w:val="1"/>
                <w:color w:val="auto"/>
              </w:rPr>
            </w:pPr>
          </w:p>
        </w:tc>
        <w:tc>
          <w:tcPr>
            <w:tcW w:w="3600" w:type="dxa"/>
            <w:vAlign w:val="bottom"/>
            <w:gridSpan w:val="74"/>
            <w:vMerge w:val="restart"/>
          </w:tcPr>
          <w:p>
            <w:pPr>
              <w:spacing w:after="0" w:line="176" w:lineRule="exact"/>
              <w:rPr>
                <w:sz w:val="20"/>
                <w:szCs w:val="20"/>
                <w:color w:val="auto"/>
              </w:rPr>
            </w:pPr>
            <w:r>
              <w:rPr>
                <w:rFonts w:ascii="Arial" w:cs="Arial" w:eastAsia="Arial" w:hAnsi="Arial"/>
                <w:sz w:val="18"/>
                <w:szCs w:val="18"/>
                <w:color w:val="auto"/>
                <w:w w:val="94"/>
              </w:rPr>
              <w:t>Mitigation Obligations; Replacement of Lenders</w:t>
            </w:r>
          </w:p>
        </w:tc>
        <w:tc>
          <w:tcPr>
            <w:tcW w:w="80" w:type="dxa"/>
            <w:vAlign w:val="bottom"/>
            <w:gridSpan w:val="2"/>
          </w:tcPr>
          <w:p>
            <w:pPr>
              <w:spacing w:after="0" w:line="20" w:lineRule="exact"/>
              <w:rPr>
                <w:sz w:val="1"/>
                <w:szCs w:val="1"/>
                <w:color w:val="auto"/>
              </w:rPr>
            </w:pPr>
          </w:p>
        </w:tc>
        <w:tc>
          <w:tcPr>
            <w:tcW w:w="180" w:type="dxa"/>
            <w:vAlign w:val="bottom"/>
            <w:gridSpan w:val="4"/>
            <w:vMerge w:val="restart"/>
          </w:tcPr>
          <w:p>
            <w:pPr>
              <w:jc w:val="right"/>
              <w:spacing w:after="0" w:line="176" w:lineRule="exact"/>
              <w:rPr>
                <w:sz w:val="20"/>
                <w:szCs w:val="20"/>
                <w:color w:val="auto"/>
              </w:rPr>
            </w:pPr>
            <w:r>
              <w:rPr>
                <w:rFonts w:ascii="Arial" w:cs="Arial" w:eastAsia="Arial" w:hAnsi="Arial"/>
                <w:sz w:val="18"/>
                <w:szCs w:val="18"/>
                <w:color w:val="FF0000"/>
                <w:strike w:val="1"/>
                <w:w w:val="79"/>
              </w:rPr>
              <w:t>95</w:t>
            </w:r>
          </w:p>
        </w:tc>
        <w:tc>
          <w:tcPr>
            <w:tcW w:w="20" w:type="dxa"/>
            <w:vAlign w:val="bottom"/>
            <w:vMerge w:val="restart"/>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DDDDDD"/>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0" w:type="dxa"/>
            <w:vAlign w:val="bottom"/>
            <w:gridSpan w:val="74"/>
            <w:vMerge w:val="continue"/>
          </w:tcPr>
          <w:p>
            <w:pPr>
              <w:spacing w:after="0"/>
              <w:rPr>
                <w:sz w:val="15"/>
                <w:szCs w:val="15"/>
                <w:color w:val="auto"/>
              </w:rPr>
            </w:pPr>
          </w:p>
        </w:tc>
        <w:tc>
          <w:tcPr>
            <w:tcW w:w="80" w:type="dxa"/>
            <w:vAlign w:val="bottom"/>
            <w:gridSpan w:val="2"/>
          </w:tcPr>
          <w:p>
            <w:pPr>
              <w:spacing w:after="0"/>
              <w:rPr>
                <w:sz w:val="15"/>
                <w:szCs w:val="15"/>
                <w:color w:val="auto"/>
              </w:rPr>
            </w:pPr>
          </w:p>
        </w:tc>
        <w:tc>
          <w:tcPr>
            <w:tcW w:w="180" w:type="dxa"/>
            <w:vAlign w:val="bottom"/>
            <w:gridSpan w:val="4"/>
            <w:vMerge w:val="continue"/>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160" w:type="dxa"/>
            <w:vAlign w:val="bottom"/>
            <w:tcBorders>
              <w:bottom w:val="single" w:sz="8" w:color="0000FF"/>
            </w:tcBorders>
            <w:gridSpan w:val="2"/>
            <w:shd w:val="clear" w:color="auto" w:fill="DDDDDD"/>
          </w:tcPr>
          <w:p>
            <w:pPr>
              <w:spacing w:after="0" w:line="156" w:lineRule="exact"/>
              <w:rPr>
                <w:sz w:val="20"/>
                <w:szCs w:val="20"/>
                <w:color w:val="auto"/>
              </w:rPr>
            </w:pPr>
            <w:r>
              <w:rPr>
                <w:rFonts w:ascii="Arial" w:cs="Arial" w:eastAsia="Arial" w:hAnsi="Arial"/>
                <w:sz w:val="17"/>
                <w:szCs w:val="17"/>
                <w:color w:val="0000FF"/>
                <w:highlight w:val="lightGray"/>
                <w:w w:val="73"/>
              </w:rPr>
              <w:t>98</w:t>
            </w:r>
          </w:p>
        </w:tc>
        <w:tc>
          <w:tcPr>
            <w:tcW w:w="20" w:type="dxa"/>
            <w:vAlign w:val="bottom"/>
            <w:tcBorders>
              <w:bottom w:val="single" w:sz="8" w:color="0000FF"/>
            </w:tcBorders>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line="163" w:lineRule="exact"/>
              <w:rPr>
                <w:sz w:val="20"/>
                <w:szCs w:val="20"/>
                <w:color w:val="auto"/>
              </w:rPr>
            </w:pPr>
            <w:r>
              <w:rPr>
                <w:rFonts w:ascii="Arial" w:cs="Arial" w:eastAsia="Arial" w:hAnsi="Arial"/>
                <w:sz w:val="18"/>
                <w:szCs w:val="18"/>
                <w:color w:val="auto"/>
                <w:w w:val="99"/>
              </w:rPr>
              <w:t>SECTION 2.20</w:t>
            </w:r>
          </w:p>
        </w:tc>
        <w:tc>
          <w:tcPr>
            <w:tcW w:w="80" w:type="dxa"/>
            <w:vAlign w:val="bottom"/>
          </w:tcPr>
          <w:p>
            <w:pPr>
              <w:spacing w:after="0"/>
              <w:rPr>
                <w:sz w:val="15"/>
                <w:szCs w:val="15"/>
                <w:color w:val="auto"/>
              </w:rPr>
            </w:pPr>
          </w:p>
        </w:tc>
        <w:tc>
          <w:tcPr>
            <w:tcW w:w="2200" w:type="dxa"/>
            <w:vAlign w:val="bottom"/>
            <w:gridSpan w:val="39"/>
          </w:tcPr>
          <w:p>
            <w:pPr>
              <w:spacing w:after="0" w:line="163" w:lineRule="exact"/>
              <w:rPr>
                <w:sz w:val="20"/>
                <w:szCs w:val="20"/>
                <w:color w:val="auto"/>
              </w:rPr>
            </w:pPr>
            <w:r>
              <w:rPr>
                <w:rFonts w:ascii="Arial" w:cs="Arial" w:eastAsia="Arial" w:hAnsi="Arial"/>
                <w:sz w:val="18"/>
                <w:szCs w:val="18"/>
                <w:color w:val="auto"/>
                <w:w w:val="93"/>
              </w:rPr>
              <w:t>Incremental Credit Extension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5"/>
          </w:tcPr>
          <w:p>
            <w:pPr>
              <w:jc w:val="right"/>
              <w:spacing w:after="0" w:line="163" w:lineRule="exact"/>
              <w:rPr>
                <w:sz w:val="20"/>
                <w:szCs w:val="20"/>
                <w:color w:val="auto"/>
              </w:rPr>
            </w:pPr>
            <w:r>
              <w:rPr>
                <w:rFonts w:ascii="Arial" w:cs="Arial" w:eastAsia="Arial" w:hAnsi="Arial"/>
                <w:sz w:val="18"/>
                <w:szCs w:val="18"/>
                <w:color w:val="FF0000"/>
                <w:strike w:val="1"/>
                <w:w w:val="79"/>
              </w:rPr>
              <w:t>96</w:t>
            </w:r>
          </w:p>
        </w:tc>
        <w:tc>
          <w:tcPr>
            <w:tcW w:w="40" w:type="dxa"/>
            <w:vAlign w:val="bottom"/>
            <w:tcBorders>
              <w:bottom w:val="single" w:sz="8" w:color="0000FF"/>
              <w:right w:val="single" w:sz="8" w:color="DDDDDD"/>
            </w:tcBorders>
          </w:tcPr>
          <w:p>
            <w:pPr>
              <w:spacing w:after="0"/>
              <w:rPr>
                <w:sz w:val="15"/>
                <w:szCs w:val="15"/>
                <w:color w:val="auto"/>
              </w:rPr>
            </w:pPr>
          </w:p>
        </w:tc>
        <w:tc>
          <w:tcPr>
            <w:tcW w:w="140" w:type="dxa"/>
            <w:vAlign w:val="bottom"/>
            <w:tcBorders>
              <w:bottom w:val="single" w:sz="8" w:color="0000FF"/>
            </w:tcBorders>
            <w:gridSpan w:val="5"/>
            <w:shd w:val="clear" w:color="auto" w:fill="DDDDDD"/>
          </w:tcPr>
          <w:p>
            <w:pPr>
              <w:jc w:val="right"/>
              <w:spacing w:after="0" w:line="163" w:lineRule="exact"/>
              <w:rPr>
                <w:sz w:val="20"/>
                <w:szCs w:val="20"/>
                <w:color w:val="auto"/>
              </w:rPr>
            </w:pPr>
            <w:r>
              <w:rPr>
                <w:rFonts w:ascii="Arial" w:cs="Arial" w:eastAsia="Arial" w:hAnsi="Arial"/>
                <w:sz w:val="15"/>
                <w:szCs w:val="15"/>
                <w:color w:val="0000FF"/>
                <w:highlight w:val="lightGray"/>
                <w:w w:val="71"/>
              </w:rPr>
              <w:t>99</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DDDDDD"/>
            </w:tcBorders>
          </w:tcPr>
          <w:p>
            <w:pPr>
              <w:spacing w:after="0"/>
              <w:rPr>
                <w:sz w:val="15"/>
                <w:szCs w:val="15"/>
                <w:color w:val="auto"/>
              </w:rPr>
            </w:pPr>
          </w:p>
        </w:tc>
        <w:tc>
          <w:tcPr>
            <w:tcW w:w="20" w:type="dxa"/>
            <w:vAlign w:val="bottom"/>
            <w:tcBorders>
              <w:top w:val="single" w:sz="8" w:color="DDDDDD"/>
            </w:tcBorders>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2.21</w:t>
            </w:r>
          </w:p>
        </w:tc>
        <w:tc>
          <w:tcPr>
            <w:tcW w:w="80" w:type="dxa"/>
            <w:vAlign w:val="bottom"/>
          </w:tcPr>
          <w:p>
            <w:pPr>
              <w:spacing w:after="0"/>
              <w:rPr>
                <w:sz w:val="17"/>
                <w:szCs w:val="17"/>
                <w:color w:val="auto"/>
              </w:rPr>
            </w:pPr>
          </w:p>
        </w:tc>
        <w:tc>
          <w:tcPr>
            <w:tcW w:w="1940" w:type="dxa"/>
            <w:vAlign w:val="bottom"/>
            <w:gridSpan w:val="32"/>
          </w:tcPr>
          <w:p>
            <w:pPr>
              <w:spacing w:after="0" w:line="176" w:lineRule="exact"/>
              <w:rPr>
                <w:sz w:val="20"/>
                <w:szCs w:val="20"/>
                <w:color w:val="auto"/>
              </w:rPr>
            </w:pPr>
            <w:r>
              <w:rPr>
                <w:rFonts w:ascii="Arial" w:cs="Arial" w:eastAsia="Arial" w:hAnsi="Arial"/>
                <w:sz w:val="18"/>
                <w:szCs w:val="18"/>
                <w:color w:val="auto"/>
                <w:w w:val="93"/>
              </w:rPr>
              <w:t>Refinancing Amendments</w:t>
            </w: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5"/>
          </w:tcPr>
          <w:p>
            <w:pPr>
              <w:jc w:val="right"/>
              <w:spacing w:after="0" w:line="176" w:lineRule="exact"/>
              <w:rPr>
                <w:sz w:val="20"/>
                <w:szCs w:val="20"/>
                <w:color w:val="auto"/>
              </w:rPr>
            </w:pPr>
            <w:r>
              <w:rPr>
                <w:rFonts w:ascii="Arial" w:cs="Arial" w:eastAsia="Arial" w:hAnsi="Arial"/>
                <w:sz w:val="18"/>
                <w:szCs w:val="18"/>
                <w:color w:val="FF0000"/>
                <w:strike w:val="1"/>
                <w:w w:val="79"/>
              </w:rPr>
              <w:t>99</w:t>
            </w:r>
          </w:p>
        </w:tc>
        <w:tc>
          <w:tcPr>
            <w:tcW w:w="20" w:type="dxa"/>
            <w:vAlign w:val="bottom"/>
            <w:tcBorders>
              <w:bottom w:val="single" w:sz="8" w:color="0000FF"/>
            </w:tcBorders>
          </w:tcPr>
          <w:p>
            <w:pPr>
              <w:spacing w:after="0"/>
              <w:rPr>
                <w:sz w:val="17"/>
                <w:szCs w:val="17"/>
                <w:color w:val="auto"/>
              </w:rPr>
            </w:pPr>
          </w:p>
        </w:tc>
        <w:tc>
          <w:tcPr>
            <w:tcW w:w="260" w:type="dxa"/>
            <w:vAlign w:val="bottom"/>
            <w:tcBorders>
              <w:bottom w:val="single" w:sz="8" w:color="0000FF"/>
              <w:right w:val="single" w:sz="8" w:color="DDDDDD"/>
            </w:tcBorders>
            <w:gridSpan w:val="7"/>
            <w:shd w:val="clear" w:color="auto" w:fill="DDDDDD"/>
          </w:tcPr>
          <w:p>
            <w:pPr>
              <w:jc w:val="right"/>
              <w:ind w:right="40"/>
              <w:spacing w:after="0" w:line="176" w:lineRule="exact"/>
              <w:rPr>
                <w:sz w:val="20"/>
                <w:szCs w:val="20"/>
                <w:color w:val="auto"/>
              </w:rPr>
            </w:pPr>
            <w:r>
              <w:rPr>
                <w:rFonts w:ascii="Arial" w:cs="Arial" w:eastAsia="Arial" w:hAnsi="Arial"/>
                <w:sz w:val="17"/>
                <w:szCs w:val="17"/>
                <w:color w:val="0000FF"/>
                <w:highlight w:val="lightGray"/>
                <w:w w:val="70"/>
              </w:rPr>
              <w:t>102</w:t>
            </w:r>
          </w:p>
        </w:tc>
        <w:tc>
          <w:tcPr>
            <w:tcW w:w="40" w:type="dxa"/>
            <w:vAlign w:val="bottom"/>
            <w:tcBorders>
              <w:top w:val="single" w:sz="8" w:color="DDDDDD"/>
            </w:tcBorders>
          </w:tcPr>
          <w:p>
            <w:pPr>
              <w:spacing w:after="0"/>
              <w:rPr>
                <w:sz w:val="17"/>
                <w:szCs w:val="17"/>
                <w:color w:val="auto"/>
              </w:rPr>
            </w:pPr>
          </w:p>
        </w:tc>
        <w:tc>
          <w:tcPr>
            <w:tcW w:w="20" w:type="dxa"/>
            <w:vAlign w:val="bottom"/>
            <w:tcBorders>
              <w:top w:val="single" w:sz="8" w:color="DDDDDD"/>
            </w:tcBorders>
          </w:tcPr>
          <w:p>
            <w:pPr>
              <w:spacing w:after="0"/>
              <w:rPr>
                <w:sz w:val="17"/>
                <w:szCs w:val="17"/>
                <w:color w:val="auto"/>
              </w:rPr>
            </w:pPr>
          </w:p>
        </w:tc>
        <w:tc>
          <w:tcPr>
            <w:tcW w:w="20" w:type="dxa"/>
            <w:vAlign w:val="bottom"/>
            <w:tcBorders>
              <w:top w:val="single" w:sz="8" w:color="DDDDDD"/>
            </w:tcBorders>
          </w:tcPr>
          <w:p>
            <w:pPr>
              <w:spacing w:after="0"/>
              <w:rPr>
                <w:sz w:val="17"/>
                <w:szCs w:val="17"/>
                <w:color w:val="auto"/>
              </w:rPr>
            </w:pPr>
          </w:p>
        </w:tc>
        <w:tc>
          <w:tcPr>
            <w:tcW w:w="20" w:type="dxa"/>
            <w:vAlign w:val="bottom"/>
            <w:tcBorders>
              <w:top w:val="single" w:sz="8" w:color="DDDDDD"/>
            </w:tcBorders>
          </w:tcPr>
          <w:p>
            <w:pPr>
              <w:spacing w:after="0"/>
              <w:rPr>
                <w:sz w:val="17"/>
                <w:szCs w:val="17"/>
                <w:color w:val="auto"/>
              </w:rPr>
            </w:pPr>
          </w:p>
        </w:tc>
        <w:tc>
          <w:tcPr>
            <w:tcW w:w="40" w:type="dxa"/>
            <w:vAlign w:val="bottom"/>
            <w:tcBorders>
              <w:top w:val="single" w:sz="8" w:color="DDDDDD"/>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w w:val="99"/>
              </w:rPr>
              <w:t>SECTION 2.22</w:t>
            </w:r>
          </w:p>
        </w:tc>
        <w:tc>
          <w:tcPr>
            <w:tcW w:w="1600" w:type="dxa"/>
            <w:vAlign w:val="bottom"/>
            <w:gridSpan w:val="18"/>
          </w:tcPr>
          <w:p>
            <w:pPr>
              <w:spacing w:after="0" w:line="176" w:lineRule="exact"/>
              <w:rPr>
                <w:sz w:val="20"/>
                <w:szCs w:val="20"/>
                <w:color w:val="auto"/>
              </w:rPr>
            </w:pPr>
            <w:r>
              <w:rPr>
                <w:rFonts w:ascii="Arial" w:cs="Arial" w:eastAsia="Arial" w:hAnsi="Arial"/>
                <w:sz w:val="18"/>
                <w:szCs w:val="18"/>
                <w:color w:val="auto"/>
                <w:w w:val="93"/>
              </w:rPr>
              <w:t>Defaulting Lenders</w:t>
            </w:r>
          </w:p>
        </w:tc>
        <w:tc>
          <w:tcPr>
            <w:tcW w:w="260" w:type="dxa"/>
            <w:vAlign w:val="bottom"/>
            <w:gridSpan w:val="10"/>
          </w:tcPr>
          <w:p>
            <w:pPr>
              <w:jc w:val="right"/>
              <w:spacing w:after="0" w:line="176" w:lineRule="exact"/>
              <w:rPr>
                <w:sz w:val="20"/>
                <w:szCs w:val="20"/>
                <w:color w:val="auto"/>
              </w:rPr>
            </w:pPr>
            <w:r>
              <w:rPr>
                <w:rFonts w:ascii="Arial" w:cs="Arial" w:eastAsia="Arial" w:hAnsi="Arial"/>
                <w:sz w:val="18"/>
                <w:szCs w:val="18"/>
                <w:color w:val="FF0000"/>
                <w:strike w:val="1"/>
                <w:w w:val="79"/>
              </w:rPr>
              <w:t>100</w:t>
            </w:r>
          </w:p>
        </w:tc>
        <w:tc>
          <w:tcPr>
            <w:tcW w:w="260" w:type="dxa"/>
            <w:vAlign w:val="bottom"/>
            <w:tcBorders>
              <w:bottom w:val="single" w:sz="8" w:color="0000FF"/>
            </w:tcBorders>
            <w:gridSpan w:val="9"/>
          </w:tcPr>
          <w:p>
            <w:pPr>
              <w:jc w:val="right"/>
              <w:ind w:right="260"/>
              <w:spacing w:after="0"/>
              <w:rPr>
                <w:sz w:val="20"/>
                <w:szCs w:val="20"/>
                <w:color w:val="auto"/>
              </w:rPr>
            </w:pPr>
            <w:r>
              <w:rPr>
                <w:rFonts w:ascii="Arial" w:cs="Arial" w:eastAsia="Arial" w:hAnsi="Arial"/>
                <w:sz w:val="18"/>
                <w:szCs w:val="18"/>
                <w:color w:val="0000FF"/>
                <w:highlight w:val="lightGray"/>
              </w:rPr>
              <w:t>103</w:t>
            </w:r>
          </w:p>
        </w:tc>
        <w:tc>
          <w:tcPr>
            <w:tcW w:w="7820" w:type="dxa"/>
            <w:vAlign w:val="bottom"/>
            <w:gridSpan w:val="5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w w:val="99"/>
              </w:rPr>
              <w:t>SECTION 2.23</w:t>
            </w:r>
          </w:p>
        </w:tc>
        <w:tc>
          <w:tcPr>
            <w:tcW w:w="800" w:type="dxa"/>
            <w:vAlign w:val="bottom"/>
            <w:gridSpan w:val="4"/>
          </w:tcPr>
          <w:p>
            <w:pPr>
              <w:spacing w:after="0" w:line="176" w:lineRule="exact"/>
              <w:rPr>
                <w:sz w:val="20"/>
                <w:szCs w:val="20"/>
                <w:color w:val="auto"/>
              </w:rPr>
            </w:pPr>
            <w:r>
              <w:rPr>
                <w:rFonts w:ascii="Arial" w:cs="Arial" w:eastAsia="Arial" w:hAnsi="Arial"/>
                <w:sz w:val="18"/>
                <w:szCs w:val="18"/>
                <w:color w:val="auto"/>
              </w:rPr>
              <w:t>Illegality</w:t>
            </w:r>
          </w:p>
        </w:tc>
        <w:tc>
          <w:tcPr>
            <w:tcW w:w="400" w:type="dxa"/>
            <w:vAlign w:val="bottom"/>
            <w:tcBorders>
              <w:right w:val="single" w:sz="8" w:color="DDDDDD"/>
            </w:tcBorders>
            <w:gridSpan w:val="5"/>
          </w:tcPr>
          <w:p>
            <w:pPr>
              <w:jc w:val="right"/>
              <w:ind w:right="10"/>
              <w:spacing w:after="0" w:line="176" w:lineRule="exact"/>
              <w:rPr>
                <w:sz w:val="20"/>
                <w:szCs w:val="20"/>
                <w:color w:val="auto"/>
              </w:rPr>
            </w:pPr>
            <w:r>
              <w:rPr>
                <w:rFonts w:ascii="Arial" w:cs="Arial" w:eastAsia="Arial" w:hAnsi="Arial"/>
                <w:sz w:val="18"/>
                <w:szCs w:val="18"/>
                <w:color w:val="FF0000"/>
                <w:strike w:val="1"/>
                <w:w w:val="93"/>
              </w:rPr>
              <w:t>101</w:t>
            </w:r>
          </w:p>
        </w:tc>
        <w:tc>
          <w:tcPr>
            <w:tcW w:w="180" w:type="dxa"/>
            <w:vAlign w:val="bottom"/>
            <w:tcBorders>
              <w:bottom w:val="single" w:sz="8" w:color="0000FF"/>
            </w:tcBorders>
            <w:gridSpan w:val="4"/>
            <w:shd w:val="clear" w:color="auto" w:fill="DDDDDD"/>
          </w:tcPr>
          <w:p>
            <w:pPr>
              <w:jc w:val="right"/>
              <w:ind w:right="20"/>
              <w:spacing w:after="0"/>
              <w:rPr>
                <w:sz w:val="20"/>
                <w:szCs w:val="20"/>
                <w:color w:val="auto"/>
              </w:rPr>
            </w:pPr>
            <w:r>
              <w:rPr>
                <w:rFonts w:ascii="Arial" w:cs="Arial" w:eastAsia="Arial" w:hAnsi="Arial"/>
                <w:sz w:val="11"/>
                <w:szCs w:val="11"/>
                <w:color w:val="0000FF"/>
                <w:highlight w:val="lightGray"/>
                <w:w w:val="76"/>
              </w:rPr>
              <w:t>104</w:t>
            </w:r>
          </w:p>
        </w:tc>
        <w:tc>
          <w:tcPr>
            <w:tcW w:w="8560" w:type="dxa"/>
            <w:vAlign w:val="bottom"/>
            <w:gridSpan w:val="7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96" w:lineRule="exact"/>
              <w:rPr>
                <w:sz w:val="20"/>
                <w:szCs w:val="20"/>
                <w:color w:val="auto"/>
              </w:rPr>
            </w:pPr>
            <w:r>
              <w:rPr>
                <w:rFonts w:ascii="Arial" w:cs="Arial" w:eastAsia="Arial" w:hAnsi="Arial"/>
                <w:sz w:val="18"/>
                <w:szCs w:val="18"/>
                <w:color w:val="auto"/>
                <w:w w:val="99"/>
              </w:rPr>
              <w:t>SECTION 2.24</w:t>
            </w:r>
          </w:p>
        </w:tc>
        <w:tc>
          <w:tcPr>
            <w:tcW w:w="1280" w:type="dxa"/>
            <w:vAlign w:val="bottom"/>
            <w:tcBorders>
              <w:right w:val="single" w:sz="8" w:color="DDDDDD"/>
            </w:tcBorders>
            <w:gridSpan w:val="10"/>
          </w:tcPr>
          <w:p>
            <w:pPr>
              <w:spacing w:after="0" w:line="20" w:lineRule="exact"/>
              <w:rPr>
                <w:sz w:val="1"/>
                <w:szCs w:val="1"/>
                <w:color w:val="auto"/>
              </w:rPr>
            </w:pPr>
          </w:p>
        </w:tc>
        <w:tc>
          <w:tcPr>
            <w:tcW w:w="160" w:type="dxa"/>
            <w:vAlign w:val="bottom"/>
            <w:gridSpan w:val="3"/>
            <w:shd w:val="clear" w:color="auto" w:fill="DDDDDD"/>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gridSpan w:val="19"/>
            <w:vMerge w:val="restart"/>
          </w:tcPr>
          <w:p>
            <w:pPr>
              <w:ind w:left="20"/>
              <w:spacing w:after="0" w:line="196" w:lineRule="exact"/>
              <w:rPr>
                <w:sz w:val="20"/>
                <w:szCs w:val="20"/>
                <w:color w:val="auto"/>
              </w:rPr>
            </w:pPr>
            <w:r>
              <w:rPr>
                <w:rFonts w:ascii="Arial" w:cs="Arial" w:eastAsia="Arial" w:hAnsi="Arial"/>
                <w:sz w:val="18"/>
                <w:szCs w:val="18"/>
                <w:color w:val="auto"/>
              </w:rPr>
              <w:t>Offers</w:t>
            </w:r>
          </w:p>
        </w:tc>
        <w:tc>
          <w:tcPr>
            <w:tcW w:w="100" w:type="dxa"/>
            <w:vAlign w:val="bottom"/>
            <w:gridSpan w:val="2"/>
            <w:vMerge w:val="restart"/>
          </w:tcPr>
          <w:p>
            <w:pPr>
              <w:spacing w:after="0" w:line="20" w:lineRule="exact"/>
              <w:rPr>
                <w:sz w:val="1"/>
                <w:szCs w:val="1"/>
                <w:color w:val="auto"/>
              </w:rPr>
            </w:pPr>
          </w:p>
        </w:tc>
        <w:tc>
          <w:tcPr>
            <w:tcW w:w="260" w:type="dxa"/>
            <w:vAlign w:val="bottom"/>
            <w:gridSpan w:val="8"/>
            <w:vMerge w:val="restart"/>
          </w:tcPr>
          <w:p>
            <w:pPr>
              <w:spacing w:after="0" w:line="196" w:lineRule="exact"/>
              <w:rPr>
                <w:sz w:val="20"/>
                <w:szCs w:val="20"/>
                <w:color w:val="auto"/>
              </w:rPr>
            </w:pPr>
            <w:r>
              <w:rPr>
                <w:rFonts w:ascii="Arial" w:cs="Arial" w:eastAsia="Arial" w:hAnsi="Arial"/>
                <w:sz w:val="18"/>
                <w:szCs w:val="18"/>
                <w:color w:val="FF0000"/>
                <w:strike w:val="1"/>
                <w:w w:val="79"/>
              </w:rPr>
              <w:t>101</w:t>
            </w:r>
          </w:p>
        </w:tc>
        <w:tc>
          <w:tcPr>
            <w:tcW w:w="280" w:type="dxa"/>
            <w:vAlign w:val="bottom"/>
            <w:gridSpan w:val="8"/>
            <w:vMerge w:val="restart"/>
          </w:tcPr>
          <w:p>
            <w:pPr>
              <w:spacing w:after="0" w:line="20" w:lineRule="exact"/>
              <w:rPr>
                <w:sz w:val="1"/>
                <w:szCs w:val="1"/>
                <w:color w:val="auto"/>
              </w:rPr>
            </w:pPr>
          </w:p>
        </w:tc>
        <w:tc>
          <w:tcPr>
            <w:tcW w:w="7360" w:type="dxa"/>
            <w:vAlign w:val="bottom"/>
            <w:gridSpan w:val="3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12"/>
            <w:vMerge w:val="restart"/>
          </w:tcPr>
          <w:p>
            <w:pPr>
              <w:spacing w:after="0" w:line="176" w:lineRule="exact"/>
              <w:rPr>
                <w:sz w:val="20"/>
                <w:szCs w:val="20"/>
                <w:color w:val="auto"/>
              </w:rPr>
            </w:pPr>
            <w:r>
              <w:rPr>
                <w:rFonts w:ascii="Arial" w:cs="Arial" w:eastAsia="Arial" w:hAnsi="Arial"/>
                <w:sz w:val="18"/>
                <w:szCs w:val="18"/>
                <w:color w:val="auto"/>
                <w:w w:val="94"/>
              </w:rPr>
              <w:t>Loan Modification</w:t>
            </w:r>
          </w:p>
        </w:tc>
        <w:tc>
          <w:tcPr>
            <w:tcW w:w="20" w:type="dxa"/>
            <w:vAlign w:val="bottom"/>
            <w:vMerge w:val="continue"/>
          </w:tcPr>
          <w:p>
            <w:pPr>
              <w:spacing w:after="0" w:line="20" w:lineRule="exact"/>
              <w:rPr>
                <w:sz w:val="1"/>
                <w:szCs w:val="1"/>
                <w:color w:val="auto"/>
              </w:rPr>
            </w:pPr>
          </w:p>
        </w:tc>
        <w:tc>
          <w:tcPr>
            <w:tcW w:w="560" w:type="dxa"/>
            <w:vAlign w:val="bottom"/>
            <w:gridSpan w:val="19"/>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260" w:type="dxa"/>
            <w:vAlign w:val="bottom"/>
            <w:gridSpan w:val="8"/>
            <w:vMerge w:val="continue"/>
          </w:tcPr>
          <w:p>
            <w:pPr>
              <w:spacing w:after="0" w:line="20" w:lineRule="exact"/>
              <w:rPr>
                <w:sz w:val="1"/>
                <w:szCs w:val="1"/>
                <w:color w:val="auto"/>
              </w:rPr>
            </w:pPr>
          </w:p>
        </w:tc>
        <w:tc>
          <w:tcPr>
            <w:tcW w:w="280" w:type="dxa"/>
            <w:vAlign w:val="bottom"/>
            <w:gridSpan w:val="8"/>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12"/>
            <w:vMerge w:val="continue"/>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19"/>
            <w:vMerge w:val="continue"/>
          </w:tcPr>
          <w:p>
            <w:pPr>
              <w:spacing w:after="0"/>
              <w:rPr>
                <w:sz w:val="14"/>
                <w:szCs w:val="14"/>
                <w:color w:val="auto"/>
              </w:rPr>
            </w:pPr>
          </w:p>
        </w:tc>
        <w:tc>
          <w:tcPr>
            <w:tcW w:w="100" w:type="dxa"/>
            <w:vAlign w:val="bottom"/>
            <w:gridSpan w:val="2"/>
          </w:tcPr>
          <w:p>
            <w:pPr>
              <w:spacing w:after="0"/>
              <w:rPr>
                <w:sz w:val="14"/>
                <w:szCs w:val="14"/>
                <w:color w:val="auto"/>
              </w:rPr>
            </w:pPr>
          </w:p>
        </w:tc>
        <w:tc>
          <w:tcPr>
            <w:tcW w:w="260" w:type="dxa"/>
            <w:vAlign w:val="bottom"/>
            <w:gridSpan w:val="8"/>
            <w:vMerge w:val="continue"/>
          </w:tcPr>
          <w:p>
            <w:pPr>
              <w:spacing w:after="0"/>
              <w:rPr>
                <w:sz w:val="14"/>
                <w:szCs w:val="14"/>
                <w:color w:val="auto"/>
              </w:rPr>
            </w:pPr>
          </w:p>
        </w:tc>
        <w:tc>
          <w:tcPr>
            <w:tcW w:w="280" w:type="dxa"/>
            <w:vAlign w:val="bottom"/>
            <w:tcBorders>
              <w:bottom w:val="single" w:sz="8" w:color="0000FF"/>
            </w:tcBorders>
            <w:gridSpan w:val="8"/>
            <w:shd w:val="clear" w:color="auto" w:fill="DDDDDD"/>
          </w:tcPr>
          <w:p>
            <w:pPr>
              <w:jc w:val="right"/>
              <w:ind w:right="20"/>
              <w:spacing w:after="0" w:line="156" w:lineRule="exact"/>
              <w:rPr>
                <w:sz w:val="20"/>
                <w:szCs w:val="20"/>
                <w:color w:val="auto"/>
              </w:rPr>
            </w:pPr>
            <w:r>
              <w:rPr>
                <w:rFonts w:ascii="Arial" w:cs="Arial" w:eastAsia="Arial" w:hAnsi="Arial"/>
                <w:sz w:val="18"/>
                <w:szCs w:val="18"/>
                <w:color w:val="0000FF"/>
                <w:highlight w:val="lightGray"/>
                <w:w w:val="79"/>
              </w:rPr>
              <w:t>105</w:t>
            </w:r>
          </w:p>
        </w:tc>
        <w:tc>
          <w:tcPr>
            <w:tcW w:w="20" w:type="dxa"/>
            <w:vAlign w:val="bottom"/>
            <w:tcBorders>
              <w:left w:val="single" w:sz="8" w:color="DDDDDD"/>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198" w:lineRule="exact"/>
        <w:rPr>
          <w:sz w:val="20"/>
          <w:szCs w:val="20"/>
          <w:color w:val="auto"/>
        </w:rPr>
      </w:pPr>
    </w:p>
    <w:p>
      <w:pPr>
        <w:spacing w:after="0"/>
        <w:tabs>
          <w:tab w:leader="none" w:pos="1280" w:val="left"/>
          <w:tab w:leader="none" w:pos="3020" w:val="left"/>
        </w:tabs>
        <w:rPr>
          <w:sz w:val="20"/>
          <w:szCs w:val="20"/>
          <w:color w:val="auto"/>
        </w:rPr>
      </w:pPr>
      <w:r>
        <w:rPr>
          <w:rFonts w:ascii="Arial" w:cs="Arial" w:eastAsia="Arial" w:hAnsi="Arial"/>
          <w:sz w:val="18"/>
          <w:szCs w:val="18"/>
          <w:color w:val="auto"/>
        </w:rPr>
        <w:t>SECTION 3.01</w:t>
        <w:tab/>
        <w:t>Organization; Powers</w:t>
      </w:r>
      <w:r>
        <w:rPr>
          <w:sz w:val="20"/>
          <w:szCs w:val="20"/>
          <w:color w:val="auto"/>
        </w:rPr>
        <w:tab/>
      </w:r>
      <w:r>
        <w:rPr>
          <w:rFonts w:ascii="Arial" w:cs="Arial" w:eastAsia="Arial" w:hAnsi="Arial"/>
          <w:sz w:val="16"/>
          <w:szCs w:val="16"/>
          <w:color w:val="FF0000"/>
          <w:strike w:val="1"/>
        </w:rPr>
        <w:t>102</w:t>
      </w:r>
      <w:r>
        <w:rPr>
          <w:rFonts w:ascii="Arial" w:cs="Arial" w:eastAsia="Arial" w:hAnsi="Arial"/>
          <w:sz w:val="16"/>
          <w:szCs w:val="16"/>
          <w:u w:val="single" w:color="auto"/>
          <w:color w:val="0000FF"/>
          <w:highlight w:val="lightGray"/>
          <w:strike w:val="1"/>
        </w:rPr>
        <w:t>106</w:t>
      </w:r>
    </w:p>
    <w:p>
      <w:pPr>
        <w:spacing w:after="0" w:line="12" w:lineRule="exact"/>
        <w:rPr>
          <w:sz w:val="20"/>
          <w:szCs w:val="20"/>
          <w:color w:val="auto"/>
        </w:rPr>
      </w:pPr>
    </w:p>
    <w:p>
      <w:pPr>
        <w:spacing w:after="0"/>
        <w:tabs>
          <w:tab w:leader="none" w:pos="1280" w:val="left"/>
          <w:tab w:leader="none" w:pos="3600" w:val="left"/>
        </w:tabs>
        <w:rPr>
          <w:sz w:val="20"/>
          <w:szCs w:val="20"/>
          <w:color w:val="auto"/>
        </w:rPr>
      </w:pPr>
      <w:r>
        <w:rPr>
          <w:rFonts w:ascii="Arial" w:cs="Arial" w:eastAsia="Arial" w:hAnsi="Arial"/>
          <w:sz w:val="18"/>
          <w:szCs w:val="18"/>
          <w:color w:val="auto"/>
        </w:rPr>
        <w:t>SECTION 3.02</w:t>
        <w:tab/>
        <w:t>Authorization; Enforceability</w:t>
      </w:r>
      <w:r>
        <w:rPr>
          <w:sz w:val="20"/>
          <w:szCs w:val="20"/>
          <w:color w:val="auto"/>
        </w:rPr>
        <w:tab/>
      </w:r>
      <w:r>
        <w:rPr>
          <w:rFonts w:ascii="Arial" w:cs="Arial" w:eastAsia="Arial" w:hAnsi="Arial"/>
          <w:sz w:val="16"/>
          <w:szCs w:val="16"/>
          <w:color w:val="FF0000"/>
          <w:strike w:val="1"/>
        </w:rPr>
        <w:t>103</w:t>
      </w:r>
      <w:r>
        <w:rPr>
          <w:rFonts w:ascii="Arial" w:cs="Arial" w:eastAsia="Arial" w:hAnsi="Arial"/>
          <w:sz w:val="16"/>
          <w:szCs w:val="16"/>
          <w:u w:val="single" w:color="auto"/>
          <w:color w:val="0000FF"/>
          <w:highlight w:val="lightGray"/>
          <w:strike w:val="1"/>
        </w:rPr>
        <w:t>106</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240"/>
          </w:cols>
          <w:pgMar w:left="320" w:top="1440" w:right="339"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w w:val="99"/>
              </w:rPr>
              <w:t>SECTION 3.03</w:t>
            </w:r>
          </w:p>
        </w:tc>
        <w:tc>
          <w:tcPr>
            <w:tcW w:w="2970" w:type="dxa"/>
            <w:vAlign w:val="bottom"/>
            <w:gridSpan w:val="59"/>
          </w:tcPr>
          <w:p>
            <w:pPr>
              <w:ind w:left="80"/>
              <w:spacing w:after="0"/>
              <w:rPr>
                <w:sz w:val="20"/>
                <w:szCs w:val="20"/>
                <w:color w:val="auto"/>
              </w:rPr>
            </w:pPr>
            <w:r>
              <w:rPr>
                <w:rFonts w:ascii="Arial" w:cs="Arial" w:eastAsia="Arial" w:hAnsi="Arial"/>
                <w:sz w:val="18"/>
                <w:szCs w:val="18"/>
                <w:color w:val="auto"/>
                <w:w w:val="94"/>
              </w:rPr>
              <w:t>Governmental Approvals; No Conflicts</w:t>
            </w:r>
          </w:p>
        </w:tc>
        <w:tc>
          <w:tcPr>
            <w:tcW w:w="3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right w:val="single" w:sz="8" w:color="DDDDDD"/>
            </w:tcBorders>
            <w:gridSpan w:val="8"/>
          </w:tcPr>
          <w:p>
            <w:pPr>
              <w:jc w:val="right"/>
              <w:spacing w:after="0"/>
              <w:rPr>
                <w:sz w:val="20"/>
                <w:szCs w:val="20"/>
                <w:color w:val="auto"/>
              </w:rPr>
            </w:pPr>
            <w:r>
              <w:rPr>
                <w:rFonts w:ascii="Arial" w:cs="Arial" w:eastAsia="Arial" w:hAnsi="Arial"/>
                <w:sz w:val="18"/>
                <w:szCs w:val="18"/>
                <w:color w:val="FF0000"/>
                <w:strike w:val="1"/>
                <w:w w:val="93"/>
              </w:rPr>
              <w:t>103</w:t>
            </w:r>
          </w:p>
        </w:tc>
        <w:tc>
          <w:tcPr>
            <w:tcW w:w="260" w:type="dxa"/>
            <w:vAlign w:val="bottom"/>
            <w:tcBorders>
              <w:left w:val="single" w:sz="8" w:color="DDDDDD"/>
              <w:bottom w:val="single" w:sz="8" w:color="0000FF"/>
            </w:tcBorders>
            <w:gridSpan w:val="6"/>
            <w:shd w:val="clear" w:color="auto" w:fill="DDDDDD"/>
          </w:tcPr>
          <w:p>
            <w:pPr>
              <w:jc w:val="right"/>
              <w:spacing w:after="0"/>
              <w:rPr>
                <w:sz w:val="20"/>
                <w:szCs w:val="20"/>
                <w:color w:val="auto"/>
              </w:rPr>
            </w:pPr>
            <w:r>
              <w:rPr>
                <w:rFonts w:ascii="Arial" w:cs="Arial" w:eastAsia="Arial" w:hAnsi="Arial"/>
                <w:sz w:val="18"/>
                <w:szCs w:val="18"/>
                <w:color w:val="0000FF"/>
                <w:highlight w:val="lightGray"/>
                <w:w w:val="79"/>
              </w:rPr>
              <w:t>106</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82" w:lineRule="exact"/>
              <w:rPr>
                <w:sz w:val="20"/>
                <w:szCs w:val="20"/>
                <w:color w:val="auto"/>
              </w:rPr>
            </w:pPr>
            <w:r>
              <w:rPr>
                <w:rFonts w:ascii="Arial" w:cs="Arial" w:eastAsia="Arial" w:hAnsi="Arial"/>
                <w:sz w:val="18"/>
                <w:szCs w:val="18"/>
                <w:color w:val="auto"/>
                <w:w w:val="99"/>
              </w:rPr>
              <w:t>SECTION 3.04</w:t>
            </w:r>
          </w:p>
        </w:tc>
        <w:tc>
          <w:tcPr>
            <w:tcW w:w="3380" w:type="dxa"/>
            <w:vAlign w:val="bottom"/>
            <w:tcBorders>
              <w:right w:val="single" w:sz="8" w:color="DDDDDD"/>
            </w:tcBorders>
            <w:gridSpan w:val="69"/>
          </w:tcPr>
          <w:p>
            <w:pPr>
              <w:spacing w:after="0" w:line="20" w:lineRule="exact"/>
              <w:rPr>
                <w:sz w:val="1"/>
                <w:szCs w:val="1"/>
                <w:color w:val="auto"/>
              </w:rPr>
            </w:pPr>
          </w:p>
        </w:tc>
        <w:tc>
          <w:tcPr>
            <w:tcW w:w="300" w:type="dxa"/>
            <w:vAlign w:val="bottom"/>
            <w:tcBorders>
              <w:left w:val="single" w:sz="8" w:color="DDDDDD"/>
            </w:tcBorders>
            <w:gridSpan w:val="8"/>
            <w:shd w:val="clear" w:color="auto" w:fill="DDDDDD"/>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gridSpan w:val="5"/>
            <w:vMerge w:val="restart"/>
          </w:tcPr>
          <w:p>
            <w:pPr>
              <w:spacing w:after="0" w:line="182" w:lineRule="exact"/>
              <w:rPr>
                <w:sz w:val="20"/>
                <w:szCs w:val="20"/>
                <w:color w:val="auto"/>
              </w:rPr>
            </w:pPr>
            <w:r>
              <w:rPr>
                <w:rFonts w:ascii="Arial" w:cs="Arial" w:eastAsia="Arial" w:hAnsi="Arial"/>
                <w:sz w:val="18"/>
                <w:szCs w:val="18"/>
                <w:color w:val="FF0000"/>
                <w:strike w:val="1"/>
                <w:w w:val="86"/>
              </w:rPr>
              <w:t>103</w:t>
            </w:r>
          </w:p>
        </w:tc>
        <w:tc>
          <w:tcPr>
            <w:tcW w:w="260" w:type="dxa"/>
            <w:vAlign w:val="bottom"/>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20" w:type="dxa"/>
            <w:vAlign w:val="bottom"/>
            <w:vMerge w:val="continue"/>
          </w:tcPr>
          <w:p>
            <w:pPr>
              <w:spacing w:after="0"/>
              <w:rPr>
                <w:sz w:val="15"/>
                <w:szCs w:val="15"/>
                <w:color w:val="auto"/>
              </w:rPr>
            </w:pPr>
          </w:p>
        </w:tc>
        <w:tc>
          <w:tcPr>
            <w:tcW w:w="3640" w:type="dxa"/>
            <w:vAlign w:val="bottom"/>
            <w:gridSpan w:val="75"/>
          </w:tcPr>
          <w:p>
            <w:pPr>
              <w:ind w:left="80"/>
              <w:spacing w:after="0" w:line="163" w:lineRule="exact"/>
              <w:rPr>
                <w:sz w:val="20"/>
                <w:szCs w:val="20"/>
                <w:color w:val="auto"/>
              </w:rPr>
            </w:pPr>
            <w:r>
              <w:rPr>
                <w:rFonts w:ascii="Arial" w:cs="Arial" w:eastAsia="Arial" w:hAnsi="Arial"/>
                <w:sz w:val="18"/>
                <w:szCs w:val="18"/>
                <w:color w:val="auto"/>
                <w:w w:val="93"/>
              </w:rPr>
              <w:t>Financial Condition; No Material Adverse Effect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80" w:type="dxa"/>
            <w:vAlign w:val="bottom"/>
            <w:gridSpan w:val="5"/>
            <w:vMerge w:val="continue"/>
          </w:tcPr>
          <w:p>
            <w:pPr>
              <w:spacing w:after="0"/>
              <w:rPr>
                <w:sz w:val="15"/>
                <w:szCs w:val="15"/>
                <w:color w:val="auto"/>
              </w:rPr>
            </w:pPr>
          </w:p>
        </w:tc>
        <w:tc>
          <w:tcPr>
            <w:tcW w:w="260" w:type="dxa"/>
            <w:vAlign w:val="bottom"/>
            <w:tcBorders>
              <w:bottom w:val="single" w:sz="8" w:color="0000FF"/>
            </w:tcBorders>
            <w:gridSpan w:val="3"/>
            <w:shd w:val="clear" w:color="auto" w:fill="DDDDDD"/>
          </w:tcPr>
          <w:p>
            <w:pPr>
              <w:jc w:val="right"/>
              <w:spacing w:after="0" w:line="163" w:lineRule="exact"/>
              <w:rPr>
                <w:sz w:val="20"/>
                <w:szCs w:val="20"/>
                <w:color w:val="auto"/>
              </w:rPr>
            </w:pPr>
            <w:r>
              <w:rPr>
                <w:rFonts w:ascii="Arial" w:cs="Arial" w:eastAsia="Arial" w:hAnsi="Arial"/>
                <w:sz w:val="18"/>
                <w:szCs w:val="18"/>
                <w:color w:val="0000FF"/>
                <w:highlight w:val="lightGray"/>
                <w:w w:val="79"/>
              </w:rPr>
              <w:t>106</w:t>
            </w:r>
          </w:p>
        </w:tc>
        <w:tc>
          <w:tcPr>
            <w:tcW w:w="20" w:type="dxa"/>
            <w:vAlign w:val="bottom"/>
            <w:tcBorders>
              <w:bottom w:val="single" w:sz="8" w:color="0000FF"/>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3.05</w:t>
            </w:r>
          </w:p>
        </w:tc>
        <w:tc>
          <w:tcPr>
            <w:tcW w:w="940" w:type="dxa"/>
            <w:vAlign w:val="bottom"/>
            <w:gridSpan w:val="3"/>
            <w:vMerge w:val="restart"/>
          </w:tcPr>
          <w:p>
            <w:pPr>
              <w:ind w:left="80"/>
              <w:spacing w:after="0" w:line="176" w:lineRule="exact"/>
              <w:rPr>
                <w:sz w:val="20"/>
                <w:szCs w:val="20"/>
                <w:color w:val="auto"/>
              </w:rPr>
            </w:pPr>
            <w:r>
              <w:rPr>
                <w:rFonts w:ascii="Arial" w:cs="Arial" w:eastAsia="Arial" w:hAnsi="Arial"/>
                <w:sz w:val="18"/>
                <w:szCs w:val="18"/>
                <w:color w:val="auto"/>
              </w:rPr>
              <w:t>Properties</w:t>
            </w:r>
          </w:p>
        </w:tc>
        <w:tc>
          <w:tcPr>
            <w:tcW w:w="60" w:type="dxa"/>
            <w:vAlign w:val="bottom"/>
            <w:gridSpan w:val="2"/>
          </w:tcPr>
          <w:p>
            <w:pPr>
              <w:spacing w:after="0" w:line="20" w:lineRule="exact"/>
              <w:rPr>
                <w:sz w:val="1"/>
                <w:szCs w:val="1"/>
                <w:color w:val="auto"/>
              </w:rPr>
            </w:pPr>
          </w:p>
        </w:tc>
        <w:tc>
          <w:tcPr>
            <w:tcW w:w="220" w:type="dxa"/>
            <w:vAlign w:val="bottom"/>
            <w:gridSpan w:val="5"/>
            <w:vMerge w:val="restart"/>
          </w:tcPr>
          <w:p>
            <w:pPr>
              <w:jc w:val="right"/>
              <w:spacing w:after="0" w:line="176" w:lineRule="exact"/>
              <w:rPr>
                <w:sz w:val="20"/>
                <w:szCs w:val="20"/>
                <w:color w:val="auto"/>
              </w:rPr>
            </w:pPr>
            <w:r>
              <w:rPr>
                <w:rFonts w:ascii="Arial" w:cs="Arial" w:eastAsia="Arial" w:hAnsi="Arial"/>
                <w:sz w:val="18"/>
                <w:szCs w:val="18"/>
                <w:color w:val="FF0000"/>
                <w:strike w:val="1"/>
                <w:w w:val="79"/>
              </w:rPr>
              <w:t>103</w:t>
            </w:r>
          </w:p>
        </w:tc>
        <w:tc>
          <w:tcPr>
            <w:tcW w:w="60" w:type="dxa"/>
            <w:vAlign w:val="bottom"/>
            <w:vMerge w:val="restart"/>
          </w:tcPr>
          <w:p>
            <w:pPr>
              <w:spacing w:after="0" w:line="20" w:lineRule="exact"/>
              <w:rPr>
                <w:sz w:val="1"/>
                <w:szCs w:val="1"/>
                <w:color w:val="auto"/>
              </w:rPr>
            </w:pPr>
          </w:p>
        </w:tc>
        <w:tc>
          <w:tcPr>
            <w:tcW w:w="2780" w:type="dxa"/>
            <w:vAlign w:val="bottom"/>
            <w:gridSpan w:val="73"/>
          </w:tcPr>
          <w:p>
            <w:pPr>
              <w:spacing w:after="0" w:line="20" w:lineRule="exact"/>
              <w:rPr>
                <w:sz w:val="1"/>
                <w:szCs w:val="1"/>
                <w:color w:val="auto"/>
              </w:rPr>
            </w:pPr>
          </w:p>
        </w:tc>
        <w:tc>
          <w:tcPr>
            <w:tcW w:w="260" w:type="dxa"/>
            <w:vAlign w:val="bottom"/>
            <w:tcBorders>
              <w:top w:val="single" w:sz="8" w:color="DDDDDD"/>
            </w:tcBorders>
            <w:gridSpan w:val="3"/>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60" w:type="dxa"/>
            <w:vAlign w:val="bottom"/>
            <w:gridSpan w:val="2"/>
          </w:tcPr>
          <w:p>
            <w:pPr>
              <w:spacing w:after="0"/>
              <w:rPr>
                <w:sz w:val="13"/>
                <w:szCs w:val="13"/>
                <w:color w:val="auto"/>
              </w:rPr>
            </w:pPr>
          </w:p>
        </w:tc>
        <w:tc>
          <w:tcPr>
            <w:tcW w:w="220" w:type="dxa"/>
            <w:vAlign w:val="bottom"/>
            <w:gridSpan w:val="5"/>
            <w:vMerge w:val="continue"/>
          </w:tcPr>
          <w:p>
            <w:pPr>
              <w:spacing w:after="0"/>
              <w:rPr>
                <w:sz w:val="13"/>
                <w:szCs w:val="13"/>
                <w:color w:val="auto"/>
              </w:rPr>
            </w:pPr>
          </w:p>
        </w:tc>
        <w:tc>
          <w:tcPr>
            <w:tcW w:w="6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right w:val="single" w:sz="8" w:color="DDDDDD"/>
            </w:tcBorders>
            <w:gridSpan w:val="6"/>
            <w:shd w:val="clear" w:color="auto" w:fill="DDDDDD"/>
          </w:tcPr>
          <w:p>
            <w:pPr>
              <w:spacing w:after="0" w:line="156" w:lineRule="exact"/>
              <w:rPr>
                <w:sz w:val="20"/>
                <w:szCs w:val="20"/>
                <w:color w:val="auto"/>
              </w:rPr>
            </w:pPr>
            <w:r>
              <w:rPr>
                <w:rFonts w:ascii="Arial" w:cs="Arial" w:eastAsia="Arial" w:hAnsi="Arial"/>
                <w:sz w:val="18"/>
                <w:szCs w:val="18"/>
                <w:color w:val="0000FF"/>
                <w:highlight w:val="lightGray"/>
                <w:w w:val="73"/>
              </w:rPr>
              <w:t>107</w:t>
            </w:r>
          </w:p>
        </w:tc>
        <w:tc>
          <w:tcPr>
            <w:tcW w:w="4020" w:type="dxa"/>
            <w:vAlign w:val="bottom"/>
            <w:gridSpan w:val="7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96" w:lineRule="exact"/>
              <w:rPr>
                <w:sz w:val="20"/>
                <w:szCs w:val="20"/>
                <w:color w:val="auto"/>
              </w:rPr>
            </w:pPr>
            <w:r>
              <w:rPr>
                <w:rFonts w:ascii="Arial" w:cs="Arial" w:eastAsia="Arial" w:hAnsi="Arial"/>
                <w:sz w:val="18"/>
                <w:szCs w:val="18"/>
                <w:color w:val="auto"/>
                <w:w w:val="99"/>
              </w:rPr>
              <w:t>SECTION 3.06</w:t>
            </w:r>
          </w:p>
        </w:tc>
        <w:tc>
          <w:tcPr>
            <w:tcW w:w="1280" w:type="dxa"/>
            <w:vAlign w:val="bottom"/>
            <w:gridSpan w:val="11"/>
            <w:vMerge w:val="restart"/>
          </w:tcPr>
          <w:p>
            <w:pPr>
              <w:ind w:left="80"/>
              <w:spacing w:after="0" w:line="196" w:lineRule="exact"/>
              <w:rPr>
                <w:sz w:val="20"/>
                <w:szCs w:val="20"/>
                <w:color w:val="auto"/>
              </w:rPr>
            </w:pPr>
            <w:r>
              <w:rPr>
                <w:rFonts w:ascii="Arial" w:cs="Arial" w:eastAsia="Arial" w:hAnsi="Arial"/>
                <w:sz w:val="18"/>
                <w:szCs w:val="18"/>
                <w:color w:val="auto"/>
              </w:rPr>
              <w:t>Litigation and</w:t>
            </w:r>
          </w:p>
        </w:tc>
        <w:tc>
          <w:tcPr>
            <w:tcW w:w="40" w:type="dxa"/>
            <w:vAlign w:val="bottom"/>
            <w:gridSpan w:val="2"/>
            <w:shd w:val="clear" w:color="auto" w:fill="DDDDDD"/>
          </w:tcPr>
          <w:p>
            <w:pPr>
              <w:spacing w:after="0" w:line="20" w:lineRule="exact"/>
              <w:rPr>
                <w:sz w:val="1"/>
                <w:szCs w:val="1"/>
                <w:color w:val="auto"/>
              </w:rPr>
            </w:pPr>
          </w:p>
        </w:tc>
        <w:tc>
          <w:tcPr>
            <w:tcW w:w="160" w:type="dxa"/>
            <w:vAlign w:val="bottom"/>
            <w:tcBorders>
              <w:left w:val="single" w:sz="8" w:color="DDDDDD"/>
              <w:right w:val="single" w:sz="8" w:color="DDDDDD"/>
            </w:tcBorders>
            <w:gridSpan w:val="3"/>
            <w:shd w:val="clear" w:color="auto" w:fill="DDDDDD"/>
          </w:tcPr>
          <w:p>
            <w:pPr>
              <w:spacing w:after="0" w:line="20" w:lineRule="exact"/>
              <w:rPr>
                <w:sz w:val="1"/>
                <w:szCs w:val="1"/>
                <w:color w:val="auto"/>
              </w:rPr>
            </w:pPr>
          </w:p>
        </w:tc>
        <w:tc>
          <w:tcPr>
            <w:tcW w:w="60" w:type="dxa"/>
            <w:vAlign w:val="bottom"/>
            <w:tcBorders>
              <w:right w:val="single" w:sz="8" w:color="DDDDDD"/>
            </w:tcBorders>
            <w:shd w:val="clear" w:color="auto" w:fill="DDDDDD"/>
          </w:tcPr>
          <w:p>
            <w:pPr>
              <w:spacing w:after="0" w:line="20" w:lineRule="exact"/>
              <w:rPr>
                <w:sz w:val="1"/>
                <w:szCs w:val="1"/>
                <w:color w:val="auto"/>
              </w:rPr>
            </w:pPr>
          </w:p>
        </w:tc>
        <w:tc>
          <w:tcPr>
            <w:tcW w:w="1430" w:type="dxa"/>
            <w:vAlign w:val="bottom"/>
            <w:gridSpan w:val="42"/>
          </w:tcPr>
          <w:p>
            <w:pPr>
              <w:spacing w:after="0" w:line="20" w:lineRule="exact"/>
              <w:rPr>
                <w:sz w:val="1"/>
                <w:szCs w:val="1"/>
                <w:color w:val="auto"/>
              </w:rPr>
            </w:pPr>
          </w:p>
        </w:tc>
        <w:tc>
          <w:tcPr>
            <w:tcW w:w="30" w:type="dxa"/>
            <w:vAlign w:val="bottom"/>
            <w:vMerge w:val="restart"/>
          </w:tcPr>
          <w:p>
            <w:pPr>
              <w:spacing w:after="0" w:line="20" w:lineRule="exact"/>
              <w:rPr>
                <w:sz w:val="1"/>
                <w:szCs w:val="1"/>
                <w:color w:val="auto"/>
              </w:rPr>
            </w:pPr>
          </w:p>
        </w:tc>
        <w:tc>
          <w:tcPr>
            <w:tcW w:w="280" w:type="dxa"/>
            <w:vAlign w:val="bottom"/>
            <w:gridSpan w:val="8"/>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103</w:t>
            </w: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92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1280" w:type="dxa"/>
            <w:vAlign w:val="bottom"/>
            <w:gridSpan w:val="11"/>
            <w:vMerge w:val="continue"/>
          </w:tcPr>
          <w:p>
            <w:pPr>
              <w:spacing w:after="0" w:line="20" w:lineRule="exact"/>
              <w:rPr>
                <w:sz w:val="1"/>
                <w:szCs w:val="1"/>
                <w:color w:val="auto"/>
              </w:rPr>
            </w:pPr>
          </w:p>
        </w:tc>
        <w:tc>
          <w:tcPr>
            <w:tcW w:w="1690" w:type="dxa"/>
            <w:vAlign w:val="bottom"/>
            <w:gridSpan w:val="48"/>
            <w:vMerge w:val="restart"/>
          </w:tcPr>
          <w:p>
            <w:pPr>
              <w:spacing w:after="0" w:line="176" w:lineRule="exact"/>
              <w:rPr>
                <w:sz w:val="20"/>
                <w:szCs w:val="20"/>
                <w:color w:val="auto"/>
              </w:rPr>
            </w:pPr>
            <w:r>
              <w:rPr>
                <w:rFonts w:ascii="Arial" w:cs="Arial" w:eastAsia="Arial" w:hAnsi="Arial"/>
                <w:sz w:val="18"/>
                <w:szCs w:val="18"/>
                <w:color w:val="auto"/>
                <w:w w:val="93"/>
              </w:rPr>
              <w:t>Environmental Matters</w:t>
            </w:r>
          </w:p>
        </w:tc>
        <w:tc>
          <w:tcPr>
            <w:tcW w:w="30" w:type="dxa"/>
            <w:vAlign w:val="bottom"/>
            <w:vMerge w:val="continue"/>
          </w:tcPr>
          <w:p>
            <w:pPr>
              <w:spacing w:after="0" w:line="20" w:lineRule="exact"/>
              <w:rPr>
                <w:sz w:val="1"/>
                <w:szCs w:val="1"/>
                <w:color w:val="auto"/>
              </w:rPr>
            </w:pPr>
          </w:p>
        </w:tc>
        <w:tc>
          <w:tcPr>
            <w:tcW w:w="280" w:type="dxa"/>
            <w:vAlign w:val="bottom"/>
            <w:gridSpan w:val="8"/>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1280" w:type="dxa"/>
            <w:vAlign w:val="bottom"/>
            <w:gridSpan w:val="11"/>
            <w:vMerge w:val="continue"/>
          </w:tcPr>
          <w:p>
            <w:pPr>
              <w:spacing w:after="0"/>
              <w:rPr>
                <w:sz w:val="13"/>
                <w:szCs w:val="13"/>
                <w:color w:val="auto"/>
              </w:rPr>
            </w:pPr>
          </w:p>
        </w:tc>
        <w:tc>
          <w:tcPr>
            <w:tcW w:w="1690" w:type="dxa"/>
            <w:vAlign w:val="bottom"/>
            <w:gridSpan w:val="48"/>
            <w:vMerge w:val="continue"/>
          </w:tcPr>
          <w:p>
            <w:pPr>
              <w:spacing w:after="0"/>
              <w:rPr>
                <w:sz w:val="13"/>
                <w:szCs w:val="13"/>
                <w:color w:val="auto"/>
              </w:rPr>
            </w:pPr>
          </w:p>
        </w:tc>
        <w:tc>
          <w:tcPr>
            <w:tcW w:w="30" w:type="dxa"/>
            <w:vAlign w:val="bottom"/>
          </w:tcPr>
          <w:p>
            <w:pPr>
              <w:spacing w:after="0"/>
              <w:rPr>
                <w:sz w:val="13"/>
                <w:szCs w:val="13"/>
                <w:color w:val="auto"/>
              </w:rPr>
            </w:pPr>
          </w:p>
        </w:tc>
        <w:tc>
          <w:tcPr>
            <w:tcW w:w="280" w:type="dxa"/>
            <w:vAlign w:val="bottom"/>
            <w:gridSpan w:val="8"/>
            <w:vMerge w:val="continue"/>
          </w:tcPr>
          <w:p>
            <w:pPr>
              <w:spacing w:after="0"/>
              <w:rPr>
                <w:sz w:val="13"/>
                <w:szCs w:val="13"/>
                <w:color w:val="auto"/>
              </w:rPr>
            </w:pPr>
          </w:p>
        </w:tc>
        <w:tc>
          <w:tcPr>
            <w:tcW w:w="240" w:type="dxa"/>
            <w:vAlign w:val="bottom"/>
            <w:tcBorders>
              <w:bottom w:val="single" w:sz="8" w:color="0000FF"/>
            </w:tcBorders>
            <w:gridSpan w:val="5"/>
            <w:shd w:val="clear" w:color="auto" w:fill="DDDDDD"/>
          </w:tcPr>
          <w:p>
            <w:pPr>
              <w:jc w:val="right"/>
              <w:spacing w:after="0" w:line="156" w:lineRule="exact"/>
              <w:rPr>
                <w:sz w:val="20"/>
                <w:szCs w:val="20"/>
                <w:color w:val="auto"/>
              </w:rPr>
            </w:pPr>
            <w:r>
              <w:rPr>
                <w:rFonts w:ascii="Arial" w:cs="Arial" w:eastAsia="Arial" w:hAnsi="Arial"/>
                <w:sz w:val="18"/>
                <w:szCs w:val="18"/>
                <w:color w:val="0000FF"/>
                <w:highlight w:val="lightGray"/>
                <w:w w:val="73"/>
              </w:rPr>
              <w:t>107</w:t>
            </w:r>
          </w:p>
        </w:tc>
        <w:tc>
          <w:tcPr>
            <w:tcW w:w="20" w:type="dxa"/>
            <w:vAlign w:val="bottom"/>
            <w:tcBorders>
              <w:bottom w:val="single" w:sz="8" w:color="0000FF"/>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82" w:lineRule="exact"/>
              <w:rPr>
                <w:sz w:val="20"/>
                <w:szCs w:val="20"/>
                <w:color w:val="auto"/>
              </w:rPr>
            </w:pPr>
            <w:r>
              <w:rPr>
                <w:rFonts w:ascii="Arial" w:cs="Arial" w:eastAsia="Arial" w:hAnsi="Arial"/>
                <w:sz w:val="18"/>
                <w:szCs w:val="18"/>
                <w:color w:val="auto"/>
                <w:w w:val="99"/>
              </w:rPr>
              <w:t>SECTION 3.07</w:t>
            </w:r>
          </w:p>
        </w:tc>
        <w:tc>
          <w:tcPr>
            <w:tcW w:w="2970" w:type="dxa"/>
            <w:vAlign w:val="bottom"/>
            <w:gridSpan w:val="59"/>
            <w:vMerge w:val="restart"/>
          </w:tcPr>
          <w:p>
            <w:pPr>
              <w:ind w:left="80"/>
              <w:spacing w:after="0" w:line="182" w:lineRule="exact"/>
              <w:rPr>
                <w:sz w:val="20"/>
                <w:szCs w:val="20"/>
                <w:color w:val="auto"/>
              </w:rPr>
            </w:pPr>
            <w:r>
              <w:rPr>
                <w:rFonts w:ascii="Arial" w:cs="Arial" w:eastAsia="Arial" w:hAnsi="Arial"/>
                <w:sz w:val="18"/>
                <w:szCs w:val="18"/>
                <w:color w:val="auto"/>
                <w:w w:val="91"/>
              </w:rPr>
              <w:t>Compliance with Laws and Agreements</w:t>
            </w:r>
          </w:p>
        </w:tc>
        <w:tc>
          <w:tcPr>
            <w:tcW w:w="3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DDDDDD"/>
            </w:tcBorders>
            <w:shd w:val="clear" w:color="auto" w:fill="DDDDDD"/>
          </w:tcPr>
          <w:p>
            <w:pPr>
              <w:spacing w:after="0" w:line="20" w:lineRule="exact"/>
              <w:rPr>
                <w:sz w:val="1"/>
                <w:szCs w:val="1"/>
                <w:color w:val="auto"/>
              </w:rPr>
            </w:pPr>
          </w:p>
        </w:tc>
        <w:tc>
          <w:tcPr>
            <w:tcW w:w="40" w:type="dxa"/>
            <w:vAlign w:val="bottom"/>
            <w:tcBorders>
              <w:left w:val="single" w:sz="8" w:color="DDDDDD"/>
            </w:tcBorders>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20" w:type="dxa"/>
            <w:vAlign w:val="bottom"/>
            <w:vMerge w:val="continue"/>
          </w:tcPr>
          <w:p>
            <w:pPr>
              <w:spacing w:after="0"/>
              <w:rPr>
                <w:sz w:val="15"/>
                <w:szCs w:val="15"/>
                <w:color w:val="auto"/>
              </w:rPr>
            </w:pPr>
          </w:p>
        </w:tc>
        <w:tc>
          <w:tcPr>
            <w:tcW w:w="2970" w:type="dxa"/>
            <w:vAlign w:val="bottom"/>
            <w:gridSpan w:val="59"/>
            <w:vMerge w:val="continue"/>
          </w:tcPr>
          <w:p>
            <w:pPr>
              <w:spacing w:after="0"/>
              <w:rPr>
                <w:sz w:val="15"/>
                <w:szCs w:val="15"/>
                <w:color w:val="auto"/>
              </w:rPr>
            </w:pPr>
          </w:p>
        </w:tc>
        <w:tc>
          <w:tcPr>
            <w:tcW w:w="9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gridSpan w:val="8"/>
          </w:tcPr>
          <w:p>
            <w:pPr>
              <w:jc w:val="right"/>
              <w:spacing w:after="0" w:line="163" w:lineRule="exact"/>
              <w:rPr>
                <w:sz w:val="20"/>
                <w:szCs w:val="20"/>
                <w:color w:val="auto"/>
              </w:rPr>
            </w:pPr>
            <w:r>
              <w:rPr>
                <w:rFonts w:ascii="Arial" w:cs="Arial" w:eastAsia="Arial" w:hAnsi="Arial"/>
                <w:sz w:val="18"/>
                <w:szCs w:val="18"/>
                <w:color w:val="FF0000"/>
                <w:strike w:val="1"/>
                <w:w w:val="99"/>
              </w:rPr>
              <w:t>104</w:t>
            </w:r>
          </w:p>
        </w:tc>
        <w:tc>
          <w:tcPr>
            <w:tcW w:w="260" w:type="dxa"/>
            <w:vAlign w:val="bottom"/>
            <w:tcBorders>
              <w:bottom w:val="single" w:sz="8" w:color="0000FF"/>
            </w:tcBorders>
            <w:gridSpan w:val="7"/>
            <w:shd w:val="clear" w:color="auto" w:fill="DDDDDD"/>
          </w:tcPr>
          <w:p>
            <w:pPr>
              <w:jc w:val="right"/>
              <w:spacing w:after="0" w:line="163" w:lineRule="exact"/>
              <w:rPr>
                <w:sz w:val="20"/>
                <w:szCs w:val="20"/>
                <w:color w:val="auto"/>
              </w:rPr>
            </w:pPr>
            <w:r>
              <w:rPr>
                <w:rFonts w:ascii="Arial" w:cs="Arial" w:eastAsia="Arial" w:hAnsi="Arial"/>
                <w:sz w:val="18"/>
                <w:szCs w:val="18"/>
                <w:color w:val="0000FF"/>
                <w:highlight w:val="lightGray"/>
                <w:w w:val="79"/>
              </w:rPr>
              <w:t>107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3.08</w:t>
            </w:r>
          </w:p>
        </w:tc>
        <w:tc>
          <w:tcPr>
            <w:tcW w:w="2140" w:type="dxa"/>
            <w:vAlign w:val="bottom"/>
            <w:gridSpan w:val="31"/>
            <w:vMerge w:val="restart"/>
          </w:tcPr>
          <w:p>
            <w:pPr>
              <w:ind w:left="80"/>
              <w:spacing w:after="0" w:line="176" w:lineRule="exact"/>
              <w:rPr>
                <w:sz w:val="20"/>
                <w:szCs w:val="20"/>
                <w:color w:val="auto"/>
              </w:rPr>
            </w:pPr>
            <w:r>
              <w:rPr>
                <w:rFonts w:ascii="Arial" w:cs="Arial" w:eastAsia="Arial" w:hAnsi="Arial"/>
                <w:sz w:val="18"/>
                <w:szCs w:val="18"/>
                <w:color w:val="auto"/>
                <w:w w:val="90"/>
              </w:rPr>
              <w:t>Investment Company Status</w:t>
            </w:r>
          </w:p>
        </w:tc>
        <w:tc>
          <w:tcPr>
            <w:tcW w:w="160" w:type="dxa"/>
            <w:vAlign w:val="bottom"/>
            <w:gridSpan w:val="6"/>
          </w:tcPr>
          <w:p>
            <w:pPr>
              <w:spacing w:after="0" w:line="20" w:lineRule="exact"/>
              <w:rPr>
                <w:sz w:val="1"/>
                <w:szCs w:val="1"/>
                <w:color w:val="auto"/>
              </w:rPr>
            </w:pPr>
          </w:p>
        </w:tc>
        <w:tc>
          <w:tcPr>
            <w:tcW w:w="260" w:type="dxa"/>
            <w:vAlign w:val="bottom"/>
            <w:gridSpan w:val="8"/>
            <w:vMerge w:val="restart"/>
          </w:tcPr>
          <w:p>
            <w:pPr>
              <w:jc w:val="right"/>
              <w:spacing w:after="0" w:line="176" w:lineRule="exact"/>
              <w:rPr>
                <w:sz w:val="20"/>
                <w:szCs w:val="20"/>
                <w:color w:val="auto"/>
              </w:rPr>
            </w:pPr>
            <w:r>
              <w:rPr>
                <w:rFonts w:ascii="Arial" w:cs="Arial" w:eastAsia="Arial" w:hAnsi="Arial"/>
                <w:sz w:val="18"/>
                <w:szCs w:val="18"/>
                <w:color w:val="FF0000"/>
                <w:strike w:val="1"/>
                <w:w w:val="79"/>
              </w:rPr>
              <w:t>104</w:t>
            </w:r>
          </w:p>
        </w:tc>
        <w:tc>
          <w:tcPr>
            <w:tcW w:w="20" w:type="dxa"/>
            <w:vAlign w:val="bottom"/>
            <w:vMerge w:val="restart"/>
          </w:tcPr>
          <w:p>
            <w:pPr>
              <w:spacing w:after="0" w:line="20" w:lineRule="exact"/>
              <w:rPr>
                <w:sz w:val="1"/>
                <w:szCs w:val="1"/>
                <w:color w:val="auto"/>
              </w:rPr>
            </w:pPr>
          </w:p>
        </w:tc>
        <w:tc>
          <w:tcPr>
            <w:tcW w:w="840" w:type="dxa"/>
            <w:vAlign w:val="bottom"/>
            <w:gridSpan w:val="24"/>
          </w:tcPr>
          <w:p>
            <w:pPr>
              <w:spacing w:after="0" w:line="20" w:lineRule="exact"/>
              <w:rPr>
                <w:sz w:val="1"/>
                <w:szCs w:val="1"/>
                <w:color w:val="auto"/>
              </w:rPr>
            </w:pPr>
          </w:p>
        </w:tc>
        <w:tc>
          <w:tcPr>
            <w:tcW w:w="260" w:type="dxa"/>
            <w:vAlign w:val="bottom"/>
            <w:tcBorders>
              <w:top w:val="single" w:sz="8" w:color="DDDDDD"/>
            </w:tcBorders>
            <w:gridSpan w:val="7"/>
          </w:tcPr>
          <w:p>
            <w:pPr>
              <w:spacing w:after="0" w:line="20" w:lineRule="exact"/>
              <w:rPr>
                <w:sz w:val="1"/>
                <w:szCs w:val="1"/>
                <w:color w:val="auto"/>
              </w:rPr>
            </w:pPr>
          </w:p>
        </w:tc>
        <w:tc>
          <w:tcPr>
            <w:tcW w:w="18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20" w:type="dxa"/>
            <w:vAlign w:val="bottom"/>
            <w:vMerge w:val="continue"/>
          </w:tcPr>
          <w:p>
            <w:pPr>
              <w:spacing w:after="0"/>
              <w:rPr>
                <w:sz w:val="15"/>
                <w:szCs w:val="15"/>
                <w:color w:val="auto"/>
              </w:rPr>
            </w:pPr>
          </w:p>
        </w:tc>
        <w:tc>
          <w:tcPr>
            <w:tcW w:w="2140" w:type="dxa"/>
            <w:vAlign w:val="bottom"/>
            <w:gridSpan w:val="31"/>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8"/>
            <w:vMerge w:val="continue"/>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260" w:type="dxa"/>
            <w:vAlign w:val="bottom"/>
            <w:tcBorders>
              <w:bottom w:val="single" w:sz="8" w:color="0000FF"/>
            </w:tcBorders>
            <w:gridSpan w:val="8"/>
            <w:shd w:val="clear" w:color="auto" w:fill="DDDDDD"/>
          </w:tcPr>
          <w:p>
            <w:pPr>
              <w:spacing w:after="0" w:line="156" w:lineRule="exact"/>
              <w:rPr>
                <w:sz w:val="20"/>
                <w:szCs w:val="20"/>
                <w:color w:val="auto"/>
              </w:rPr>
            </w:pPr>
            <w:r>
              <w:rPr>
                <w:rFonts w:ascii="Arial" w:cs="Arial" w:eastAsia="Arial" w:hAnsi="Arial"/>
                <w:sz w:val="18"/>
                <w:szCs w:val="18"/>
                <w:color w:val="0000FF"/>
                <w:highlight w:val="lightGray"/>
                <w:w w:val="79"/>
              </w:rPr>
              <w:t>107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3.09</w:t>
            </w:r>
          </w:p>
        </w:tc>
        <w:tc>
          <w:tcPr>
            <w:tcW w:w="660" w:type="dxa"/>
            <w:vAlign w:val="bottom"/>
          </w:tcPr>
          <w:p>
            <w:pPr>
              <w:ind w:left="80"/>
              <w:spacing w:after="0" w:line="176" w:lineRule="exact"/>
              <w:rPr>
                <w:sz w:val="20"/>
                <w:szCs w:val="20"/>
                <w:color w:val="auto"/>
              </w:rPr>
            </w:pPr>
            <w:r>
              <w:rPr>
                <w:rFonts w:ascii="Arial" w:cs="Arial" w:eastAsia="Arial" w:hAnsi="Arial"/>
                <w:sz w:val="18"/>
                <w:szCs w:val="18"/>
                <w:color w:val="auto"/>
              </w:rPr>
              <w:t>Taxes</w:t>
            </w:r>
          </w:p>
        </w:tc>
        <w:tc>
          <w:tcPr>
            <w:tcW w:w="300" w:type="dxa"/>
            <w:vAlign w:val="bottom"/>
            <w:gridSpan w:val="3"/>
          </w:tcPr>
          <w:p>
            <w:pPr>
              <w:jc w:val="right"/>
              <w:spacing w:after="0" w:line="176" w:lineRule="exact"/>
              <w:rPr>
                <w:sz w:val="20"/>
                <w:szCs w:val="20"/>
                <w:color w:val="auto"/>
              </w:rPr>
            </w:pPr>
            <w:r>
              <w:rPr>
                <w:rFonts w:ascii="Arial" w:cs="Arial" w:eastAsia="Arial" w:hAnsi="Arial"/>
                <w:sz w:val="18"/>
                <w:szCs w:val="18"/>
                <w:color w:val="FF0000"/>
                <w:strike w:val="1"/>
                <w:w w:val="86"/>
              </w:rPr>
              <w:t>104</w:t>
            </w:r>
          </w:p>
        </w:tc>
        <w:tc>
          <w:tcPr>
            <w:tcW w:w="260" w:type="dxa"/>
            <w:vAlign w:val="bottom"/>
            <w:tcBorders>
              <w:bottom w:val="single" w:sz="8" w:color="0000FF"/>
            </w:tcBorders>
            <w:gridSpan w:val="6"/>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107</w:t>
            </w:r>
          </w:p>
        </w:tc>
        <w:tc>
          <w:tcPr>
            <w:tcW w:w="4340" w:type="dxa"/>
            <w:vAlign w:val="bottom"/>
            <w:gridSpan w:val="85"/>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3.10</w:t>
            </w:r>
          </w:p>
        </w:tc>
        <w:tc>
          <w:tcPr>
            <w:tcW w:w="660" w:type="dxa"/>
            <w:vAlign w:val="bottom"/>
          </w:tcPr>
          <w:p>
            <w:pPr>
              <w:ind w:left="80"/>
              <w:spacing w:after="0" w:line="176" w:lineRule="exact"/>
              <w:rPr>
                <w:sz w:val="20"/>
                <w:szCs w:val="20"/>
                <w:color w:val="auto"/>
              </w:rPr>
            </w:pPr>
            <w:r>
              <w:rPr>
                <w:rFonts w:ascii="Arial" w:cs="Arial" w:eastAsia="Arial" w:hAnsi="Arial"/>
                <w:sz w:val="18"/>
                <w:szCs w:val="18"/>
                <w:color w:val="auto"/>
              </w:rPr>
              <w:t>ERISA</w:t>
            </w:r>
          </w:p>
        </w:tc>
        <w:tc>
          <w:tcPr>
            <w:tcW w:w="400" w:type="dxa"/>
            <w:vAlign w:val="bottom"/>
            <w:gridSpan w:val="5"/>
          </w:tcPr>
          <w:p>
            <w:pPr>
              <w:jc w:val="right"/>
              <w:spacing w:after="0" w:line="176" w:lineRule="exact"/>
              <w:rPr>
                <w:sz w:val="20"/>
                <w:szCs w:val="20"/>
                <w:color w:val="auto"/>
              </w:rPr>
            </w:pPr>
            <w:r>
              <w:rPr>
                <w:rFonts w:ascii="Arial" w:cs="Arial" w:eastAsia="Arial" w:hAnsi="Arial"/>
                <w:sz w:val="18"/>
                <w:szCs w:val="18"/>
                <w:color w:val="FF0000"/>
                <w:strike w:val="1"/>
              </w:rPr>
              <w:t>104</w:t>
            </w:r>
          </w:p>
        </w:tc>
        <w:tc>
          <w:tcPr>
            <w:tcW w:w="260" w:type="dxa"/>
            <w:vAlign w:val="bottom"/>
            <w:tcBorders>
              <w:bottom w:val="single" w:sz="8" w:color="0000FF"/>
            </w:tcBorders>
            <w:gridSpan w:val="7"/>
            <w:shd w:val="clear" w:color="auto" w:fill="DDDDDD"/>
          </w:tcPr>
          <w:p>
            <w:pPr>
              <w:spacing w:after="0" w:line="176" w:lineRule="exact"/>
              <w:rPr>
                <w:sz w:val="20"/>
                <w:szCs w:val="20"/>
                <w:color w:val="auto"/>
              </w:rPr>
            </w:pPr>
            <w:r>
              <w:rPr>
                <w:rFonts w:ascii="Arial" w:cs="Arial" w:eastAsia="Arial" w:hAnsi="Arial"/>
                <w:sz w:val="18"/>
                <w:szCs w:val="18"/>
                <w:color w:val="0000FF"/>
                <w:highlight w:val="lightGray"/>
                <w:w w:val="73"/>
              </w:rPr>
              <w:t>107</w:t>
            </w:r>
          </w:p>
        </w:tc>
        <w:tc>
          <w:tcPr>
            <w:tcW w:w="4240" w:type="dxa"/>
            <w:vAlign w:val="bottom"/>
            <w:gridSpan w:val="8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3.11</w:t>
            </w:r>
          </w:p>
        </w:tc>
        <w:tc>
          <w:tcPr>
            <w:tcW w:w="940" w:type="dxa"/>
            <w:vAlign w:val="bottom"/>
            <w:gridSpan w:val="3"/>
            <w:vMerge w:val="restart"/>
          </w:tcPr>
          <w:p>
            <w:pPr>
              <w:ind w:left="80"/>
              <w:spacing w:after="0" w:line="176" w:lineRule="exact"/>
              <w:rPr>
                <w:sz w:val="20"/>
                <w:szCs w:val="20"/>
                <w:color w:val="auto"/>
              </w:rPr>
            </w:pPr>
            <w:r>
              <w:rPr>
                <w:rFonts w:ascii="Arial" w:cs="Arial" w:eastAsia="Arial" w:hAnsi="Arial"/>
                <w:sz w:val="18"/>
                <w:szCs w:val="18"/>
                <w:color w:val="auto"/>
                <w:w w:val="99"/>
              </w:rPr>
              <w:t>Disclosure</w:t>
            </w:r>
          </w:p>
        </w:tc>
        <w:tc>
          <w:tcPr>
            <w:tcW w:w="120" w:type="dxa"/>
            <w:vAlign w:val="bottom"/>
            <w:gridSpan w:val="3"/>
          </w:tcPr>
          <w:p>
            <w:pPr>
              <w:spacing w:after="0" w:line="20" w:lineRule="exact"/>
              <w:rPr>
                <w:sz w:val="1"/>
                <w:szCs w:val="1"/>
                <w:color w:val="auto"/>
              </w:rPr>
            </w:pPr>
          </w:p>
        </w:tc>
        <w:tc>
          <w:tcPr>
            <w:tcW w:w="240" w:type="dxa"/>
            <w:vAlign w:val="bottom"/>
            <w:tcBorders>
              <w:top w:val="single" w:sz="8" w:color="DDDDDD"/>
            </w:tcBorders>
            <w:gridSpan w:val="6"/>
            <w:vMerge w:val="restart"/>
          </w:tcPr>
          <w:p>
            <w:pPr>
              <w:spacing w:after="0" w:line="176" w:lineRule="exact"/>
              <w:rPr>
                <w:sz w:val="20"/>
                <w:szCs w:val="20"/>
                <w:color w:val="auto"/>
              </w:rPr>
            </w:pPr>
            <w:r>
              <w:rPr>
                <w:rFonts w:ascii="Arial" w:cs="Arial" w:eastAsia="Arial" w:hAnsi="Arial"/>
                <w:sz w:val="18"/>
                <w:szCs w:val="18"/>
                <w:color w:val="FF0000"/>
                <w:strike w:val="1"/>
                <w:w w:val="73"/>
              </w:rPr>
              <w:t>104</w:t>
            </w:r>
          </w:p>
        </w:tc>
        <w:tc>
          <w:tcPr>
            <w:tcW w:w="20" w:type="dxa"/>
            <w:vAlign w:val="bottom"/>
            <w:tcBorders>
              <w:top w:val="single" w:sz="8" w:color="DDDDDD"/>
            </w:tcBorders>
          </w:tcPr>
          <w:p>
            <w:pPr>
              <w:spacing w:after="0" w:line="20" w:lineRule="exact"/>
              <w:rPr>
                <w:sz w:val="1"/>
                <w:szCs w:val="1"/>
                <w:color w:val="auto"/>
              </w:rPr>
            </w:pPr>
          </w:p>
        </w:tc>
        <w:tc>
          <w:tcPr>
            <w:tcW w:w="4240" w:type="dxa"/>
            <w:vAlign w:val="bottom"/>
            <w:gridSpan w:val="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2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20" w:type="dxa"/>
            <w:vAlign w:val="bottom"/>
            <w:gridSpan w:val="3"/>
          </w:tcPr>
          <w:p>
            <w:pPr>
              <w:spacing w:after="0"/>
              <w:rPr>
                <w:sz w:val="14"/>
                <w:szCs w:val="14"/>
                <w:color w:val="auto"/>
              </w:rPr>
            </w:pPr>
          </w:p>
        </w:tc>
        <w:tc>
          <w:tcPr>
            <w:tcW w:w="240" w:type="dxa"/>
            <w:vAlign w:val="bottom"/>
            <w:gridSpan w:val="6"/>
            <w:vMerge w:val="continue"/>
          </w:tcPr>
          <w:p>
            <w:pPr>
              <w:spacing w:after="0"/>
              <w:rPr>
                <w:sz w:val="14"/>
                <w:szCs w:val="14"/>
                <w:color w:val="auto"/>
              </w:rPr>
            </w:pPr>
          </w:p>
        </w:tc>
        <w:tc>
          <w:tcPr>
            <w:tcW w:w="20" w:type="dxa"/>
            <w:vAlign w:val="bottom"/>
            <w:tcBorders>
              <w:bottom w:val="single" w:sz="8" w:color="0000FF"/>
            </w:tcBorders>
            <w:shd w:val="clear" w:color="auto" w:fill="DDDDDD"/>
          </w:tcPr>
          <w:p>
            <w:pPr>
              <w:spacing w:after="0"/>
              <w:rPr>
                <w:sz w:val="14"/>
                <w:szCs w:val="14"/>
                <w:color w:val="auto"/>
              </w:rPr>
            </w:pPr>
          </w:p>
        </w:tc>
        <w:tc>
          <w:tcPr>
            <w:tcW w:w="260" w:type="dxa"/>
            <w:vAlign w:val="bottom"/>
            <w:tcBorders>
              <w:left w:val="single" w:sz="8" w:color="DDDDDD"/>
              <w:bottom w:val="single" w:sz="8" w:color="0000FF"/>
            </w:tcBorders>
            <w:gridSpan w:val="6"/>
            <w:shd w:val="clear" w:color="auto" w:fill="DDDDDD"/>
          </w:tcPr>
          <w:p>
            <w:pPr>
              <w:spacing w:after="0" w:line="156" w:lineRule="exact"/>
              <w:rPr>
                <w:sz w:val="20"/>
                <w:szCs w:val="20"/>
                <w:color w:val="auto"/>
              </w:rPr>
            </w:pPr>
            <w:r>
              <w:rPr>
                <w:rFonts w:ascii="Arial" w:cs="Arial" w:eastAsia="Arial" w:hAnsi="Arial"/>
                <w:sz w:val="18"/>
                <w:szCs w:val="18"/>
                <w:color w:val="0000FF"/>
                <w:highlight w:val="lightGray"/>
                <w:w w:val="73"/>
              </w:rPr>
              <w:t>108</w:t>
            </w:r>
          </w:p>
        </w:tc>
        <w:tc>
          <w:tcPr>
            <w:tcW w:w="3980" w:type="dxa"/>
            <w:vAlign w:val="bottom"/>
            <w:gridSpan w:val="7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89" w:lineRule="exact"/>
              <w:rPr>
                <w:sz w:val="20"/>
                <w:szCs w:val="20"/>
                <w:color w:val="auto"/>
              </w:rPr>
            </w:pPr>
            <w:r>
              <w:rPr>
                <w:rFonts w:ascii="Arial" w:cs="Arial" w:eastAsia="Arial" w:hAnsi="Arial"/>
                <w:sz w:val="18"/>
                <w:szCs w:val="18"/>
                <w:color w:val="auto"/>
                <w:w w:val="99"/>
              </w:rPr>
              <w:t>SECTION 3.12</w:t>
            </w:r>
          </w:p>
        </w:tc>
        <w:tc>
          <w:tcPr>
            <w:tcW w:w="1100" w:type="dxa"/>
            <w:vAlign w:val="bottom"/>
            <w:gridSpan w:val="8"/>
          </w:tcPr>
          <w:p>
            <w:pPr>
              <w:ind w:left="80"/>
              <w:spacing w:after="0" w:line="189" w:lineRule="exact"/>
              <w:rPr>
                <w:sz w:val="20"/>
                <w:szCs w:val="20"/>
                <w:color w:val="auto"/>
              </w:rPr>
            </w:pPr>
            <w:r>
              <w:rPr>
                <w:rFonts w:ascii="Arial" w:cs="Arial" w:eastAsia="Arial" w:hAnsi="Arial"/>
                <w:sz w:val="18"/>
                <w:szCs w:val="18"/>
                <w:color w:val="auto"/>
                <w:w w:val="99"/>
              </w:rPr>
              <w:t>Subsidiaries</w:t>
            </w:r>
          </w:p>
        </w:tc>
        <w:tc>
          <w:tcPr>
            <w:tcW w:w="380" w:type="dxa"/>
            <w:vAlign w:val="bottom"/>
            <w:tcBorders>
              <w:right w:val="single" w:sz="8" w:color="DDDDDD"/>
            </w:tcBorders>
            <w:gridSpan w:val="8"/>
          </w:tcPr>
          <w:p>
            <w:pPr>
              <w:jc w:val="right"/>
              <w:ind w:right="60"/>
              <w:spacing w:after="0" w:line="189" w:lineRule="exact"/>
              <w:rPr>
                <w:sz w:val="20"/>
                <w:szCs w:val="20"/>
                <w:color w:val="auto"/>
              </w:rPr>
            </w:pPr>
            <w:r>
              <w:rPr>
                <w:rFonts w:ascii="Arial" w:cs="Arial" w:eastAsia="Arial" w:hAnsi="Arial"/>
                <w:sz w:val="18"/>
                <w:szCs w:val="18"/>
                <w:color w:val="FF0000"/>
                <w:strike w:val="1"/>
                <w:w w:val="99"/>
              </w:rPr>
              <w:t>105</w:t>
            </w:r>
          </w:p>
        </w:tc>
        <w:tc>
          <w:tcPr>
            <w:tcW w:w="220" w:type="dxa"/>
            <w:vAlign w:val="bottom"/>
            <w:tcBorders>
              <w:bottom w:val="single" w:sz="8" w:color="0000FF"/>
              <w:right w:val="single" w:sz="8" w:color="DDDDDD"/>
            </w:tcBorders>
            <w:gridSpan w:val="6"/>
            <w:shd w:val="clear" w:color="auto" w:fill="DDDDDD"/>
          </w:tcPr>
          <w:p>
            <w:pPr>
              <w:jc w:val="right"/>
              <w:spacing w:after="0"/>
              <w:rPr>
                <w:sz w:val="20"/>
                <w:szCs w:val="20"/>
                <w:color w:val="auto"/>
              </w:rPr>
            </w:pPr>
            <w:r>
              <w:rPr>
                <w:rFonts w:ascii="Arial" w:cs="Arial" w:eastAsia="Arial" w:hAnsi="Arial"/>
                <w:sz w:val="15"/>
                <w:szCs w:val="15"/>
                <w:color w:val="0000FF"/>
                <w:highlight w:val="lightGray"/>
                <w:w w:val="71"/>
              </w:rPr>
              <w:t>108</w:t>
            </w:r>
          </w:p>
        </w:tc>
        <w:tc>
          <w:tcPr>
            <w:tcW w:w="1140" w:type="dxa"/>
            <w:vAlign w:val="bottom"/>
            <w:gridSpan w:val="32"/>
            <w:vMerge w:val="restart"/>
          </w:tcPr>
          <w:p>
            <w:pPr>
              <w:spacing w:after="0"/>
              <w:rPr>
                <w:sz w:val="20"/>
                <w:szCs w:val="20"/>
                <w:color w:val="auto"/>
              </w:rPr>
            </w:pPr>
            <w:r>
              <w:rPr>
                <w:rFonts w:ascii="Arial" w:cs="Arial" w:eastAsia="Arial" w:hAnsi="Arial"/>
                <w:sz w:val="18"/>
                <w:szCs w:val="18"/>
                <w:color w:val="auto"/>
                <w:w w:val="99"/>
              </w:rPr>
              <w:t>Licenses, Etc.</w:t>
            </w:r>
          </w:p>
        </w:tc>
        <w:tc>
          <w:tcPr>
            <w:tcW w:w="260" w:type="dxa"/>
            <w:vAlign w:val="bottom"/>
            <w:gridSpan w:val="8"/>
            <w:vMerge w:val="restart"/>
          </w:tcPr>
          <w:p>
            <w:pPr>
              <w:jc w:val="right"/>
              <w:spacing w:after="0"/>
              <w:rPr>
                <w:sz w:val="20"/>
                <w:szCs w:val="20"/>
                <w:color w:val="auto"/>
              </w:rPr>
            </w:pPr>
            <w:r>
              <w:rPr>
                <w:rFonts w:ascii="Arial" w:cs="Arial" w:eastAsia="Arial" w:hAnsi="Arial"/>
                <w:sz w:val="18"/>
                <w:szCs w:val="18"/>
                <w:color w:val="FF0000"/>
                <w:strike w:val="1"/>
                <w:w w:val="79"/>
              </w:rPr>
              <w:t>105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20" w:type="dxa"/>
            <w:vAlign w:val="bottom"/>
            <w:gridSpan w:val="23"/>
          </w:tcPr>
          <w:p>
            <w:pPr>
              <w:spacing w:after="0" w:line="176" w:lineRule="exact"/>
              <w:rPr>
                <w:sz w:val="20"/>
                <w:szCs w:val="20"/>
                <w:color w:val="auto"/>
              </w:rPr>
            </w:pPr>
            <w:r>
              <w:rPr>
                <w:rFonts w:ascii="Arial" w:cs="Arial" w:eastAsia="Arial" w:hAnsi="Arial"/>
                <w:sz w:val="18"/>
                <w:szCs w:val="18"/>
                <w:color w:val="auto"/>
                <w:w w:val="97"/>
              </w:rPr>
              <w:t>SECTION 3.13  Intellectual Property;</w:t>
            </w:r>
          </w:p>
        </w:tc>
        <w:tc>
          <w:tcPr>
            <w:tcW w:w="1140" w:type="dxa"/>
            <w:vAlign w:val="bottom"/>
            <w:gridSpan w:val="32"/>
            <w:vMerge w:val="continue"/>
          </w:tcPr>
          <w:p>
            <w:pPr>
              <w:spacing w:after="0"/>
              <w:rPr>
                <w:sz w:val="17"/>
                <w:szCs w:val="17"/>
                <w:color w:val="auto"/>
              </w:rPr>
            </w:pPr>
          </w:p>
        </w:tc>
        <w:tc>
          <w:tcPr>
            <w:tcW w:w="260" w:type="dxa"/>
            <w:vAlign w:val="bottom"/>
            <w:gridSpan w:val="8"/>
            <w:vMerge w:val="continue"/>
          </w:tcPr>
          <w:p>
            <w:pPr>
              <w:spacing w:after="0"/>
              <w:rPr>
                <w:sz w:val="17"/>
                <w:szCs w:val="17"/>
                <w:color w:val="auto"/>
              </w:rPr>
            </w:pPr>
          </w:p>
        </w:tc>
        <w:tc>
          <w:tcPr>
            <w:tcW w:w="280" w:type="dxa"/>
            <w:vAlign w:val="bottom"/>
            <w:tcBorders>
              <w:bottom w:val="single" w:sz="8" w:color="0000FF"/>
              <w:right w:val="single" w:sz="8" w:color="DDDDDD"/>
            </w:tcBorders>
            <w:gridSpan w:val="7"/>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86"/>
              </w:rPr>
              <w:t>108</w:t>
            </w:r>
          </w:p>
        </w:tc>
        <w:tc>
          <w:tcPr>
            <w:tcW w:w="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3.14</w:t>
            </w:r>
          </w:p>
        </w:tc>
        <w:tc>
          <w:tcPr>
            <w:tcW w:w="940" w:type="dxa"/>
            <w:vAlign w:val="bottom"/>
            <w:gridSpan w:val="3"/>
            <w:vMerge w:val="restart"/>
          </w:tcPr>
          <w:p>
            <w:pPr>
              <w:ind w:left="80"/>
              <w:spacing w:after="0" w:line="176" w:lineRule="exact"/>
              <w:rPr>
                <w:sz w:val="20"/>
                <w:szCs w:val="20"/>
                <w:color w:val="auto"/>
              </w:rPr>
            </w:pPr>
            <w:r>
              <w:rPr>
                <w:rFonts w:ascii="Arial" w:cs="Arial" w:eastAsia="Arial" w:hAnsi="Arial"/>
                <w:sz w:val="18"/>
                <w:szCs w:val="18"/>
                <w:color w:val="auto"/>
              </w:rPr>
              <w:t>Solvency</w:t>
            </w:r>
          </w:p>
        </w:tc>
        <w:tc>
          <w:tcPr>
            <w:tcW w:w="260" w:type="dxa"/>
            <w:vAlign w:val="bottom"/>
            <w:gridSpan w:val="6"/>
            <w:vMerge w:val="restart"/>
          </w:tcPr>
          <w:p>
            <w:pPr>
              <w:jc w:val="right"/>
              <w:spacing w:after="0" w:line="176" w:lineRule="exact"/>
              <w:rPr>
                <w:sz w:val="20"/>
                <w:szCs w:val="20"/>
                <w:color w:val="auto"/>
              </w:rPr>
            </w:pPr>
            <w:r>
              <w:rPr>
                <w:rFonts w:ascii="Arial" w:cs="Arial" w:eastAsia="Arial" w:hAnsi="Arial"/>
                <w:sz w:val="18"/>
                <w:szCs w:val="18"/>
                <w:color w:val="FF0000"/>
                <w:strike w:val="1"/>
                <w:w w:val="79"/>
              </w:rPr>
              <w:t>105</w:t>
            </w:r>
          </w:p>
        </w:tc>
        <w:tc>
          <w:tcPr>
            <w:tcW w:w="280" w:type="dxa"/>
            <w:vAlign w:val="bottom"/>
            <w:gridSpan w:val="7"/>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560" w:type="dxa"/>
            <w:vAlign w:val="bottom"/>
            <w:gridSpan w:val="45"/>
          </w:tcPr>
          <w:p>
            <w:pPr>
              <w:spacing w:after="0" w:line="20" w:lineRule="exact"/>
              <w:rPr>
                <w:sz w:val="1"/>
                <w:szCs w:val="1"/>
                <w:color w:val="auto"/>
              </w:rPr>
            </w:pPr>
          </w:p>
        </w:tc>
        <w:tc>
          <w:tcPr>
            <w:tcW w:w="280" w:type="dxa"/>
            <w:vAlign w:val="bottom"/>
            <w:tcBorders>
              <w:top w:val="single" w:sz="8" w:color="DDDDDD"/>
            </w:tcBorders>
            <w:gridSpan w:val="7"/>
          </w:tcPr>
          <w:p>
            <w:pPr>
              <w:spacing w:after="0" w:line="20" w:lineRule="exact"/>
              <w:rPr>
                <w:sz w:val="1"/>
                <w:szCs w:val="1"/>
                <w:color w:val="auto"/>
              </w:rPr>
            </w:pPr>
          </w:p>
        </w:tc>
        <w:tc>
          <w:tcPr>
            <w:tcW w:w="218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2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60" w:type="dxa"/>
            <w:vAlign w:val="bottom"/>
            <w:gridSpan w:val="6"/>
            <w:vMerge w:val="continue"/>
          </w:tcPr>
          <w:p>
            <w:pPr>
              <w:spacing w:after="0"/>
              <w:rPr>
                <w:sz w:val="14"/>
                <w:szCs w:val="14"/>
                <w:color w:val="auto"/>
              </w:rPr>
            </w:pPr>
          </w:p>
        </w:tc>
        <w:tc>
          <w:tcPr>
            <w:tcW w:w="280" w:type="dxa"/>
            <w:vAlign w:val="bottom"/>
            <w:tcBorders>
              <w:bottom w:val="single" w:sz="8" w:color="0000FF"/>
              <w:right w:val="single" w:sz="8" w:color="DDDDDD"/>
            </w:tcBorders>
            <w:gridSpan w:val="7"/>
            <w:shd w:val="clear" w:color="auto" w:fill="DDDDDD"/>
          </w:tcPr>
          <w:p>
            <w:pPr>
              <w:jc w:val="right"/>
              <w:spacing w:after="0" w:line="156" w:lineRule="exact"/>
              <w:rPr>
                <w:sz w:val="20"/>
                <w:szCs w:val="20"/>
                <w:color w:val="auto"/>
              </w:rPr>
            </w:pPr>
            <w:r>
              <w:rPr>
                <w:rFonts w:ascii="Arial" w:cs="Arial" w:eastAsia="Arial" w:hAnsi="Arial"/>
                <w:sz w:val="18"/>
                <w:szCs w:val="18"/>
                <w:color w:val="0000FF"/>
                <w:highlight w:val="lightGray"/>
                <w:w w:val="86"/>
              </w:rPr>
              <w:t>108</w:t>
            </w:r>
          </w:p>
        </w:tc>
        <w:tc>
          <w:tcPr>
            <w:tcW w:w="60" w:type="dxa"/>
            <w:vAlign w:val="bottom"/>
            <w:tcBorders>
              <w:bottom w:val="single" w:sz="8" w:color="0000FF"/>
            </w:tcBorders>
            <w:vMerge w:val="continue"/>
          </w:tcPr>
          <w:p>
            <w:pPr>
              <w:spacing w:after="0"/>
              <w:rPr>
                <w:sz w:val="14"/>
                <w:szCs w:val="14"/>
                <w:color w:val="auto"/>
              </w:rPr>
            </w:pPr>
          </w:p>
        </w:tc>
        <w:tc>
          <w:tcPr>
            <w:tcW w:w="4020" w:type="dxa"/>
            <w:vAlign w:val="bottom"/>
            <w:gridSpan w:val="78"/>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89" w:lineRule="exact"/>
              <w:rPr>
                <w:sz w:val="20"/>
                <w:szCs w:val="20"/>
                <w:color w:val="auto"/>
              </w:rPr>
            </w:pPr>
            <w:r>
              <w:rPr>
                <w:rFonts w:ascii="Arial" w:cs="Arial" w:eastAsia="Arial" w:hAnsi="Arial"/>
                <w:sz w:val="18"/>
                <w:szCs w:val="18"/>
                <w:color w:val="auto"/>
                <w:w w:val="99"/>
              </w:rPr>
              <w:t>SECTION 3.15</w:t>
            </w:r>
          </w:p>
        </w:tc>
        <w:tc>
          <w:tcPr>
            <w:tcW w:w="1060" w:type="dxa"/>
            <w:vAlign w:val="bottom"/>
            <w:gridSpan w:val="6"/>
          </w:tcPr>
          <w:p>
            <w:pPr>
              <w:ind w:left="80"/>
              <w:spacing w:after="0" w:line="189" w:lineRule="exact"/>
              <w:rPr>
                <w:sz w:val="20"/>
                <w:szCs w:val="20"/>
                <w:color w:val="auto"/>
              </w:rPr>
            </w:pPr>
            <w:r>
              <w:rPr>
                <w:rFonts w:ascii="Arial" w:cs="Arial" w:eastAsia="Arial" w:hAnsi="Arial"/>
                <w:sz w:val="18"/>
                <w:szCs w:val="18"/>
                <w:color w:val="auto"/>
                <w:w w:val="96"/>
              </w:rPr>
              <w:t>[Reserved]</w:t>
            </w:r>
          </w:p>
        </w:tc>
        <w:tc>
          <w:tcPr>
            <w:tcW w:w="260" w:type="dxa"/>
            <w:vAlign w:val="bottom"/>
            <w:gridSpan w:val="7"/>
          </w:tcPr>
          <w:p>
            <w:pPr>
              <w:spacing w:after="0" w:line="189" w:lineRule="exact"/>
              <w:rPr>
                <w:sz w:val="20"/>
                <w:szCs w:val="20"/>
                <w:color w:val="auto"/>
              </w:rPr>
            </w:pPr>
            <w:r>
              <w:rPr>
                <w:rFonts w:ascii="Arial" w:cs="Arial" w:eastAsia="Arial" w:hAnsi="Arial"/>
                <w:sz w:val="18"/>
                <w:szCs w:val="18"/>
                <w:color w:val="FF0000"/>
                <w:strike w:val="1"/>
                <w:w w:val="73"/>
              </w:rPr>
              <w:t>105</w:t>
            </w:r>
          </w:p>
        </w:tc>
        <w:tc>
          <w:tcPr>
            <w:tcW w:w="280" w:type="dxa"/>
            <w:vAlign w:val="bottom"/>
            <w:tcBorders>
              <w:left w:val="single" w:sz="8" w:color="DDDDDD"/>
              <w:bottom w:val="single" w:sz="8" w:color="0000FF"/>
            </w:tcBorders>
            <w:gridSpan w:val="7"/>
            <w:shd w:val="clear" w:color="auto" w:fill="DDDDDD"/>
          </w:tcPr>
          <w:p>
            <w:pPr>
              <w:spacing w:after="0" w:line="189" w:lineRule="exact"/>
              <w:rPr>
                <w:sz w:val="20"/>
                <w:szCs w:val="20"/>
                <w:color w:val="auto"/>
              </w:rPr>
            </w:pPr>
            <w:r>
              <w:rPr>
                <w:rFonts w:ascii="Arial" w:cs="Arial" w:eastAsia="Arial" w:hAnsi="Arial"/>
                <w:sz w:val="18"/>
                <w:szCs w:val="18"/>
                <w:color w:val="0000FF"/>
                <w:highlight w:val="lightGray"/>
                <w:w w:val="86"/>
              </w:rPr>
              <w:t>108</w:t>
            </w:r>
          </w:p>
        </w:tc>
        <w:tc>
          <w:tcPr>
            <w:tcW w:w="3960" w:type="dxa"/>
            <w:vAlign w:val="bottom"/>
            <w:gridSpan w:val="7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3.16</w:t>
            </w:r>
          </w:p>
        </w:tc>
        <w:tc>
          <w:tcPr>
            <w:tcW w:w="1320" w:type="dxa"/>
            <w:vAlign w:val="bottom"/>
            <w:gridSpan w:val="13"/>
          </w:tcPr>
          <w:p>
            <w:pPr>
              <w:ind w:left="80"/>
              <w:spacing w:after="0" w:line="176" w:lineRule="exact"/>
              <w:rPr>
                <w:sz w:val="20"/>
                <w:szCs w:val="20"/>
                <w:color w:val="auto"/>
              </w:rPr>
            </w:pPr>
            <w:r>
              <w:rPr>
                <w:rFonts w:ascii="Arial" w:cs="Arial" w:eastAsia="Arial" w:hAnsi="Arial"/>
                <w:sz w:val="18"/>
                <w:szCs w:val="18"/>
                <w:color w:val="auto"/>
                <w:w w:val="90"/>
              </w:rPr>
              <w:t>Federal Reserve</w:t>
            </w:r>
          </w:p>
        </w:tc>
        <w:tc>
          <w:tcPr>
            <w:tcW w:w="1020" w:type="dxa"/>
            <w:vAlign w:val="bottom"/>
            <w:gridSpan w:val="25"/>
          </w:tcPr>
          <w:p>
            <w:pPr>
              <w:spacing w:after="0" w:line="176" w:lineRule="exact"/>
              <w:rPr>
                <w:sz w:val="20"/>
                <w:szCs w:val="20"/>
                <w:color w:val="auto"/>
              </w:rPr>
            </w:pPr>
            <w:r>
              <w:rPr>
                <w:rFonts w:ascii="Arial" w:cs="Arial" w:eastAsia="Arial" w:hAnsi="Arial"/>
                <w:sz w:val="18"/>
                <w:szCs w:val="18"/>
                <w:color w:val="auto"/>
              </w:rPr>
              <w:t>Regulations</w:t>
            </w:r>
          </w:p>
        </w:tc>
        <w:tc>
          <w:tcPr>
            <w:tcW w:w="260" w:type="dxa"/>
            <w:vAlign w:val="bottom"/>
            <w:gridSpan w:val="9"/>
          </w:tcPr>
          <w:p>
            <w:pPr>
              <w:jc w:val="right"/>
              <w:spacing w:after="0" w:line="176" w:lineRule="exact"/>
              <w:rPr>
                <w:sz w:val="20"/>
                <w:szCs w:val="20"/>
                <w:color w:val="auto"/>
              </w:rPr>
            </w:pPr>
            <w:r>
              <w:rPr>
                <w:rFonts w:ascii="Arial" w:cs="Arial" w:eastAsia="Arial" w:hAnsi="Arial"/>
                <w:sz w:val="18"/>
                <w:szCs w:val="18"/>
                <w:color w:val="FF0000"/>
                <w:strike w:val="1"/>
                <w:w w:val="79"/>
              </w:rPr>
              <w:t>105</w:t>
            </w:r>
          </w:p>
        </w:tc>
        <w:tc>
          <w:tcPr>
            <w:tcW w:w="280" w:type="dxa"/>
            <w:vAlign w:val="bottom"/>
            <w:tcBorders>
              <w:bottom w:val="single" w:sz="8" w:color="0000FF"/>
            </w:tcBorders>
            <w:gridSpan w:val="8"/>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86"/>
              </w:rPr>
              <w:t>108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3.17</w:t>
            </w:r>
          </w:p>
        </w:tc>
        <w:tc>
          <w:tcPr>
            <w:tcW w:w="1480" w:type="dxa"/>
            <w:vAlign w:val="bottom"/>
            <w:gridSpan w:val="16"/>
          </w:tcPr>
          <w:p>
            <w:pPr>
              <w:ind w:left="80"/>
              <w:spacing w:after="0" w:line="176" w:lineRule="exact"/>
              <w:rPr>
                <w:sz w:val="20"/>
                <w:szCs w:val="20"/>
                <w:color w:val="auto"/>
              </w:rPr>
            </w:pPr>
            <w:r>
              <w:rPr>
                <w:rFonts w:ascii="Arial" w:cs="Arial" w:eastAsia="Arial" w:hAnsi="Arial"/>
                <w:sz w:val="18"/>
                <w:szCs w:val="18"/>
                <w:color w:val="auto"/>
                <w:w w:val="88"/>
              </w:rPr>
              <w:t>Use of Proceeds</w:t>
            </w:r>
          </w:p>
        </w:tc>
        <w:tc>
          <w:tcPr>
            <w:tcW w:w="240" w:type="dxa"/>
            <w:vAlign w:val="bottom"/>
            <w:gridSpan w:val="7"/>
          </w:tcPr>
          <w:p>
            <w:pPr>
              <w:jc w:val="right"/>
              <w:spacing w:after="0" w:line="176" w:lineRule="exact"/>
              <w:rPr>
                <w:sz w:val="20"/>
                <w:szCs w:val="20"/>
                <w:color w:val="auto"/>
              </w:rPr>
            </w:pPr>
            <w:r>
              <w:rPr>
                <w:rFonts w:ascii="Arial" w:cs="Arial" w:eastAsia="Arial" w:hAnsi="Arial"/>
                <w:sz w:val="17"/>
                <w:szCs w:val="17"/>
                <w:color w:val="FF0000"/>
                <w:strike w:val="1"/>
                <w:w w:val="70"/>
              </w:rPr>
              <w:t>105</w:t>
            </w:r>
          </w:p>
        </w:tc>
        <w:tc>
          <w:tcPr>
            <w:tcW w:w="240" w:type="dxa"/>
            <w:vAlign w:val="bottom"/>
            <w:tcBorders>
              <w:bottom w:val="single" w:sz="8" w:color="0000FF"/>
            </w:tcBorders>
            <w:gridSpan w:val="5"/>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108</w:t>
            </w:r>
          </w:p>
        </w:tc>
        <w:tc>
          <w:tcPr>
            <w:tcW w:w="3600" w:type="dxa"/>
            <w:vAlign w:val="bottom"/>
            <w:gridSpan w:val="6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3.18</w:t>
            </w:r>
          </w:p>
        </w:tc>
        <w:tc>
          <w:tcPr>
            <w:tcW w:w="1720" w:type="dxa"/>
            <w:vAlign w:val="bottom"/>
            <w:gridSpan w:val="23"/>
            <w:vMerge w:val="restart"/>
          </w:tcPr>
          <w:p>
            <w:pPr>
              <w:ind w:left="80"/>
              <w:spacing w:after="0" w:line="176" w:lineRule="exact"/>
              <w:rPr>
                <w:sz w:val="20"/>
                <w:szCs w:val="20"/>
                <w:color w:val="auto"/>
              </w:rPr>
            </w:pPr>
            <w:r>
              <w:rPr>
                <w:rFonts w:ascii="Arial" w:cs="Arial" w:eastAsia="Arial" w:hAnsi="Arial"/>
                <w:sz w:val="18"/>
                <w:szCs w:val="18"/>
                <w:color w:val="auto"/>
                <w:w w:val="95"/>
              </w:rPr>
              <w:t>PATRIOT Act, OFAC</w:t>
            </w:r>
          </w:p>
        </w:tc>
        <w:tc>
          <w:tcPr>
            <w:tcW w:w="240" w:type="dxa"/>
            <w:vAlign w:val="bottom"/>
            <w:tcBorders>
              <w:top w:val="single" w:sz="8" w:color="DDDDDD"/>
            </w:tcBorders>
            <w:gridSpan w:val="5"/>
            <w:vMerge w:val="restart"/>
          </w:tcPr>
          <w:p>
            <w:pPr>
              <w:spacing w:after="0" w:line="176" w:lineRule="exact"/>
              <w:rPr>
                <w:sz w:val="20"/>
                <w:szCs w:val="20"/>
                <w:color w:val="auto"/>
              </w:rPr>
            </w:pPr>
            <w:r>
              <w:rPr>
                <w:rFonts w:ascii="Arial" w:cs="Arial" w:eastAsia="Arial" w:hAnsi="Arial"/>
                <w:sz w:val="17"/>
                <w:szCs w:val="17"/>
                <w:color w:val="auto"/>
                <w:w w:val="70"/>
              </w:rPr>
              <w:t>and</w:t>
            </w:r>
          </w:p>
        </w:tc>
        <w:tc>
          <w:tcPr>
            <w:tcW w:w="600" w:type="dxa"/>
            <w:vAlign w:val="bottom"/>
            <w:gridSpan w:val="17"/>
            <w:vMerge w:val="restart"/>
          </w:tcPr>
          <w:p>
            <w:pPr>
              <w:jc w:val="right"/>
              <w:ind w:right="30"/>
              <w:spacing w:after="0" w:line="176" w:lineRule="exact"/>
              <w:rPr>
                <w:sz w:val="20"/>
                <w:szCs w:val="20"/>
                <w:color w:val="auto"/>
              </w:rPr>
            </w:pPr>
            <w:r>
              <w:rPr>
                <w:rFonts w:ascii="Arial" w:cs="Arial" w:eastAsia="Arial" w:hAnsi="Arial"/>
                <w:sz w:val="18"/>
                <w:szCs w:val="18"/>
                <w:color w:val="auto"/>
                <w:w w:val="95"/>
              </w:rPr>
              <w:t>FCPA</w:t>
            </w:r>
          </w:p>
        </w:tc>
        <w:tc>
          <w:tcPr>
            <w:tcW w:w="40" w:type="dxa"/>
            <w:vAlign w:val="bottom"/>
            <w:gridSpan w:val="2"/>
          </w:tcPr>
          <w:p>
            <w:pPr>
              <w:spacing w:after="0" w:line="20" w:lineRule="exact"/>
              <w:rPr>
                <w:sz w:val="1"/>
                <w:szCs w:val="1"/>
                <w:color w:val="auto"/>
              </w:rPr>
            </w:pPr>
          </w:p>
        </w:tc>
        <w:tc>
          <w:tcPr>
            <w:tcW w:w="300" w:type="dxa"/>
            <w:vAlign w:val="bottom"/>
            <w:gridSpan w:val="9"/>
            <w:vMerge w:val="restart"/>
          </w:tcPr>
          <w:p>
            <w:pPr>
              <w:jc w:val="right"/>
              <w:spacing w:after="0" w:line="176" w:lineRule="exact"/>
              <w:rPr>
                <w:sz w:val="20"/>
                <w:szCs w:val="20"/>
                <w:color w:val="auto"/>
              </w:rPr>
            </w:pPr>
            <w:r>
              <w:rPr>
                <w:rFonts w:ascii="Arial" w:cs="Arial" w:eastAsia="Arial" w:hAnsi="Arial"/>
                <w:sz w:val="18"/>
                <w:szCs w:val="18"/>
                <w:color w:val="FF0000"/>
                <w:strike w:val="1"/>
                <w:w w:val="93"/>
              </w:rPr>
              <w:t>105</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9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20" w:type="dxa"/>
            <w:vAlign w:val="bottom"/>
            <w:vMerge w:val="continue"/>
          </w:tcPr>
          <w:p>
            <w:pPr>
              <w:spacing w:after="0"/>
              <w:rPr>
                <w:sz w:val="14"/>
                <w:szCs w:val="14"/>
                <w:color w:val="auto"/>
              </w:rPr>
            </w:pPr>
          </w:p>
        </w:tc>
        <w:tc>
          <w:tcPr>
            <w:tcW w:w="1720" w:type="dxa"/>
            <w:vAlign w:val="bottom"/>
            <w:gridSpan w:val="23"/>
            <w:vMerge w:val="continue"/>
          </w:tcPr>
          <w:p>
            <w:pPr>
              <w:spacing w:after="0"/>
              <w:rPr>
                <w:sz w:val="14"/>
                <w:szCs w:val="14"/>
                <w:color w:val="auto"/>
              </w:rPr>
            </w:pPr>
          </w:p>
        </w:tc>
        <w:tc>
          <w:tcPr>
            <w:tcW w:w="240" w:type="dxa"/>
            <w:vAlign w:val="bottom"/>
            <w:gridSpan w:val="5"/>
            <w:vMerge w:val="continue"/>
          </w:tcPr>
          <w:p>
            <w:pPr>
              <w:spacing w:after="0"/>
              <w:rPr>
                <w:sz w:val="14"/>
                <w:szCs w:val="14"/>
                <w:color w:val="auto"/>
              </w:rPr>
            </w:pPr>
          </w:p>
        </w:tc>
        <w:tc>
          <w:tcPr>
            <w:tcW w:w="600" w:type="dxa"/>
            <w:vAlign w:val="bottom"/>
            <w:gridSpan w:val="17"/>
            <w:vMerge w:val="continue"/>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gridSpan w:val="9"/>
            <w:vMerge w:val="continue"/>
          </w:tcPr>
          <w:p>
            <w:pPr>
              <w:spacing w:after="0"/>
              <w:rPr>
                <w:sz w:val="14"/>
                <w:szCs w:val="14"/>
                <w:color w:val="auto"/>
              </w:rPr>
            </w:pPr>
          </w:p>
        </w:tc>
        <w:tc>
          <w:tcPr>
            <w:tcW w:w="260" w:type="dxa"/>
            <w:vAlign w:val="bottom"/>
            <w:gridSpan w:val="7"/>
            <w:shd w:val="clear" w:color="auto" w:fill="DDDDDD"/>
          </w:tcPr>
          <w:p>
            <w:pPr>
              <w:jc w:val="right"/>
              <w:spacing w:after="0" w:line="156" w:lineRule="exact"/>
              <w:rPr>
                <w:sz w:val="20"/>
                <w:szCs w:val="20"/>
                <w:color w:val="auto"/>
              </w:rPr>
            </w:pPr>
            <w:r>
              <w:rPr>
                <w:rFonts w:ascii="Arial" w:cs="Arial" w:eastAsia="Arial" w:hAnsi="Arial"/>
                <w:sz w:val="18"/>
                <w:szCs w:val="18"/>
                <w:color w:val="0000FF"/>
                <w:highlight w:val="lightGray"/>
                <w:w w:val="79"/>
              </w:rPr>
              <w:t>109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16"/>
            <w:vMerge w:val="restart"/>
          </w:tcPr>
          <w:p>
            <w:pPr>
              <w:jc w:val="center"/>
              <w:ind w:right="520"/>
              <w:spacing w:after="0"/>
              <w:rPr>
                <w:sz w:val="20"/>
                <w:szCs w:val="20"/>
                <w:color w:val="auto"/>
              </w:rPr>
            </w:pPr>
            <w:r>
              <w:rPr>
                <w:rFonts w:ascii="Arial" w:cs="Arial" w:eastAsia="Arial" w:hAnsi="Arial"/>
                <w:sz w:val="18"/>
                <w:szCs w:val="18"/>
                <w:color w:val="010000"/>
                <w:w w:val="99"/>
              </w:rPr>
              <w:t>ARTICLE IV</w:t>
            </w:r>
          </w:p>
        </w:tc>
        <w:tc>
          <w:tcPr>
            <w:tcW w:w="0" w:type="dxa"/>
            <w:vAlign w:val="bottom"/>
          </w:tcPr>
          <w:p>
            <w:pPr>
              <w:spacing w:after="0"/>
              <w:rPr>
                <w:sz w:val="1"/>
                <w:szCs w:val="1"/>
                <w:color w:val="auto"/>
              </w:rPr>
            </w:pPr>
          </w:p>
        </w:tc>
      </w:tr>
      <w:tr>
        <w:trPr>
          <w:trHeight w:val="432"/>
        </w:trPr>
        <w:tc>
          <w:tcPr>
            <w:tcW w:w="4100" w:type="dxa"/>
            <w:vAlign w:val="bottom"/>
            <w:gridSpan w:val="56"/>
          </w:tcPr>
          <w:p>
            <w:pPr>
              <w:spacing w:after="0"/>
              <w:rPr>
                <w:sz w:val="24"/>
                <w:szCs w:val="24"/>
                <w:color w:val="auto"/>
              </w:rPr>
            </w:pPr>
          </w:p>
        </w:tc>
        <w:tc>
          <w:tcPr>
            <w:tcW w:w="280" w:type="dxa"/>
            <w:vAlign w:val="bottom"/>
            <w:tcBorders>
              <w:top w:val="single" w:sz="8" w:color="0000FF"/>
            </w:tcBorders>
            <w:gridSpan w:val="8"/>
          </w:tcPr>
          <w:p>
            <w:pPr>
              <w:spacing w:after="0"/>
              <w:rPr>
                <w:sz w:val="24"/>
                <w:szCs w:val="24"/>
                <w:color w:val="auto"/>
              </w:rPr>
            </w:pPr>
          </w:p>
        </w:tc>
        <w:tc>
          <w:tcPr>
            <w:tcW w:w="620" w:type="dxa"/>
            <w:vAlign w:val="bottom"/>
            <w:gridSpan w:val="16"/>
          </w:tcPr>
          <w:p>
            <w:pPr>
              <w:spacing w:after="0"/>
              <w:rPr>
                <w:sz w:val="24"/>
                <w:szCs w:val="24"/>
                <w:color w:val="auto"/>
              </w:rPr>
            </w:pPr>
          </w:p>
        </w:tc>
        <w:tc>
          <w:tcPr>
            <w:tcW w:w="1780" w:type="dxa"/>
            <w:vAlign w:val="bottom"/>
            <w:gridSpan w:val="1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80" w:type="dxa"/>
            <w:vAlign w:val="bottom"/>
            <w:gridSpan w:val="96"/>
          </w:tcPr>
          <w:p>
            <w:pPr>
              <w:spacing w:after="0"/>
              <w:rPr>
                <w:sz w:val="20"/>
                <w:szCs w:val="20"/>
                <w:color w:val="auto"/>
              </w:rPr>
            </w:pPr>
            <w:r>
              <w:rPr>
                <w:rFonts w:ascii="Arial" w:cs="Arial" w:eastAsia="Arial" w:hAnsi="Arial"/>
                <w:sz w:val="18"/>
                <w:szCs w:val="18"/>
                <w:color w:val="auto"/>
              </w:rPr>
              <w:t>CONDITIONS</w:t>
            </w:r>
          </w:p>
        </w:tc>
        <w:tc>
          <w:tcPr>
            <w:tcW w:w="0" w:type="dxa"/>
            <w:vAlign w:val="bottom"/>
          </w:tcPr>
          <w:p>
            <w:pPr>
              <w:spacing w:after="0"/>
              <w:rPr>
                <w:sz w:val="1"/>
                <w:szCs w:val="1"/>
                <w:color w:val="auto"/>
              </w:rPr>
            </w:pPr>
          </w:p>
        </w:tc>
      </w:tr>
      <w:tr>
        <w:trPr>
          <w:trHeight w:val="175"/>
        </w:trPr>
        <w:tc>
          <w:tcPr>
            <w:tcW w:w="1220" w:type="dxa"/>
            <w:vAlign w:val="bottom"/>
            <w:vMerge w:val="restart"/>
          </w:tcPr>
          <w:p>
            <w:pPr>
              <w:spacing w:after="0"/>
              <w:rPr>
                <w:sz w:val="20"/>
                <w:szCs w:val="20"/>
                <w:color w:val="auto"/>
              </w:rPr>
            </w:pPr>
            <w:r>
              <w:rPr>
                <w:rFonts w:ascii="Arial" w:cs="Arial" w:eastAsia="Arial" w:hAnsi="Arial"/>
                <w:sz w:val="18"/>
                <w:szCs w:val="18"/>
                <w:color w:val="auto"/>
                <w:w w:val="99"/>
              </w:rPr>
              <w:t>SECTION 4.01</w:t>
            </w:r>
          </w:p>
        </w:tc>
        <w:tc>
          <w:tcPr>
            <w:tcW w:w="1280" w:type="dxa"/>
            <w:vAlign w:val="bottom"/>
            <w:gridSpan w:val="11"/>
            <w:vMerge w:val="restart"/>
          </w:tcPr>
          <w:p>
            <w:pPr>
              <w:ind w:left="80"/>
              <w:spacing w:after="0"/>
              <w:rPr>
                <w:sz w:val="20"/>
                <w:szCs w:val="20"/>
                <w:color w:val="auto"/>
              </w:rPr>
            </w:pPr>
            <w:r>
              <w:rPr>
                <w:rFonts w:ascii="Arial" w:cs="Arial" w:eastAsia="Arial" w:hAnsi="Arial"/>
                <w:sz w:val="18"/>
                <w:szCs w:val="18"/>
                <w:color w:val="auto"/>
              </w:rPr>
              <w:t>Effective Date</w:t>
            </w:r>
          </w:p>
        </w:tc>
        <w:tc>
          <w:tcPr>
            <w:tcW w:w="20" w:type="dxa"/>
            <w:vAlign w:val="bottom"/>
          </w:tcPr>
          <w:p>
            <w:pPr>
              <w:spacing w:after="0"/>
              <w:rPr>
                <w:sz w:val="15"/>
                <w:szCs w:val="15"/>
                <w:color w:val="auto"/>
              </w:rPr>
            </w:pPr>
          </w:p>
        </w:tc>
        <w:tc>
          <w:tcPr>
            <w:tcW w:w="280" w:type="dxa"/>
            <w:vAlign w:val="bottom"/>
            <w:gridSpan w:val="7"/>
            <w:vMerge w:val="restart"/>
          </w:tcPr>
          <w:p>
            <w:pPr>
              <w:spacing w:after="0"/>
              <w:rPr>
                <w:sz w:val="20"/>
                <w:szCs w:val="20"/>
                <w:color w:val="auto"/>
              </w:rPr>
            </w:pPr>
            <w:r>
              <w:rPr>
                <w:rFonts w:ascii="Arial" w:cs="Arial" w:eastAsia="Arial" w:hAnsi="Arial"/>
                <w:sz w:val="18"/>
                <w:szCs w:val="18"/>
                <w:color w:val="FF0000"/>
                <w:strike w:val="1"/>
                <w:w w:val="86"/>
              </w:rPr>
              <w:t>106</w:t>
            </w:r>
          </w:p>
        </w:tc>
        <w:tc>
          <w:tcPr>
            <w:tcW w:w="3980" w:type="dxa"/>
            <w:vAlign w:val="bottom"/>
            <w:gridSpan w:val="76"/>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20" w:type="dxa"/>
            <w:vAlign w:val="bottom"/>
            <w:vMerge w:val="continue"/>
          </w:tcPr>
          <w:p>
            <w:pPr>
              <w:spacing w:after="0"/>
              <w:rPr>
                <w:sz w:val="15"/>
                <w:szCs w:val="15"/>
                <w:color w:val="auto"/>
              </w:rPr>
            </w:pPr>
          </w:p>
        </w:tc>
        <w:tc>
          <w:tcPr>
            <w:tcW w:w="1280" w:type="dxa"/>
            <w:vAlign w:val="bottom"/>
            <w:gridSpan w:val="11"/>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7"/>
            <w:vMerge w:val="continue"/>
          </w:tcPr>
          <w:p>
            <w:pPr>
              <w:spacing w:after="0"/>
              <w:rPr>
                <w:sz w:val="15"/>
                <w:szCs w:val="15"/>
                <w:color w:val="auto"/>
              </w:rPr>
            </w:pPr>
          </w:p>
        </w:tc>
        <w:tc>
          <w:tcPr>
            <w:tcW w:w="280" w:type="dxa"/>
            <w:vAlign w:val="bottom"/>
            <w:tcBorders>
              <w:right w:val="single" w:sz="8" w:color="DDDDDD"/>
            </w:tcBorders>
            <w:gridSpan w:val="6"/>
            <w:shd w:val="clear" w:color="auto" w:fill="DDDDDD"/>
          </w:tcPr>
          <w:p>
            <w:pPr>
              <w:spacing w:after="0" w:line="176" w:lineRule="exact"/>
              <w:rPr>
                <w:sz w:val="20"/>
                <w:szCs w:val="20"/>
                <w:color w:val="auto"/>
              </w:rPr>
            </w:pPr>
            <w:r>
              <w:rPr>
                <w:rFonts w:ascii="Arial" w:cs="Arial" w:eastAsia="Arial" w:hAnsi="Arial"/>
                <w:sz w:val="18"/>
                <w:szCs w:val="18"/>
                <w:color w:val="0000FF"/>
                <w:highlight w:val="lightGray"/>
                <w:w w:val="79"/>
              </w:rPr>
              <w:t>109</w:t>
            </w:r>
          </w:p>
        </w:tc>
        <w:tc>
          <w:tcPr>
            <w:tcW w:w="3700" w:type="dxa"/>
            <w:vAlign w:val="bottom"/>
            <w:gridSpan w:val="7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96" w:lineRule="exact"/>
              <w:rPr>
                <w:sz w:val="20"/>
                <w:szCs w:val="20"/>
                <w:color w:val="auto"/>
              </w:rPr>
            </w:pPr>
            <w:r>
              <w:rPr>
                <w:rFonts w:ascii="Arial" w:cs="Arial" w:eastAsia="Arial" w:hAnsi="Arial"/>
                <w:sz w:val="18"/>
                <w:szCs w:val="18"/>
                <w:color w:val="auto"/>
                <w:w w:val="99"/>
              </w:rPr>
              <w:t>SECTION 4.02</w:t>
            </w:r>
          </w:p>
        </w:tc>
        <w:tc>
          <w:tcPr>
            <w:tcW w:w="1560" w:type="dxa"/>
            <w:vAlign w:val="bottom"/>
            <w:gridSpan w:val="18"/>
            <w:vMerge w:val="restart"/>
          </w:tcPr>
          <w:p>
            <w:pPr>
              <w:ind w:left="80"/>
              <w:spacing w:after="0" w:line="196" w:lineRule="exact"/>
              <w:rPr>
                <w:sz w:val="20"/>
                <w:szCs w:val="20"/>
                <w:color w:val="auto"/>
              </w:rPr>
            </w:pPr>
            <w:r>
              <w:rPr>
                <w:rFonts w:ascii="Arial" w:cs="Arial" w:eastAsia="Arial" w:hAnsi="Arial"/>
                <w:sz w:val="18"/>
                <w:szCs w:val="18"/>
                <w:color w:val="auto"/>
              </w:rPr>
              <w:t>Each Credit Event</w:t>
            </w:r>
          </w:p>
        </w:tc>
        <w:tc>
          <w:tcPr>
            <w:tcW w:w="20" w:type="dxa"/>
            <w:vAlign w:val="bottom"/>
            <w:tcBorders>
              <w:top w:val="single" w:sz="8" w:color="0000FF"/>
            </w:tcBorders>
            <w:vMerge w:val="restart"/>
          </w:tcPr>
          <w:p>
            <w:pPr>
              <w:spacing w:after="0" w:line="20" w:lineRule="exact"/>
              <w:rPr>
                <w:sz w:val="1"/>
                <w:szCs w:val="1"/>
                <w:color w:val="auto"/>
              </w:rPr>
            </w:pPr>
          </w:p>
        </w:tc>
        <w:tc>
          <w:tcPr>
            <w:tcW w:w="120" w:type="dxa"/>
            <w:vAlign w:val="bottom"/>
            <w:tcBorders>
              <w:top w:val="single" w:sz="8" w:color="0000FF"/>
              <w:right w:val="single" w:sz="8" w:color="DDDDDD"/>
            </w:tcBorders>
            <w:gridSpan w:val="3"/>
            <w:shd w:val="clear" w:color="auto" w:fill="DDDDDD"/>
          </w:tcPr>
          <w:p>
            <w:pPr>
              <w:spacing w:after="0" w:line="20" w:lineRule="exact"/>
              <w:rPr>
                <w:sz w:val="1"/>
                <w:szCs w:val="1"/>
                <w:color w:val="auto"/>
              </w:rPr>
            </w:pPr>
          </w:p>
        </w:tc>
        <w:tc>
          <w:tcPr>
            <w:tcW w:w="160" w:type="dxa"/>
            <w:vAlign w:val="bottom"/>
            <w:tcBorders>
              <w:top w:val="single" w:sz="8" w:color="0000FF"/>
              <w:right w:val="single" w:sz="8" w:color="DDDDDD"/>
            </w:tcBorders>
            <w:gridSpan w:val="3"/>
            <w:shd w:val="clear" w:color="auto" w:fill="DDDDDD"/>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20" w:type="dxa"/>
            <w:vAlign w:val="bottom"/>
            <w:gridSpan w:val="6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1560" w:type="dxa"/>
            <w:vAlign w:val="bottom"/>
            <w:gridSpan w:val="1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80" w:type="dxa"/>
            <w:vAlign w:val="bottom"/>
            <w:gridSpan w:val="6"/>
            <w:vMerge w:val="restart"/>
          </w:tcPr>
          <w:p>
            <w:pPr>
              <w:spacing w:after="0" w:line="176" w:lineRule="exact"/>
              <w:rPr>
                <w:sz w:val="20"/>
                <w:szCs w:val="20"/>
                <w:color w:val="auto"/>
              </w:rPr>
            </w:pPr>
            <w:r>
              <w:rPr>
                <w:rFonts w:ascii="Arial" w:cs="Arial" w:eastAsia="Arial" w:hAnsi="Arial"/>
                <w:sz w:val="18"/>
                <w:szCs w:val="18"/>
                <w:color w:val="FF0000"/>
                <w:strike w:val="1"/>
                <w:w w:val="79"/>
              </w:rPr>
              <w:t>107</w:t>
            </w: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420" w:type="dxa"/>
            <w:vAlign w:val="bottom"/>
            <w:gridSpan w:val="6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20" w:type="dxa"/>
            <w:vAlign w:val="bottom"/>
            <w:vMerge w:val="continue"/>
          </w:tcPr>
          <w:p>
            <w:pPr>
              <w:spacing w:after="0"/>
              <w:rPr>
                <w:sz w:val="14"/>
                <w:szCs w:val="14"/>
                <w:color w:val="auto"/>
              </w:rPr>
            </w:pPr>
          </w:p>
        </w:tc>
        <w:tc>
          <w:tcPr>
            <w:tcW w:w="1560" w:type="dxa"/>
            <w:vAlign w:val="bottom"/>
            <w:gridSpan w:val="18"/>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6"/>
            <w:vMerge w:val="continue"/>
          </w:tcPr>
          <w:p>
            <w:pPr>
              <w:spacing w:after="0"/>
              <w:rPr>
                <w:sz w:val="14"/>
                <w:szCs w:val="14"/>
                <w:color w:val="auto"/>
              </w:rPr>
            </w:pPr>
          </w:p>
        </w:tc>
        <w:tc>
          <w:tcPr>
            <w:tcW w:w="240" w:type="dxa"/>
            <w:vAlign w:val="bottom"/>
            <w:tcBorders>
              <w:bottom w:val="single" w:sz="8" w:color="0000FF"/>
            </w:tcBorders>
            <w:gridSpan w:val="4"/>
            <w:shd w:val="clear" w:color="auto" w:fill="DDDDDD"/>
          </w:tcPr>
          <w:p>
            <w:pPr>
              <w:spacing w:after="0" w:line="156" w:lineRule="exact"/>
              <w:rPr>
                <w:sz w:val="20"/>
                <w:szCs w:val="20"/>
                <w:color w:val="auto"/>
              </w:rPr>
            </w:pPr>
            <w:r>
              <w:rPr>
                <w:rFonts w:ascii="Arial" w:cs="Arial" w:eastAsia="Arial" w:hAnsi="Arial"/>
                <w:sz w:val="18"/>
                <w:szCs w:val="18"/>
                <w:color w:val="0000FF"/>
                <w:highlight w:val="lightGray"/>
                <w:w w:val="73"/>
              </w:rPr>
              <w:t>111</w:t>
            </w:r>
          </w:p>
        </w:tc>
        <w:tc>
          <w:tcPr>
            <w:tcW w:w="2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40" w:type="dxa"/>
            <w:vAlign w:val="bottom"/>
            <w:gridSpan w:val="48"/>
          </w:tcPr>
          <w:p>
            <w:pPr>
              <w:spacing w:after="0"/>
              <w:rPr>
                <w:sz w:val="14"/>
                <w:szCs w:val="14"/>
                <w:color w:val="auto"/>
              </w:rPr>
            </w:pPr>
          </w:p>
        </w:tc>
        <w:tc>
          <w:tcPr>
            <w:tcW w:w="1780" w:type="dxa"/>
            <w:vAlign w:val="bottom"/>
            <w:gridSpan w:val="16"/>
            <w:vMerge w:val="restart"/>
          </w:tcPr>
          <w:p>
            <w:pPr>
              <w:jc w:val="center"/>
              <w:ind w:right="540"/>
              <w:spacing w:after="0"/>
              <w:rPr>
                <w:sz w:val="20"/>
                <w:szCs w:val="20"/>
                <w:color w:val="auto"/>
              </w:rPr>
            </w:pPr>
            <w:r>
              <w:rPr>
                <w:rFonts w:ascii="Arial" w:cs="Arial" w:eastAsia="Arial" w:hAnsi="Arial"/>
                <w:sz w:val="18"/>
                <w:szCs w:val="18"/>
                <w:color w:val="010000"/>
                <w:w w:val="98"/>
              </w:rPr>
              <w:t>ARTICLE V</w:t>
            </w:r>
          </w:p>
        </w:tc>
        <w:tc>
          <w:tcPr>
            <w:tcW w:w="0" w:type="dxa"/>
            <w:vAlign w:val="bottom"/>
          </w:tcPr>
          <w:p>
            <w:pPr>
              <w:spacing w:after="0"/>
              <w:rPr>
                <w:sz w:val="1"/>
                <w:szCs w:val="1"/>
                <w:color w:val="auto"/>
              </w:rPr>
            </w:pPr>
          </w:p>
        </w:tc>
      </w:tr>
      <w:tr>
        <w:trPr>
          <w:trHeight w:val="432"/>
        </w:trPr>
        <w:tc>
          <w:tcPr>
            <w:tcW w:w="5000" w:type="dxa"/>
            <w:vAlign w:val="bottom"/>
            <w:gridSpan w:val="80"/>
          </w:tcPr>
          <w:p>
            <w:pPr>
              <w:spacing w:after="0"/>
              <w:rPr>
                <w:sz w:val="24"/>
                <w:szCs w:val="24"/>
                <w:color w:val="auto"/>
              </w:rPr>
            </w:pPr>
          </w:p>
        </w:tc>
        <w:tc>
          <w:tcPr>
            <w:tcW w:w="1780" w:type="dxa"/>
            <w:vAlign w:val="bottom"/>
            <w:gridSpan w:val="1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80" w:type="dxa"/>
            <w:vAlign w:val="bottom"/>
            <w:gridSpan w:val="96"/>
          </w:tcPr>
          <w:p>
            <w:pPr>
              <w:spacing w:after="0"/>
              <w:rPr>
                <w:sz w:val="20"/>
                <w:szCs w:val="20"/>
                <w:color w:val="auto"/>
              </w:rPr>
            </w:pPr>
            <w:r>
              <w:rPr>
                <w:rFonts w:ascii="Arial" w:cs="Arial" w:eastAsia="Arial" w:hAnsi="Arial"/>
                <w:sz w:val="18"/>
                <w:szCs w:val="18"/>
                <w:color w:val="auto"/>
              </w:rPr>
              <w:t>AFFIRMATIVE COVENANTS</w:t>
            </w:r>
          </w:p>
        </w:tc>
        <w:tc>
          <w:tcPr>
            <w:tcW w:w="0" w:type="dxa"/>
            <w:vAlign w:val="bottom"/>
          </w:tcPr>
          <w:p>
            <w:pPr>
              <w:spacing w:after="0"/>
              <w:rPr>
                <w:sz w:val="1"/>
                <w:szCs w:val="1"/>
                <w:color w:val="auto"/>
              </w:rPr>
            </w:pPr>
          </w:p>
        </w:tc>
      </w:tr>
      <w:tr>
        <w:trPr>
          <w:trHeight w:val="175"/>
        </w:trPr>
        <w:tc>
          <w:tcPr>
            <w:tcW w:w="1220" w:type="dxa"/>
            <w:vAlign w:val="bottom"/>
            <w:vMerge w:val="restart"/>
          </w:tcPr>
          <w:p>
            <w:pPr>
              <w:spacing w:after="0"/>
              <w:rPr>
                <w:sz w:val="20"/>
                <w:szCs w:val="20"/>
                <w:color w:val="auto"/>
              </w:rPr>
            </w:pPr>
            <w:r>
              <w:rPr>
                <w:rFonts w:ascii="Arial" w:cs="Arial" w:eastAsia="Arial" w:hAnsi="Arial"/>
                <w:sz w:val="18"/>
                <w:szCs w:val="18"/>
                <w:color w:val="auto"/>
                <w:w w:val="99"/>
              </w:rPr>
              <w:t>SECTION 5.01</w:t>
            </w:r>
          </w:p>
        </w:tc>
        <w:tc>
          <w:tcPr>
            <w:tcW w:w="3440" w:type="dxa"/>
            <w:vAlign w:val="bottom"/>
            <w:gridSpan w:val="71"/>
            <w:vMerge w:val="restart"/>
          </w:tcPr>
          <w:p>
            <w:pPr>
              <w:ind w:left="80"/>
              <w:spacing w:after="0"/>
              <w:rPr>
                <w:sz w:val="20"/>
                <w:szCs w:val="20"/>
                <w:color w:val="auto"/>
              </w:rPr>
            </w:pPr>
            <w:r>
              <w:rPr>
                <w:rFonts w:ascii="Arial" w:cs="Arial" w:eastAsia="Arial" w:hAnsi="Arial"/>
                <w:sz w:val="18"/>
                <w:szCs w:val="18"/>
                <w:color w:val="auto"/>
                <w:w w:val="95"/>
              </w:rPr>
              <w:t>Financial Statements and Other Information</w:t>
            </w:r>
          </w:p>
        </w:tc>
        <w:tc>
          <w:tcPr>
            <w:tcW w:w="260" w:type="dxa"/>
            <w:vAlign w:val="bottom"/>
            <w:gridSpan w:val="7"/>
            <w:vMerge w:val="restart"/>
          </w:tcPr>
          <w:p>
            <w:pPr>
              <w:jc w:val="right"/>
              <w:spacing w:after="0"/>
              <w:rPr>
                <w:sz w:val="20"/>
                <w:szCs w:val="20"/>
                <w:color w:val="auto"/>
              </w:rPr>
            </w:pPr>
            <w:r>
              <w:rPr>
                <w:rFonts w:ascii="Arial" w:cs="Arial" w:eastAsia="Arial" w:hAnsi="Arial"/>
                <w:sz w:val="18"/>
                <w:szCs w:val="18"/>
                <w:color w:val="FF0000"/>
                <w:strike w:val="1"/>
                <w:w w:val="79"/>
              </w:rPr>
              <w:t>108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4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gridSpan w:val="3"/>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24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40" w:type="dxa"/>
            <w:vAlign w:val="bottom"/>
            <w:vMerge w:val="restart"/>
          </w:tcPr>
          <w:p>
            <w:pPr>
              <w:spacing w:after="0"/>
              <w:rPr>
                <w:sz w:val="15"/>
                <w:szCs w:val="15"/>
                <w:color w:val="auto"/>
              </w:rPr>
            </w:pPr>
          </w:p>
        </w:tc>
        <w:tc>
          <w:tcPr>
            <w:tcW w:w="4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220" w:type="dxa"/>
            <w:vAlign w:val="bottom"/>
            <w:vMerge w:val="continue"/>
          </w:tcPr>
          <w:p>
            <w:pPr>
              <w:spacing w:after="0"/>
              <w:rPr>
                <w:sz w:val="17"/>
                <w:szCs w:val="17"/>
                <w:color w:val="auto"/>
              </w:rPr>
            </w:pPr>
          </w:p>
        </w:tc>
        <w:tc>
          <w:tcPr>
            <w:tcW w:w="3440" w:type="dxa"/>
            <w:vAlign w:val="bottom"/>
            <w:gridSpan w:val="71"/>
            <w:vMerge w:val="continue"/>
          </w:tcPr>
          <w:p>
            <w:pPr>
              <w:spacing w:after="0"/>
              <w:rPr>
                <w:sz w:val="17"/>
                <w:szCs w:val="17"/>
                <w:color w:val="auto"/>
              </w:rPr>
            </w:pPr>
          </w:p>
        </w:tc>
        <w:tc>
          <w:tcPr>
            <w:tcW w:w="260" w:type="dxa"/>
            <w:vAlign w:val="bottom"/>
            <w:gridSpan w:val="7"/>
            <w:vMerge w:val="continue"/>
          </w:tcPr>
          <w:p>
            <w:pPr>
              <w:spacing w:after="0"/>
              <w:rPr>
                <w:sz w:val="17"/>
                <w:szCs w:val="17"/>
                <w:color w:val="auto"/>
              </w:rPr>
            </w:pPr>
          </w:p>
        </w:tc>
        <w:tc>
          <w:tcPr>
            <w:tcW w:w="260" w:type="dxa"/>
            <w:vAlign w:val="bottom"/>
            <w:tcBorders>
              <w:bottom w:val="single" w:sz="8" w:color="0000FF"/>
            </w:tcBorders>
            <w:gridSpan w:val="2"/>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111</w:t>
            </w:r>
          </w:p>
        </w:tc>
        <w:tc>
          <w:tcPr>
            <w:tcW w:w="20" w:type="dxa"/>
            <w:vAlign w:val="bottom"/>
            <w:tcBorders>
              <w:bottom w:val="single" w:sz="8" w:color="0000FF"/>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60" w:type="dxa"/>
            <w:vAlign w:val="bottom"/>
            <w:gridSpan w:val="3"/>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5.02</w:t>
            </w:r>
          </w:p>
        </w:tc>
        <w:tc>
          <w:tcPr>
            <w:tcW w:w="2140" w:type="dxa"/>
            <w:vAlign w:val="bottom"/>
            <w:gridSpan w:val="31"/>
            <w:vMerge w:val="restart"/>
          </w:tcPr>
          <w:p>
            <w:pPr>
              <w:ind w:left="80"/>
              <w:spacing w:after="0" w:line="176" w:lineRule="exact"/>
              <w:rPr>
                <w:sz w:val="20"/>
                <w:szCs w:val="20"/>
                <w:color w:val="auto"/>
              </w:rPr>
            </w:pPr>
            <w:r>
              <w:rPr>
                <w:rFonts w:ascii="Arial" w:cs="Arial" w:eastAsia="Arial" w:hAnsi="Arial"/>
                <w:sz w:val="18"/>
                <w:szCs w:val="18"/>
                <w:color w:val="auto"/>
                <w:w w:val="97"/>
              </w:rPr>
              <w:t>Notices of Material Events</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9"/>
            <w:vMerge w:val="restart"/>
          </w:tcPr>
          <w:p>
            <w:pPr>
              <w:jc w:val="right"/>
              <w:spacing w:after="0" w:line="176" w:lineRule="exact"/>
              <w:rPr>
                <w:sz w:val="20"/>
                <w:szCs w:val="20"/>
                <w:color w:val="auto"/>
              </w:rPr>
            </w:pPr>
            <w:r>
              <w:rPr>
                <w:rFonts w:ascii="Arial" w:cs="Arial" w:eastAsia="Arial" w:hAnsi="Arial"/>
                <w:sz w:val="18"/>
                <w:szCs w:val="18"/>
                <w:color w:val="FF0000"/>
                <w:strike w:val="1"/>
                <w:w w:val="79"/>
              </w:rPr>
              <w:t>110</w:t>
            </w: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DDDDD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20" w:type="dxa"/>
            <w:vAlign w:val="bottom"/>
            <w:vMerge w:val="continue"/>
          </w:tcPr>
          <w:p>
            <w:pPr>
              <w:spacing w:after="0"/>
              <w:rPr>
                <w:sz w:val="15"/>
                <w:szCs w:val="15"/>
                <w:color w:val="auto"/>
              </w:rPr>
            </w:pPr>
          </w:p>
        </w:tc>
        <w:tc>
          <w:tcPr>
            <w:tcW w:w="2140" w:type="dxa"/>
            <w:vAlign w:val="bottom"/>
            <w:gridSpan w:val="31"/>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9"/>
            <w:vMerge w:val="continue"/>
          </w:tcPr>
          <w:p>
            <w:pPr>
              <w:spacing w:after="0"/>
              <w:rPr>
                <w:sz w:val="15"/>
                <w:szCs w:val="15"/>
                <w:color w:val="auto"/>
              </w:rPr>
            </w:pPr>
          </w:p>
        </w:tc>
        <w:tc>
          <w:tcPr>
            <w:tcW w:w="220" w:type="dxa"/>
            <w:vAlign w:val="bottom"/>
            <w:tcBorders>
              <w:bottom w:val="single" w:sz="8" w:color="0000FF"/>
            </w:tcBorders>
            <w:gridSpan w:val="8"/>
            <w:shd w:val="clear" w:color="auto" w:fill="DDDDDD"/>
          </w:tcPr>
          <w:p>
            <w:pPr>
              <w:spacing w:after="0" w:line="156" w:lineRule="exact"/>
              <w:rPr>
                <w:sz w:val="20"/>
                <w:szCs w:val="20"/>
                <w:color w:val="auto"/>
              </w:rPr>
            </w:pPr>
            <w:r>
              <w:rPr>
                <w:rFonts w:ascii="Arial" w:cs="Arial" w:eastAsia="Arial" w:hAnsi="Arial"/>
                <w:sz w:val="17"/>
                <w:szCs w:val="17"/>
                <w:color w:val="0000FF"/>
                <w:highlight w:val="lightGray"/>
                <w:w w:val="70"/>
              </w:rPr>
              <w:t>113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5.03</w:t>
            </w:r>
          </w:p>
        </w:tc>
        <w:tc>
          <w:tcPr>
            <w:tcW w:w="2500" w:type="dxa"/>
            <w:vAlign w:val="bottom"/>
            <w:gridSpan w:val="43"/>
          </w:tcPr>
          <w:p>
            <w:pPr>
              <w:ind w:left="80"/>
              <w:spacing w:after="0" w:line="176" w:lineRule="exact"/>
              <w:rPr>
                <w:sz w:val="20"/>
                <w:szCs w:val="20"/>
                <w:color w:val="auto"/>
              </w:rPr>
            </w:pPr>
            <w:r>
              <w:rPr>
                <w:rFonts w:ascii="Arial" w:cs="Arial" w:eastAsia="Arial" w:hAnsi="Arial"/>
                <w:sz w:val="18"/>
                <w:szCs w:val="18"/>
                <w:color w:val="auto"/>
                <w:w w:val="92"/>
              </w:rPr>
              <w:t>Information Regarding Collateral</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7"/>
          </w:tcPr>
          <w:p>
            <w:pPr>
              <w:jc w:val="right"/>
              <w:spacing w:after="0" w:line="176" w:lineRule="exact"/>
              <w:rPr>
                <w:sz w:val="20"/>
                <w:szCs w:val="20"/>
                <w:color w:val="auto"/>
              </w:rPr>
            </w:pPr>
            <w:r>
              <w:rPr>
                <w:rFonts w:ascii="Arial" w:cs="Arial" w:eastAsia="Arial" w:hAnsi="Arial"/>
                <w:sz w:val="17"/>
                <w:szCs w:val="17"/>
                <w:color w:val="FF0000"/>
                <w:strike w:val="1"/>
                <w:w w:val="70"/>
              </w:rPr>
              <w:t>110</w:t>
            </w:r>
          </w:p>
        </w:tc>
        <w:tc>
          <w:tcPr>
            <w:tcW w:w="260" w:type="dxa"/>
            <w:vAlign w:val="bottom"/>
            <w:tcBorders>
              <w:bottom w:val="single" w:sz="8" w:color="0000FF"/>
            </w:tcBorders>
            <w:gridSpan w:val="7"/>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114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5.04</w:t>
            </w:r>
          </w:p>
        </w:tc>
        <w:tc>
          <w:tcPr>
            <w:tcW w:w="2560" w:type="dxa"/>
            <w:vAlign w:val="bottom"/>
            <w:gridSpan w:val="45"/>
          </w:tcPr>
          <w:p>
            <w:pPr>
              <w:ind w:left="80"/>
              <w:spacing w:after="0" w:line="176" w:lineRule="exact"/>
              <w:rPr>
                <w:sz w:val="20"/>
                <w:szCs w:val="20"/>
                <w:color w:val="auto"/>
              </w:rPr>
            </w:pPr>
            <w:r>
              <w:rPr>
                <w:rFonts w:ascii="Arial" w:cs="Arial" w:eastAsia="Arial" w:hAnsi="Arial"/>
                <w:sz w:val="18"/>
                <w:szCs w:val="18"/>
                <w:color w:val="auto"/>
                <w:w w:val="97"/>
              </w:rPr>
              <w:t>Existence; Conduct of Business</w:t>
            </w:r>
          </w:p>
        </w:tc>
        <w:tc>
          <w:tcPr>
            <w:tcW w:w="240" w:type="dxa"/>
            <w:vAlign w:val="bottom"/>
            <w:gridSpan w:val="8"/>
          </w:tcPr>
          <w:p>
            <w:pPr>
              <w:spacing w:after="0" w:line="176" w:lineRule="exact"/>
              <w:rPr>
                <w:sz w:val="20"/>
                <w:szCs w:val="20"/>
                <w:color w:val="auto"/>
              </w:rPr>
            </w:pPr>
            <w:r>
              <w:rPr>
                <w:rFonts w:ascii="Arial" w:cs="Arial" w:eastAsia="Arial" w:hAnsi="Arial"/>
                <w:sz w:val="18"/>
                <w:szCs w:val="18"/>
                <w:color w:val="FF0000"/>
                <w:strike w:val="1"/>
                <w:w w:val="73"/>
              </w:rPr>
              <w:t>111</w:t>
            </w:r>
          </w:p>
        </w:tc>
        <w:tc>
          <w:tcPr>
            <w:tcW w:w="260" w:type="dxa"/>
            <w:vAlign w:val="bottom"/>
            <w:tcBorders>
              <w:bottom w:val="single" w:sz="8" w:color="0000FF"/>
            </w:tcBorders>
            <w:gridSpan w:val="8"/>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114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60" w:type="dxa"/>
            <w:vAlign w:val="bottom"/>
            <w:gridSpan w:val="28"/>
          </w:tcPr>
          <w:p>
            <w:pPr>
              <w:spacing w:after="0" w:line="176" w:lineRule="exact"/>
              <w:rPr>
                <w:sz w:val="20"/>
                <w:szCs w:val="20"/>
                <w:color w:val="auto"/>
              </w:rPr>
            </w:pPr>
            <w:r>
              <w:rPr>
                <w:rFonts w:ascii="Arial" w:cs="Arial" w:eastAsia="Arial" w:hAnsi="Arial"/>
                <w:sz w:val="18"/>
                <w:szCs w:val="18"/>
                <w:color w:val="auto"/>
                <w:w w:val="99"/>
              </w:rPr>
              <w:t>SECTION 5.05  Payment of Taxes, Etc.</w:t>
            </w:r>
          </w:p>
        </w:tc>
        <w:tc>
          <w:tcPr>
            <w:tcW w:w="240" w:type="dxa"/>
            <w:vAlign w:val="bottom"/>
            <w:gridSpan w:val="6"/>
          </w:tcPr>
          <w:p>
            <w:pPr>
              <w:jc w:val="right"/>
              <w:spacing w:after="0" w:line="176" w:lineRule="exact"/>
              <w:rPr>
                <w:sz w:val="20"/>
                <w:szCs w:val="20"/>
                <w:color w:val="auto"/>
              </w:rPr>
            </w:pPr>
            <w:r>
              <w:rPr>
                <w:rFonts w:ascii="Arial" w:cs="Arial" w:eastAsia="Arial" w:hAnsi="Arial"/>
                <w:sz w:val="18"/>
                <w:szCs w:val="18"/>
                <w:color w:val="FF0000"/>
                <w:strike w:val="1"/>
                <w:w w:val="73"/>
              </w:rPr>
              <w:t>111</w:t>
            </w:r>
          </w:p>
        </w:tc>
        <w:tc>
          <w:tcPr>
            <w:tcW w:w="240" w:type="dxa"/>
            <w:vAlign w:val="bottom"/>
            <w:gridSpan w:val="7"/>
            <w:shd w:val="clear" w:color="auto" w:fill="DDDDDD"/>
          </w:tcPr>
          <w:p>
            <w:pPr>
              <w:spacing w:after="0" w:line="176" w:lineRule="exact"/>
              <w:rPr>
                <w:sz w:val="20"/>
                <w:szCs w:val="20"/>
                <w:color w:val="auto"/>
              </w:rPr>
            </w:pPr>
            <w:r>
              <w:rPr>
                <w:rFonts w:ascii="Arial" w:cs="Arial" w:eastAsia="Arial" w:hAnsi="Arial"/>
                <w:sz w:val="17"/>
                <w:szCs w:val="17"/>
                <w:color w:val="0000FF"/>
                <w:highlight w:val="lightGray"/>
                <w:w w:val="70"/>
              </w:rPr>
              <w:t>114</w:t>
            </w:r>
          </w:p>
        </w:tc>
        <w:tc>
          <w:tcPr>
            <w:tcW w:w="3140" w:type="dxa"/>
            <w:vAlign w:val="bottom"/>
            <w:tcBorders>
              <w:left w:val="single" w:sz="8" w:color="DDDDDD"/>
            </w:tcBorders>
            <w:gridSpan w:val="5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5.06</w:t>
            </w:r>
          </w:p>
        </w:tc>
        <w:tc>
          <w:tcPr>
            <w:tcW w:w="2140" w:type="dxa"/>
            <w:vAlign w:val="bottom"/>
            <w:gridSpan w:val="31"/>
            <w:vMerge w:val="restart"/>
          </w:tcPr>
          <w:p>
            <w:pPr>
              <w:ind w:left="80"/>
              <w:spacing w:after="0" w:line="176" w:lineRule="exact"/>
              <w:rPr>
                <w:sz w:val="20"/>
                <w:szCs w:val="20"/>
                <w:color w:val="auto"/>
              </w:rPr>
            </w:pPr>
            <w:r>
              <w:rPr>
                <w:rFonts w:ascii="Arial" w:cs="Arial" w:eastAsia="Arial" w:hAnsi="Arial"/>
                <w:sz w:val="18"/>
                <w:szCs w:val="18"/>
                <w:color w:val="auto"/>
                <w:w w:val="97"/>
              </w:rPr>
              <w:t>Maintenance of Properties</w:t>
            </w: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gridSpan w:val="7"/>
            <w:vMerge w:val="restart"/>
          </w:tcPr>
          <w:p>
            <w:pPr>
              <w:spacing w:after="0" w:line="176" w:lineRule="exact"/>
              <w:rPr>
                <w:sz w:val="20"/>
                <w:szCs w:val="20"/>
                <w:color w:val="auto"/>
              </w:rPr>
            </w:pPr>
            <w:r>
              <w:rPr>
                <w:rFonts w:ascii="Arial" w:cs="Arial" w:eastAsia="Arial" w:hAnsi="Arial"/>
                <w:sz w:val="17"/>
                <w:szCs w:val="17"/>
                <w:color w:val="FF0000"/>
                <w:strike w:val="1"/>
                <w:w w:val="70"/>
              </w:rPr>
              <w:t>111</w:t>
            </w:r>
          </w:p>
        </w:tc>
        <w:tc>
          <w:tcPr>
            <w:tcW w:w="40" w:type="dxa"/>
            <w:vAlign w:val="bottom"/>
            <w:tcBorders>
              <w:top w:val="single" w:sz="8" w:color="0000FF"/>
            </w:tcBorders>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40" w:type="dxa"/>
            <w:vAlign w:val="bottom"/>
            <w:gridSpan w:val="4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20" w:type="dxa"/>
            <w:vAlign w:val="bottom"/>
            <w:vMerge w:val="continue"/>
          </w:tcPr>
          <w:p>
            <w:pPr>
              <w:spacing w:after="0"/>
              <w:rPr>
                <w:sz w:val="14"/>
                <w:szCs w:val="14"/>
                <w:color w:val="auto"/>
              </w:rPr>
            </w:pPr>
          </w:p>
        </w:tc>
        <w:tc>
          <w:tcPr>
            <w:tcW w:w="2140" w:type="dxa"/>
            <w:vAlign w:val="bottom"/>
            <w:gridSpan w:val="31"/>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7"/>
            <w:vMerge w:val="continue"/>
          </w:tcPr>
          <w:p>
            <w:pPr>
              <w:spacing w:after="0"/>
              <w:rPr>
                <w:sz w:val="14"/>
                <w:szCs w:val="14"/>
                <w:color w:val="auto"/>
              </w:rPr>
            </w:pPr>
          </w:p>
        </w:tc>
        <w:tc>
          <w:tcPr>
            <w:tcW w:w="260" w:type="dxa"/>
            <w:vAlign w:val="bottom"/>
            <w:tcBorders>
              <w:left w:val="single" w:sz="8" w:color="DDDDDD"/>
              <w:bottom w:val="single" w:sz="8" w:color="0000FF"/>
            </w:tcBorders>
            <w:gridSpan w:val="9"/>
            <w:shd w:val="clear" w:color="auto" w:fill="DDDDDD"/>
          </w:tcPr>
          <w:p>
            <w:pPr>
              <w:ind w:left="20"/>
              <w:spacing w:after="0" w:line="156" w:lineRule="exact"/>
              <w:rPr>
                <w:sz w:val="20"/>
                <w:szCs w:val="20"/>
                <w:color w:val="auto"/>
              </w:rPr>
            </w:pPr>
            <w:r>
              <w:rPr>
                <w:rFonts w:ascii="Arial" w:cs="Arial" w:eastAsia="Arial" w:hAnsi="Arial"/>
                <w:sz w:val="18"/>
                <w:szCs w:val="18"/>
                <w:color w:val="0000FF"/>
                <w:highlight w:val="lightGray"/>
                <w:w w:val="73"/>
              </w:rPr>
              <w:t>114</w:t>
            </w:r>
          </w:p>
        </w:tc>
        <w:tc>
          <w:tcPr>
            <w:tcW w:w="2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5.07</w:t>
            </w:r>
          </w:p>
        </w:tc>
        <w:tc>
          <w:tcPr>
            <w:tcW w:w="960" w:type="dxa"/>
            <w:vAlign w:val="bottom"/>
            <w:gridSpan w:val="4"/>
          </w:tcPr>
          <w:p>
            <w:pPr>
              <w:ind w:left="80"/>
              <w:spacing w:after="0" w:line="176" w:lineRule="exact"/>
              <w:rPr>
                <w:sz w:val="20"/>
                <w:szCs w:val="20"/>
                <w:color w:val="auto"/>
              </w:rPr>
            </w:pPr>
            <w:r>
              <w:rPr>
                <w:rFonts w:ascii="Arial" w:cs="Arial" w:eastAsia="Arial" w:hAnsi="Arial"/>
                <w:sz w:val="18"/>
                <w:szCs w:val="18"/>
                <w:color w:val="auto"/>
              </w:rPr>
              <w:t>Insurance</w:t>
            </w:r>
          </w:p>
        </w:tc>
        <w:tc>
          <w:tcPr>
            <w:tcW w:w="260" w:type="dxa"/>
            <w:vAlign w:val="bottom"/>
            <w:gridSpan w:val="6"/>
          </w:tcPr>
          <w:p>
            <w:pPr>
              <w:jc w:val="right"/>
              <w:spacing w:after="0" w:line="176" w:lineRule="exact"/>
              <w:rPr>
                <w:sz w:val="20"/>
                <w:szCs w:val="20"/>
                <w:color w:val="auto"/>
              </w:rPr>
            </w:pPr>
            <w:r>
              <w:rPr>
                <w:rFonts w:ascii="Arial" w:cs="Arial" w:eastAsia="Arial" w:hAnsi="Arial"/>
                <w:sz w:val="18"/>
                <w:szCs w:val="18"/>
                <w:color w:val="FF0000"/>
                <w:strike w:val="1"/>
                <w:w w:val="79"/>
              </w:rPr>
              <w:t>111</w:t>
            </w:r>
          </w:p>
        </w:tc>
        <w:tc>
          <w:tcPr>
            <w:tcW w:w="260" w:type="dxa"/>
            <w:vAlign w:val="bottom"/>
            <w:tcBorders>
              <w:left w:val="single" w:sz="8" w:color="DDDDDD"/>
              <w:right w:val="single" w:sz="8" w:color="DDDDDD"/>
            </w:tcBorders>
            <w:gridSpan w:val="6"/>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114</w:t>
            </w:r>
          </w:p>
        </w:tc>
        <w:tc>
          <w:tcPr>
            <w:tcW w:w="4080" w:type="dxa"/>
            <w:vAlign w:val="bottom"/>
            <w:gridSpan w:val="7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96" w:lineRule="exact"/>
              <w:rPr>
                <w:sz w:val="20"/>
                <w:szCs w:val="20"/>
                <w:color w:val="auto"/>
              </w:rPr>
            </w:pPr>
            <w:r>
              <w:rPr>
                <w:rFonts w:ascii="Arial" w:cs="Arial" w:eastAsia="Arial" w:hAnsi="Arial"/>
                <w:sz w:val="18"/>
                <w:szCs w:val="18"/>
                <w:color w:val="auto"/>
                <w:w w:val="99"/>
              </w:rPr>
              <w:t>SECTION 5.08</w:t>
            </w: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left w:val="single" w:sz="8" w:color="DDDDDD"/>
            </w:tcBorders>
            <w:shd w:val="clear" w:color="auto" w:fill="DDDDDD"/>
          </w:tcPr>
          <w:p>
            <w:pPr>
              <w:spacing w:after="0" w:line="20" w:lineRule="exact"/>
              <w:rPr>
                <w:sz w:val="1"/>
                <w:szCs w:val="1"/>
                <w:color w:val="auto"/>
              </w:rPr>
            </w:pPr>
          </w:p>
        </w:tc>
        <w:tc>
          <w:tcPr>
            <w:tcW w:w="20" w:type="dxa"/>
            <w:vAlign w:val="bottom"/>
            <w:tcBorders>
              <w:top w:val="single" w:sz="8" w:color="0000FF"/>
            </w:tcBorders>
            <w:shd w:val="clear" w:color="auto" w:fill="DDDDDD"/>
          </w:tcPr>
          <w:p>
            <w:pPr>
              <w:spacing w:after="0" w:line="20" w:lineRule="exact"/>
              <w:rPr>
                <w:sz w:val="1"/>
                <w:szCs w:val="1"/>
                <w:color w:val="auto"/>
              </w:rPr>
            </w:pPr>
          </w:p>
        </w:tc>
        <w:tc>
          <w:tcPr>
            <w:tcW w:w="20" w:type="dxa"/>
            <w:vAlign w:val="bottom"/>
            <w:tcBorders>
              <w:top w:val="single" w:sz="8" w:color="0000FF"/>
            </w:tcBorders>
            <w:shd w:val="clear" w:color="auto" w:fill="DDDDDD"/>
          </w:tcPr>
          <w:p>
            <w:pPr>
              <w:spacing w:after="0" w:line="20" w:lineRule="exact"/>
              <w:rPr>
                <w:sz w:val="1"/>
                <w:szCs w:val="1"/>
                <w:color w:val="auto"/>
              </w:rPr>
            </w:pPr>
          </w:p>
        </w:tc>
        <w:tc>
          <w:tcPr>
            <w:tcW w:w="40" w:type="dxa"/>
            <w:vAlign w:val="bottom"/>
            <w:tcBorders>
              <w:top w:val="single" w:sz="8" w:color="0000FF"/>
              <w:left w:val="single" w:sz="8" w:color="DDDDDD"/>
            </w:tcBorders>
            <w:shd w:val="clear" w:color="auto" w:fill="DDDDDD"/>
          </w:tcPr>
          <w:p>
            <w:pPr>
              <w:spacing w:after="0" w:line="20" w:lineRule="exact"/>
              <w:rPr>
                <w:sz w:val="1"/>
                <w:szCs w:val="1"/>
                <w:color w:val="auto"/>
              </w:rPr>
            </w:pPr>
          </w:p>
        </w:tc>
        <w:tc>
          <w:tcPr>
            <w:tcW w:w="2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0000FF"/>
              <w:right w:val="single" w:sz="8" w:color="DDDDDD"/>
            </w:tcBorders>
            <w:shd w:val="clear" w:color="auto" w:fill="DDDDDD"/>
          </w:tcPr>
          <w:p>
            <w:pPr>
              <w:spacing w:after="0" w:line="20" w:lineRule="exact"/>
              <w:rPr>
                <w:sz w:val="1"/>
                <w:szCs w:val="1"/>
                <w:color w:val="auto"/>
              </w:rPr>
            </w:pPr>
          </w:p>
        </w:tc>
        <w:tc>
          <w:tcPr>
            <w:tcW w:w="60" w:type="dxa"/>
            <w:vAlign w:val="bottom"/>
            <w:tcBorders>
              <w:top w:val="single" w:sz="8" w:color="0000FF"/>
            </w:tcBorders>
            <w:vMerge w:val="restart"/>
          </w:tcPr>
          <w:p>
            <w:pPr>
              <w:spacing w:after="0" w:line="20" w:lineRule="exact"/>
              <w:rPr>
                <w:sz w:val="1"/>
                <w:szCs w:val="1"/>
                <w:color w:val="auto"/>
              </w:rPr>
            </w:pPr>
          </w:p>
        </w:tc>
        <w:tc>
          <w:tcPr>
            <w:tcW w:w="2140" w:type="dxa"/>
            <w:vAlign w:val="bottom"/>
            <w:gridSpan w:val="60"/>
            <w:vMerge w:val="restart"/>
          </w:tcPr>
          <w:p>
            <w:pPr>
              <w:jc w:val="right"/>
              <w:ind w:right="80"/>
              <w:spacing w:after="0" w:line="196" w:lineRule="exact"/>
              <w:rPr>
                <w:sz w:val="20"/>
                <w:szCs w:val="20"/>
                <w:color w:val="auto"/>
              </w:rPr>
            </w:pPr>
            <w:r>
              <w:rPr>
                <w:rFonts w:ascii="Arial" w:cs="Arial" w:eastAsia="Arial" w:hAnsi="Arial"/>
                <w:sz w:val="18"/>
                <w:szCs w:val="18"/>
                <w:color w:val="auto"/>
                <w:w w:val="93"/>
              </w:rPr>
              <w:t>Inspection and Audit Rights</w:t>
            </w:r>
          </w:p>
        </w:tc>
        <w:tc>
          <w:tcPr>
            <w:tcW w:w="100" w:type="dxa"/>
            <w:vAlign w:val="bottom"/>
            <w:gridSpan w:val="2"/>
            <w:vMerge w:val="restart"/>
          </w:tcPr>
          <w:p>
            <w:pPr>
              <w:spacing w:after="0" w:line="20" w:lineRule="exact"/>
              <w:rPr>
                <w:sz w:val="1"/>
                <w:szCs w:val="1"/>
                <w:color w:val="auto"/>
              </w:rPr>
            </w:pPr>
          </w:p>
        </w:tc>
        <w:tc>
          <w:tcPr>
            <w:tcW w:w="240" w:type="dxa"/>
            <w:vAlign w:val="bottom"/>
            <w:gridSpan w:val="3"/>
            <w:vMerge w:val="restart"/>
          </w:tcPr>
          <w:p>
            <w:pPr>
              <w:spacing w:after="0" w:line="196" w:lineRule="exact"/>
              <w:rPr>
                <w:sz w:val="20"/>
                <w:szCs w:val="20"/>
                <w:color w:val="auto"/>
              </w:rPr>
            </w:pPr>
            <w:r>
              <w:rPr>
                <w:rFonts w:ascii="Arial" w:cs="Arial" w:eastAsia="Arial" w:hAnsi="Arial"/>
                <w:sz w:val="18"/>
                <w:szCs w:val="18"/>
                <w:color w:val="FF0000"/>
                <w:strike w:val="1"/>
                <w:w w:val="73"/>
              </w:rPr>
              <w:t>111</w:t>
            </w:r>
          </w:p>
        </w:tc>
        <w:tc>
          <w:tcPr>
            <w:tcW w:w="20" w:type="dxa"/>
            <w:vAlign w:val="bottom"/>
            <w:vMerge w:val="restart"/>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1480" w:type="dxa"/>
            <w:vAlign w:val="bottom"/>
            <w:gridSpan w:val="16"/>
            <w:vMerge w:val="restart"/>
          </w:tcPr>
          <w:p>
            <w:pPr>
              <w:ind w:left="80"/>
              <w:spacing w:after="0" w:line="176" w:lineRule="exact"/>
              <w:rPr>
                <w:sz w:val="20"/>
                <w:szCs w:val="20"/>
                <w:color w:val="auto"/>
              </w:rPr>
            </w:pPr>
            <w:r>
              <w:rPr>
                <w:rFonts w:ascii="Arial" w:cs="Arial" w:eastAsia="Arial" w:hAnsi="Arial"/>
                <w:sz w:val="18"/>
                <w:szCs w:val="18"/>
                <w:color w:val="auto"/>
                <w:w w:val="83"/>
              </w:rPr>
              <w:t>Books and Records;</w:t>
            </w:r>
          </w:p>
        </w:tc>
        <w:tc>
          <w:tcPr>
            <w:tcW w:w="60" w:type="dxa"/>
            <w:vAlign w:val="bottom"/>
            <w:vMerge w:val="continue"/>
          </w:tcPr>
          <w:p>
            <w:pPr>
              <w:spacing w:after="0" w:line="20" w:lineRule="exact"/>
              <w:rPr>
                <w:sz w:val="1"/>
                <w:szCs w:val="1"/>
                <w:color w:val="auto"/>
              </w:rPr>
            </w:pPr>
          </w:p>
        </w:tc>
        <w:tc>
          <w:tcPr>
            <w:tcW w:w="2140" w:type="dxa"/>
            <w:vAlign w:val="bottom"/>
            <w:gridSpan w:val="60"/>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220" w:type="dxa"/>
            <w:vAlign w:val="bottom"/>
            <w:vMerge w:val="continue"/>
          </w:tcPr>
          <w:p>
            <w:pPr>
              <w:spacing w:after="0"/>
              <w:rPr>
                <w:sz w:val="15"/>
                <w:szCs w:val="15"/>
                <w:color w:val="auto"/>
              </w:rPr>
            </w:pPr>
          </w:p>
        </w:tc>
        <w:tc>
          <w:tcPr>
            <w:tcW w:w="1480" w:type="dxa"/>
            <w:vAlign w:val="bottom"/>
            <w:gridSpan w:val="16"/>
            <w:vMerge w:val="continue"/>
          </w:tcPr>
          <w:p>
            <w:pPr>
              <w:spacing w:after="0"/>
              <w:rPr>
                <w:sz w:val="15"/>
                <w:szCs w:val="15"/>
                <w:color w:val="auto"/>
              </w:rPr>
            </w:pPr>
          </w:p>
        </w:tc>
        <w:tc>
          <w:tcPr>
            <w:tcW w:w="60" w:type="dxa"/>
            <w:vAlign w:val="bottom"/>
          </w:tcPr>
          <w:p>
            <w:pPr>
              <w:spacing w:after="0"/>
              <w:rPr>
                <w:sz w:val="15"/>
                <w:szCs w:val="15"/>
                <w:color w:val="auto"/>
              </w:rPr>
            </w:pPr>
          </w:p>
        </w:tc>
        <w:tc>
          <w:tcPr>
            <w:tcW w:w="2140" w:type="dxa"/>
            <w:vAlign w:val="bottom"/>
            <w:gridSpan w:val="60"/>
            <w:vMerge w:val="continue"/>
          </w:tcPr>
          <w:p>
            <w:pPr>
              <w:spacing w:after="0"/>
              <w:rPr>
                <w:sz w:val="15"/>
                <w:szCs w:val="15"/>
                <w:color w:val="auto"/>
              </w:rPr>
            </w:pPr>
          </w:p>
        </w:tc>
        <w:tc>
          <w:tcPr>
            <w:tcW w:w="100" w:type="dxa"/>
            <w:vAlign w:val="bottom"/>
            <w:gridSpan w:val="2"/>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240" w:type="dxa"/>
            <w:vAlign w:val="bottom"/>
            <w:tcBorders>
              <w:bottom w:val="single" w:sz="8" w:color="0000FF"/>
            </w:tcBorders>
            <w:gridSpan w:val="2"/>
            <w:shd w:val="clear" w:color="auto" w:fill="DDDDDD"/>
          </w:tcPr>
          <w:p>
            <w:pPr>
              <w:jc w:val="right"/>
              <w:spacing w:after="0" w:line="156" w:lineRule="exact"/>
              <w:rPr>
                <w:sz w:val="20"/>
                <w:szCs w:val="20"/>
                <w:color w:val="auto"/>
              </w:rPr>
            </w:pPr>
            <w:r>
              <w:rPr>
                <w:rFonts w:ascii="Arial" w:cs="Arial" w:eastAsia="Arial" w:hAnsi="Arial"/>
                <w:sz w:val="18"/>
                <w:szCs w:val="18"/>
                <w:color w:val="0000FF"/>
                <w:highlight w:val="lightGray"/>
                <w:w w:val="73"/>
              </w:rPr>
              <w:t>115</w:t>
            </w:r>
          </w:p>
        </w:tc>
        <w:tc>
          <w:tcPr>
            <w:tcW w:w="20" w:type="dxa"/>
            <w:vAlign w:val="bottom"/>
            <w:tcBorders>
              <w:bottom w:val="single" w:sz="8" w:color="0000FF"/>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5.09</w:t>
            </w:r>
          </w:p>
        </w:tc>
        <w:tc>
          <w:tcPr>
            <w:tcW w:w="1860" w:type="dxa"/>
            <w:vAlign w:val="bottom"/>
            <w:gridSpan w:val="25"/>
            <w:vMerge w:val="restart"/>
          </w:tcPr>
          <w:p>
            <w:pPr>
              <w:ind w:left="80"/>
              <w:spacing w:after="0" w:line="176" w:lineRule="exact"/>
              <w:rPr>
                <w:sz w:val="20"/>
                <w:szCs w:val="20"/>
                <w:color w:val="auto"/>
              </w:rPr>
            </w:pPr>
            <w:r>
              <w:rPr>
                <w:rFonts w:ascii="Arial" w:cs="Arial" w:eastAsia="Arial" w:hAnsi="Arial"/>
                <w:sz w:val="18"/>
                <w:szCs w:val="18"/>
                <w:color w:val="auto"/>
                <w:w w:val="97"/>
              </w:rPr>
              <w:t>Compliance with Laws</w:t>
            </w:r>
          </w:p>
        </w:tc>
        <w:tc>
          <w:tcPr>
            <w:tcW w:w="80" w:type="dxa"/>
            <w:vAlign w:val="bottom"/>
            <w:gridSpan w:val="2"/>
          </w:tcPr>
          <w:p>
            <w:pPr>
              <w:spacing w:after="0" w:line="20" w:lineRule="exact"/>
              <w:rPr>
                <w:sz w:val="1"/>
                <w:szCs w:val="1"/>
                <w:color w:val="auto"/>
              </w:rPr>
            </w:pPr>
          </w:p>
        </w:tc>
        <w:tc>
          <w:tcPr>
            <w:tcW w:w="240" w:type="dxa"/>
            <w:vAlign w:val="bottom"/>
            <w:gridSpan w:val="6"/>
            <w:vMerge w:val="restart"/>
          </w:tcPr>
          <w:p>
            <w:pPr>
              <w:jc w:val="right"/>
              <w:spacing w:after="0" w:line="176" w:lineRule="exact"/>
              <w:rPr>
                <w:sz w:val="20"/>
                <w:szCs w:val="20"/>
                <w:color w:val="auto"/>
              </w:rPr>
            </w:pPr>
            <w:r>
              <w:rPr>
                <w:rFonts w:ascii="Arial" w:cs="Arial" w:eastAsia="Arial" w:hAnsi="Arial"/>
                <w:sz w:val="18"/>
                <w:szCs w:val="18"/>
                <w:color w:val="FF0000"/>
                <w:strike w:val="1"/>
                <w:w w:val="73"/>
              </w:rPr>
              <w:t>111</w:t>
            </w:r>
          </w:p>
        </w:tc>
        <w:tc>
          <w:tcPr>
            <w:tcW w:w="20" w:type="dxa"/>
            <w:vAlign w:val="bottom"/>
            <w:vMerge w:val="restart"/>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40" w:type="dxa"/>
            <w:vAlign w:val="bottom"/>
            <w:gridSpan w:val="40"/>
          </w:tcPr>
          <w:p>
            <w:pPr>
              <w:spacing w:after="0" w:line="20" w:lineRule="exact"/>
              <w:rPr>
                <w:sz w:val="1"/>
                <w:szCs w:val="1"/>
                <w:color w:val="auto"/>
              </w:rPr>
            </w:pPr>
          </w:p>
        </w:tc>
        <w:tc>
          <w:tcPr>
            <w:tcW w:w="240" w:type="dxa"/>
            <w:vAlign w:val="bottom"/>
            <w:tcBorders>
              <w:top w:val="single" w:sz="8" w:color="DDDDDD"/>
            </w:tcBorders>
            <w:gridSpan w:val="2"/>
          </w:tcPr>
          <w:p>
            <w:pPr>
              <w:spacing w:after="0" w:line="20" w:lineRule="exact"/>
              <w:rPr>
                <w:sz w:val="1"/>
                <w:szCs w:val="1"/>
                <w:color w:val="auto"/>
              </w:rPr>
            </w:pPr>
          </w:p>
        </w:tc>
        <w:tc>
          <w:tcPr>
            <w:tcW w:w="12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20" w:type="dxa"/>
            <w:vAlign w:val="bottom"/>
            <w:vMerge w:val="continue"/>
          </w:tcPr>
          <w:p>
            <w:pPr>
              <w:spacing w:after="0"/>
              <w:rPr>
                <w:sz w:val="14"/>
                <w:szCs w:val="14"/>
                <w:color w:val="auto"/>
              </w:rPr>
            </w:pPr>
          </w:p>
        </w:tc>
        <w:tc>
          <w:tcPr>
            <w:tcW w:w="1860" w:type="dxa"/>
            <w:vAlign w:val="bottom"/>
            <w:gridSpan w:val="25"/>
            <w:vMerge w:val="continue"/>
          </w:tcPr>
          <w:p>
            <w:pPr>
              <w:spacing w:after="0"/>
              <w:rPr>
                <w:sz w:val="14"/>
                <w:szCs w:val="14"/>
                <w:color w:val="auto"/>
              </w:rPr>
            </w:pPr>
          </w:p>
        </w:tc>
        <w:tc>
          <w:tcPr>
            <w:tcW w:w="80" w:type="dxa"/>
            <w:vAlign w:val="bottom"/>
            <w:gridSpan w:val="2"/>
          </w:tcPr>
          <w:p>
            <w:pPr>
              <w:spacing w:after="0"/>
              <w:rPr>
                <w:sz w:val="14"/>
                <w:szCs w:val="14"/>
                <w:color w:val="auto"/>
              </w:rPr>
            </w:pPr>
          </w:p>
        </w:tc>
        <w:tc>
          <w:tcPr>
            <w:tcW w:w="240" w:type="dxa"/>
            <w:vAlign w:val="bottom"/>
            <w:gridSpan w:val="6"/>
            <w:vMerge w:val="continue"/>
          </w:tcPr>
          <w:p>
            <w:pPr>
              <w:spacing w:after="0"/>
              <w:rPr>
                <w:sz w:val="14"/>
                <w:szCs w:val="14"/>
                <w:color w:val="auto"/>
              </w:rPr>
            </w:pPr>
          </w:p>
        </w:tc>
        <w:tc>
          <w:tcPr>
            <w:tcW w:w="20" w:type="dxa"/>
            <w:vAlign w:val="bottom"/>
            <w:tcBorders>
              <w:bottom w:val="single" w:sz="8" w:color="0000FF"/>
            </w:tcBorders>
            <w:vMerge w:val="continue"/>
          </w:tcPr>
          <w:p>
            <w:pPr>
              <w:spacing w:after="0"/>
              <w:rPr>
                <w:sz w:val="14"/>
                <w:szCs w:val="14"/>
                <w:color w:val="auto"/>
              </w:rPr>
            </w:pPr>
          </w:p>
        </w:tc>
        <w:tc>
          <w:tcPr>
            <w:tcW w:w="260" w:type="dxa"/>
            <w:vAlign w:val="bottom"/>
            <w:tcBorders>
              <w:bottom w:val="single" w:sz="8" w:color="0000FF"/>
            </w:tcBorders>
            <w:gridSpan w:val="7"/>
            <w:shd w:val="clear" w:color="auto" w:fill="DDDDDD"/>
          </w:tcPr>
          <w:p>
            <w:pPr>
              <w:spacing w:after="0" w:line="156" w:lineRule="exact"/>
              <w:rPr>
                <w:sz w:val="20"/>
                <w:szCs w:val="20"/>
                <w:color w:val="auto"/>
              </w:rPr>
            </w:pPr>
            <w:r>
              <w:rPr>
                <w:rFonts w:ascii="Arial" w:cs="Arial" w:eastAsia="Arial" w:hAnsi="Arial"/>
                <w:sz w:val="18"/>
                <w:szCs w:val="18"/>
                <w:color w:val="0000FF"/>
                <w:highlight w:val="lightGray"/>
                <w:w w:val="79"/>
              </w:rPr>
              <w:t>115</w:t>
            </w:r>
          </w:p>
        </w:tc>
        <w:tc>
          <w:tcPr>
            <w:tcW w:w="2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060" w:type="dxa"/>
            <w:vAlign w:val="bottom"/>
            <w:gridSpan w:val="52"/>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5.10</w:t>
            </w:r>
          </w:p>
        </w:tc>
        <w:tc>
          <w:tcPr>
            <w:tcW w:w="2460" w:type="dxa"/>
            <w:vAlign w:val="bottom"/>
            <w:gridSpan w:val="41"/>
          </w:tcPr>
          <w:p>
            <w:pPr>
              <w:ind w:left="80"/>
              <w:spacing w:after="0" w:line="176" w:lineRule="exact"/>
              <w:rPr>
                <w:sz w:val="20"/>
                <w:szCs w:val="20"/>
                <w:color w:val="auto"/>
              </w:rPr>
            </w:pPr>
            <w:r>
              <w:rPr>
                <w:rFonts w:ascii="Arial" w:cs="Arial" w:eastAsia="Arial" w:hAnsi="Arial"/>
                <w:sz w:val="18"/>
                <w:szCs w:val="18"/>
                <w:color w:val="auto"/>
                <w:w w:val="95"/>
              </w:rPr>
              <w:t>Use of Proceeds and Letters of</w:t>
            </w:r>
          </w:p>
        </w:tc>
        <w:tc>
          <w:tcPr>
            <w:tcW w:w="20" w:type="dxa"/>
            <w:vAlign w:val="bottom"/>
          </w:tcPr>
          <w:p>
            <w:pPr>
              <w:spacing w:after="0"/>
              <w:rPr>
                <w:sz w:val="17"/>
                <w:szCs w:val="17"/>
                <w:color w:val="auto"/>
              </w:rPr>
            </w:pPr>
          </w:p>
        </w:tc>
        <w:tc>
          <w:tcPr>
            <w:tcW w:w="490" w:type="dxa"/>
            <w:vAlign w:val="bottom"/>
            <w:gridSpan w:val="17"/>
          </w:tcPr>
          <w:p>
            <w:pPr>
              <w:spacing w:after="0" w:line="176" w:lineRule="exact"/>
              <w:rPr>
                <w:sz w:val="20"/>
                <w:szCs w:val="20"/>
                <w:color w:val="auto"/>
              </w:rPr>
            </w:pPr>
            <w:r>
              <w:rPr>
                <w:rFonts w:ascii="Arial" w:cs="Arial" w:eastAsia="Arial" w:hAnsi="Arial"/>
                <w:sz w:val="18"/>
                <w:szCs w:val="18"/>
                <w:color w:val="auto"/>
                <w:w w:val="99"/>
              </w:rPr>
              <w:t>Credit</w:t>
            </w:r>
          </w:p>
        </w:tc>
        <w:tc>
          <w:tcPr>
            <w:tcW w:w="270" w:type="dxa"/>
            <w:vAlign w:val="bottom"/>
            <w:gridSpan w:val="7"/>
          </w:tcPr>
          <w:p>
            <w:pPr>
              <w:jc w:val="right"/>
              <w:spacing w:after="0" w:line="176" w:lineRule="exact"/>
              <w:rPr>
                <w:sz w:val="20"/>
                <w:szCs w:val="20"/>
                <w:color w:val="auto"/>
              </w:rPr>
            </w:pPr>
            <w:r>
              <w:rPr>
                <w:rFonts w:ascii="Arial" w:cs="Arial" w:eastAsia="Arial" w:hAnsi="Arial"/>
                <w:sz w:val="18"/>
                <w:szCs w:val="18"/>
                <w:color w:val="FF0000"/>
                <w:strike w:val="1"/>
                <w:w w:val="79"/>
              </w:rPr>
              <w:t>112</w:t>
            </w:r>
          </w:p>
        </w:tc>
        <w:tc>
          <w:tcPr>
            <w:tcW w:w="20" w:type="dxa"/>
            <w:vAlign w:val="bottom"/>
            <w:tcBorders>
              <w:bottom w:val="single" w:sz="8" w:color="0000FF"/>
            </w:tcBorders>
          </w:tcPr>
          <w:p>
            <w:pPr>
              <w:spacing w:after="0"/>
              <w:rPr>
                <w:sz w:val="17"/>
                <w:szCs w:val="17"/>
                <w:color w:val="auto"/>
              </w:rPr>
            </w:pPr>
          </w:p>
        </w:tc>
        <w:tc>
          <w:tcPr>
            <w:tcW w:w="240" w:type="dxa"/>
            <w:vAlign w:val="bottom"/>
            <w:tcBorders>
              <w:bottom w:val="single" w:sz="8" w:color="0000FF"/>
            </w:tcBorders>
            <w:gridSpan w:val="5"/>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3"/>
              </w:rPr>
              <w:t>115</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5.11</w:t>
            </w:r>
          </w:p>
        </w:tc>
        <w:tc>
          <w:tcPr>
            <w:tcW w:w="1860" w:type="dxa"/>
            <w:vAlign w:val="bottom"/>
            <w:gridSpan w:val="25"/>
            <w:vMerge w:val="restart"/>
          </w:tcPr>
          <w:p>
            <w:pPr>
              <w:ind w:left="80"/>
              <w:spacing w:after="0" w:line="176" w:lineRule="exact"/>
              <w:rPr>
                <w:sz w:val="20"/>
                <w:szCs w:val="20"/>
                <w:color w:val="auto"/>
              </w:rPr>
            </w:pPr>
            <w:r>
              <w:rPr>
                <w:rFonts w:ascii="Arial" w:cs="Arial" w:eastAsia="Arial" w:hAnsi="Arial"/>
                <w:sz w:val="18"/>
                <w:szCs w:val="18"/>
                <w:color w:val="auto"/>
                <w:w w:val="95"/>
              </w:rPr>
              <w:t>Additional Subsidiaries</w:t>
            </w:r>
          </w:p>
        </w:tc>
        <w:tc>
          <w:tcPr>
            <w:tcW w:w="100" w:type="dxa"/>
            <w:vAlign w:val="bottom"/>
            <w:gridSpan w:val="3"/>
          </w:tcPr>
          <w:p>
            <w:pPr>
              <w:spacing w:after="0" w:line="20" w:lineRule="exact"/>
              <w:rPr>
                <w:sz w:val="1"/>
                <w:szCs w:val="1"/>
                <w:color w:val="auto"/>
              </w:rPr>
            </w:pPr>
          </w:p>
        </w:tc>
        <w:tc>
          <w:tcPr>
            <w:tcW w:w="260" w:type="dxa"/>
            <w:vAlign w:val="bottom"/>
            <w:gridSpan w:val="7"/>
            <w:vMerge w:val="restart"/>
          </w:tcPr>
          <w:p>
            <w:pPr>
              <w:jc w:val="right"/>
              <w:spacing w:after="0" w:line="176" w:lineRule="exact"/>
              <w:rPr>
                <w:sz w:val="20"/>
                <w:szCs w:val="20"/>
                <w:color w:val="auto"/>
              </w:rPr>
            </w:pPr>
            <w:r>
              <w:rPr>
                <w:rFonts w:ascii="Arial" w:cs="Arial" w:eastAsia="Arial" w:hAnsi="Arial"/>
                <w:sz w:val="18"/>
                <w:szCs w:val="18"/>
                <w:color w:val="FF0000"/>
                <w:strike w:val="1"/>
                <w:w w:val="79"/>
              </w:rPr>
              <w:t>112</w:t>
            </w:r>
          </w:p>
        </w:tc>
        <w:tc>
          <w:tcPr>
            <w:tcW w:w="1040" w:type="dxa"/>
            <w:vAlign w:val="bottom"/>
            <w:gridSpan w:val="32"/>
          </w:tcPr>
          <w:p>
            <w:pPr>
              <w:spacing w:after="0" w:line="20" w:lineRule="exact"/>
              <w:rPr>
                <w:sz w:val="1"/>
                <w:szCs w:val="1"/>
                <w:color w:val="auto"/>
              </w:rPr>
            </w:pPr>
          </w:p>
        </w:tc>
        <w:tc>
          <w:tcPr>
            <w:tcW w:w="240" w:type="dxa"/>
            <w:vAlign w:val="bottom"/>
            <w:tcBorders>
              <w:top w:val="single" w:sz="8" w:color="DDDDDD"/>
            </w:tcBorders>
            <w:gridSpan w:val="5"/>
          </w:tcPr>
          <w:p>
            <w:pPr>
              <w:spacing w:after="0" w:line="20" w:lineRule="exact"/>
              <w:rPr>
                <w:sz w:val="1"/>
                <w:szCs w:val="1"/>
                <w:color w:val="auto"/>
              </w:rPr>
            </w:pPr>
          </w:p>
        </w:tc>
        <w:tc>
          <w:tcPr>
            <w:tcW w:w="206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20" w:type="dxa"/>
            <w:vAlign w:val="bottom"/>
            <w:vMerge w:val="continue"/>
          </w:tcPr>
          <w:p>
            <w:pPr>
              <w:spacing w:after="0"/>
              <w:rPr>
                <w:sz w:val="15"/>
                <w:szCs w:val="15"/>
                <w:color w:val="auto"/>
              </w:rPr>
            </w:pPr>
          </w:p>
        </w:tc>
        <w:tc>
          <w:tcPr>
            <w:tcW w:w="1860" w:type="dxa"/>
            <w:vAlign w:val="bottom"/>
            <w:gridSpan w:val="25"/>
            <w:vMerge w:val="continue"/>
          </w:tcPr>
          <w:p>
            <w:pPr>
              <w:spacing w:after="0"/>
              <w:rPr>
                <w:sz w:val="15"/>
                <w:szCs w:val="15"/>
                <w:color w:val="auto"/>
              </w:rPr>
            </w:pPr>
          </w:p>
        </w:tc>
        <w:tc>
          <w:tcPr>
            <w:tcW w:w="100" w:type="dxa"/>
            <w:vAlign w:val="bottom"/>
            <w:gridSpan w:val="3"/>
          </w:tcPr>
          <w:p>
            <w:pPr>
              <w:spacing w:after="0"/>
              <w:rPr>
                <w:sz w:val="15"/>
                <w:szCs w:val="15"/>
                <w:color w:val="auto"/>
              </w:rPr>
            </w:pPr>
          </w:p>
        </w:tc>
        <w:tc>
          <w:tcPr>
            <w:tcW w:w="260" w:type="dxa"/>
            <w:vAlign w:val="bottom"/>
            <w:gridSpan w:val="7"/>
            <w:vMerge w:val="continue"/>
          </w:tcPr>
          <w:p>
            <w:pPr>
              <w:spacing w:after="0"/>
              <w:rPr>
                <w:sz w:val="15"/>
                <w:szCs w:val="15"/>
                <w:color w:val="auto"/>
              </w:rPr>
            </w:pPr>
          </w:p>
        </w:tc>
        <w:tc>
          <w:tcPr>
            <w:tcW w:w="300" w:type="dxa"/>
            <w:vAlign w:val="bottom"/>
            <w:tcBorders>
              <w:bottom w:val="single" w:sz="8" w:color="0000FF"/>
            </w:tcBorders>
            <w:gridSpan w:val="9"/>
            <w:shd w:val="clear" w:color="auto" w:fill="DDDDDD"/>
          </w:tcPr>
          <w:p>
            <w:pPr>
              <w:jc w:val="right"/>
              <w:spacing w:after="0" w:line="156" w:lineRule="exact"/>
              <w:rPr>
                <w:sz w:val="20"/>
                <w:szCs w:val="20"/>
                <w:color w:val="auto"/>
              </w:rPr>
            </w:pPr>
            <w:r>
              <w:rPr>
                <w:rFonts w:ascii="Arial" w:cs="Arial" w:eastAsia="Arial" w:hAnsi="Arial"/>
                <w:sz w:val="18"/>
                <w:szCs w:val="18"/>
                <w:color w:val="0000FF"/>
                <w:highlight w:val="lightGray"/>
                <w:w w:val="79"/>
              </w:rPr>
              <w:t>115</w:t>
            </w:r>
          </w:p>
        </w:tc>
        <w:tc>
          <w:tcPr>
            <w:tcW w:w="3040" w:type="dxa"/>
            <w:vAlign w:val="bottom"/>
            <w:gridSpan w:val="51"/>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5.12</w:t>
            </w:r>
          </w:p>
        </w:tc>
        <w:tc>
          <w:tcPr>
            <w:tcW w:w="1640" w:type="dxa"/>
            <w:vAlign w:val="bottom"/>
            <w:gridSpan w:val="21"/>
          </w:tcPr>
          <w:p>
            <w:pPr>
              <w:ind w:left="80"/>
              <w:spacing w:after="0" w:line="176" w:lineRule="exact"/>
              <w:rPr>
                <w:sz w:val="20"/>
                <w:szCs w:val="20"/>
                <w:color w:val="auto"/>
              </w:rPr>
            </w:pPr>
            <w:r>
              <w:rPr>
                <w:rFonts w:ascii="Arial" w:cs="Arial" w:eastAsia="Arial" w:hAnsi="Arial"/>
                <w:sz w:val="18"/>
                <w:szCs w:val="18"/>
                <w:color w:val="auto"/>
                <w:w w:val="92"/>
              </w:rPr>
              <w:t>Further Assurances</w:t>
            </w:r>
          </w:p>
        </w:tc>
        <w:tc>
          <w:tcPr>
            <w:tcW w:w="280" w:type="dxa"/>
            <w:vAlign w:val="bottom"/>
            <w:gridSpan w:val="5"/>
          </w:tcPr>
          <w:p>
            <w:pPr>
              <w:jc w:val="right"/>
              <w:spacing w:after="0" w:line="176" w:lineRule="exact"/>
              <w:rPr>
                <w:sz w:val="20"/>
                <w:szCs w:val="20"/>
                <w:color w:val="auto"/>
              </w:rPr>
            </w:pPr>
            <w:r>
              <w:rPr>
                <w:rFonts w:ascii="Arial" w:cs="Arial" w:eastAsia="Arial" w:hAnsi="Arial"/>
                <w:sz w:val="18"/>
                <w:szCs w:val="18"/>
                <w:color w:val="FF0000"/>
                <w:strike w:val="1"/>
                <w:w w:val="86"/>
              </w:rPr>
              <w:t>112</w:t>
            </w:r>
          </w:p>
        </w:tc>
        <w:tc>
          <w:tcPr>
            <w:tcW w:w="280" w:type="dxa"/>
            <w:vAlign w:val="bottom"/>
            <w:tcBorders>
              <w:bottom w:val="single" w:sz="8" w:color="0000FF"/>
            </w:tcBorders>
            <w:gridSpan w:val="8"/>
          </w:tcPr>
          <w:p>
            <w:pPr>
              <w:jc w:val="right"/>
              <w:ind w:right="196"/>
              <w:spacing w:after="0"/>
              <w:rPr>
                <w:sz w:val="20"/>
                <w:szCs w:val="20"/>
                <w:color w:val="auto"/>
              </w:rPr>
            </w:pPr>
            <w:r>
              <w:rPr>
                <w:rFonts w:ascii="Arial" w:cs="Arial" w:eastAsia="Arial" w:hAnsi="Arial"/>
                <w:sz w:val="18"/>
                <w:szCs w:val="18"/>
                <w:color w:val="0000FF"/>
                <w:highlight w:val="lightGray"/>
              </w:rPr>
              <w:t>115</w:t>
            </w:r>
          </w:p>
        </w:tc>
        <w:tc>
          <w:tcPr>
            <w:tcW w:w="3360" w:type="dxa"/>
            <w:vAlign w:val="bottom"/>
            <w:gridSpan w:val="61"/>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220" w:type="dxa"/>
            <w:vAlign w:val="bottom"/>
          </w:tcPr>
          <w:p>
            <w:pPr>
              <w:spacing w:after="0" w:line="163" w:lineRule="exact"/>
              <w:rPr>
                <w:sz w:val="20"/>
                <w:szCs w:val="20"/>
                <w:color w:val="auto"/>
              </w:rPr>
            </w:pPr>
            <w:r>
              <w:rPr>
                <w:rFonts w:ascii="Arial" w:cs="Arial" w:eastAsia="Arial" w:hAnsi="Arial"/>
                <w:sz w:val="18"/>
                <w:szCs w:val="18"/>
                <w:color w:val="auto"/>
                <w:w w:val="99"/>
              </w:rPr>
              <w:t>SECTION 5.13</w:t>
            </w:r>
          </w:p>
        </w:tc>
        <w:tc>
          <w:tcPr>
            <w:tcW w:w="660" w:type="dxa"/>
            <w:vAlign w:val="bottom"/>
          </w:tcPr>
          <w:p>
            <w:pPr>
              <w:ind w:left="80"/>
              <w:spacing w:after="0" w:line="163" w:lineRule="exact"/>
              <w:rPr>
                <w:sz w:val="20"/>
                <w:szCs w:val="20"/>
                <w:color w:val="auto"/>
              </w:rPr>
            </w:pPr>
            <w:r>
              <w:rPr>
                <w:rFonts w:ascii="Arial" w:cs="Arial" w:eastAsia="Arial" w:hAnsi="Arial"/>
                <w:sz w:val="18"/>
                <w:szCs w:val="18"/>
                <w:color w:val="auto"/>
                <w:w w:val="91"/>
              </w:rPr>
              <w:t>Ratings</w:t>
            </w:r>
          </w:p>
        </w:tc>
        <w:tc>
          <w:tcPr>
            <w:tcW w:w="420" w:type="dxa"/>
            <w:vAlign w:val="bottom"/>
            <w:gridSpan w:val="6"/>
          </w:tcPr>
          <w:p>
            <w:pPr>
              <w:jc w:val="right"/>
              <w:spacing w:after="0" w:line="163" w:lineRule="exact"/>
              <w:rPr>
                <w:sz w:val="20"/>
                <w:szCs w:val="20"/>
                <w:color w:val="auto"/>
              </w:rPr>
            </w:pPr>
            <w:r>
              <w:rPr>
                <w:rFonts w:ascii="Arial" w:cs="Arial" w:eastAsia="Arial" w:hAnsi="Arial"/>
                <w:sz w:val="18"/>
                <w:szCs w:val="18"/>
                <w:color w:val="FF0000"/>
                <w:strike w:val="1"/>
              </w:rPr>
              <w:t>112</w:t>
            </w:r>
          </w:p>
        </w:tc>
        <w:tc>
          <w:tcPr>
            <w:tcW w:w="20" w:type="dxa"/>
            <w:vAlign w:val="bottom"/>
            <w:tcBorders>
              <w:bottom w:val="single" w:sz="8" w:color="0000FF"/>
            </w:tcBorders>
          </w:tcPr>
          <w:p>
            <w:pPr>
              <w:spacing w:after="0"/>
              <w:rPr>
                <w:sz w:val="14"/>
                <w:szCs w:val="14"/>
                <w:color w:val="auto"/>
              </w:rPr>
            </w:pPr>
          </w:p>
        </w:tc>
        <w:tc>
          <w:tcPr>
            <w:tcW w:w="220" w:type="dxa"/>
            <w:vAlign w:val="bottom"/>
            <w:tcBorders>
              <w:left w:val="single" w:sz="8" w:color="DDDDDD"/>
              <w:bottom w:val="single" w:sz="8" w:color="0000FF"/>
            </w:tcBorders>
            <w:gridSpan w:val="5"/>
            <w:shd w:val="clear" w:color="auto" w:fill="DDDDDD"/>
          </w:tcPr>
          <w:p>
            <w:pPr>
              <w:spacing w:after="0" w:line="163" w:lineRule="exact"/>
              <w:rPr>
                <w:sz w:val="20"/>
                <w:szCs w:val="20"/>
                <w:color w:val="auto"/>
              </w:rPr>
            </w:pPr>
            <w:r>
              <w:rPr>
                <w:rFonts w:ascii="Arial" w:cs="Arial" w:eastAsia="Arial" w:hAnsi="Arial"/>
                <w:sz w:val="15"/>
                <w:szCs w:val="15"/>
                <w:color w:val="0000FF"/>
                <w:highlight w:val="lightGray"/>
                <w:w w:val="71"/>
              </w:rPr>
              <w:t>115</w:t>
            </w:r>
          </w:p>
        </w:tc>
        <w:tc>
          <w:tcPr>
            <w:tcW w:w="40" w:type="dxa"/>
            <w:vAlign w:val="bottom"/>
            <w:tcBorders>
              <w:left w:val="single" w:sz="8" w:color="DDDDDD"/>
              <w:bottom w:val="single" w:sz="8" w:color="0000FF"/>
            </w:tcBorders>
          </w:tcPr>
          <w:p>
            <w:pPr>
              <w:spacing w:after="0"/>
              <w:rPr>
                <w:sz w:val="14"/>
                <w:szCs w:val="14"/>
                <w:color w:val="auto"/>
              </w:rPr>
            </w:pPr>
          </w:p>
        </w:tc>
        <w:tc>
          <w:tcPr>
            <w:tcW w:w="580" w:type="dxa"/>
            <w:vAlign w:val="bottom"/>
            <w:gridSpan w:val="13"/>
          </w:tcPr>
          <w:p>
            <w:pPr>
              <w:spacing w:after="0"/>
              <w:rPr>
                <w:sz w:val="14"/>
                <w:szCs w:val="14"/>
                <w:color w:val="auto"/>
              </w:rPr>
            </w:pPr>
          </w:p>
        </w:tc>
        <w:tc>
          <w:tcPr>
            <w:tcW w:w="240" w:type="dxa"/>
            <w:vAlign w:val="bottom"/>
            <w:tcBorders>
              <w:top w:val="single" w:sz="8" w:color="DDDDDD"/>
            </w:tcBorders>
            <w:gridSpan w:val="6"/>
          </w:tcPr>
          <w:p>
            <w:pPr>
              <w:spacing w:after="0"/>
              <w:rPr>
                <w:sz w:val="14"/>
                <w:szCs w:val="14"/>
                <w:color w:val="auto"/>
              </w:rPr>
            </w:pPr>
          </w:p>
        </w:tc>
        <w:tc>
          <w:tcPr>
            <w:tcW w:w="3380" w:type="dxa"/>
            <w:vAlign w:val="bottom"/>
            <w:gridSpan w:val="6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96" w:lineRule="exact"/>
              <w:rPr>
                <w:sz w:val="20"/>
                <w:szCs w:val="20"/>
                <w:color w:val="auto"/>
              </w:rPr>
            </w:pPr>
            <w:r>
              <w:rPr>
                <w:rFonts w:ascii="Arial" w:cs="Arial" w:eastAsia="Arial" w:hAnsi="Arial"/>
                <w:sz w:val="18"/>
                <w:szCs w:val="18"/>
                <w:color w:val="auto"/>
                <w:w w:val="99"/>
              </w:rPr>
              <w:t>SECTION 5.14</w:t>
            </w:r>
          </w:p>
        </w:tc>
        <w:tc>
          <w:tcPr>
            <w:tcW w:w="1100" w:type="dxa"/>
            <w:vAlign w:val="bottom"/>
            <w:gridSpan w:val="8"/>
            <w:vMerge w:val="restart"/>
          </w:tcPr>
          <w:p>
            <w:pPr>
              <w:ind w:left="80"/>
              <w:spacing w:after="0" w:line="196" w:lineRule="exact"/>
              <w:rPr>
                <w:sz w:val="20"/>
                <w:szCs w:val="20"/>
                <w:color w:val="auto"/>
              </w:rPr>
            </w:pPr>
            <w:r>
              <w:rPr>
                <w:rFonts w:ascii="Arial" w:cs="Arial" w:eastAsia="Arial" w:hAnsi="Arial"/>
                <w:sz w:val="18"/>
                <w:szCs w:val="18"/>
                <w:color w:val="auto"/>
                <w:w w:val="93"/>
              </w:rPr>
              <w:t>Certain Post-</w:t>
            </w:r>
          </w:p>
        </w:tc>
        <w:tc>
          <w:tcPr>
            <w:tcW w:w="120" w:type="dxa"/>
            <w:vAlign w:val="bottom"/>
            <w:tcBorders>
              <w:left w:val="single" w:sz="8" w:color="DDDDDD"/>
            </w:tcBorders>
            <w:gridSpan w:val="2"/>
            <w:shd w:val="clear" w:color="auto" w:fill="DDDDDD"/>
          </w:tcPr>
          <w:p>
            <w:pPr>
              <w:spacing w:after="0" w:line="20" w:lineRule="exact"/>
              <w:rPr>
                <w:sz w:val="1"/>
                <w:szCs w:val="1"/>
                <w:color w:val="auto"/>
              </w:rPr>
            </w:pPr>
          </w:p>
        </w:tc>
        <w:tc>
          <w:tcPr>
            <w:tcW w:w="100" w:type="dxa"/>
            <w:vAlign w:val="bottom"/>
            <w:tcBorders>
              <w:left w:val="single" w:sz="8" w:color="DDDDDD"/>
            </w:tcBorders>
            <w:gridSpan w:val="3"/>
            <w:shd w:val="clear" w:color="auto" w:fill="DDDDDD"/>
          </w:tcPr>
          <w:p>
            <w:pPr>
              <w:spacing w:after="0" w:line="20" w:lineRule="exact"/>
              <w:rPr>
                <w:sz w:val="1"/>
                <w:szCs w:val="1"/>
                <w:color w:val="auto"/>
              </w:rPr>
            </w:pPr>
          </w:p>
        </w:tc>
        <w:tc>
          <w:tcPr>
            <w:tcW w:w="1240" w:type="dxa"/>
            <w:vAlign w:val="bottom"/>
            <w:tcBorders>
              <w:left w:val="single" w:sz="8" w:color="DDDDDD"/>
            </w:tcBorders>
            <w:gridSpan w:val="32"/>
          </w:tcPr>
          <w:p>
            <w:pPr>
              <w:spacing w:after="0" w:line="20" w:lineRule="exact"/>
              <w:rPr>
                <w:sz w:val="1"/>
                <w:szCs w:val="1"/>
                <w:color w:val="auto"/>
              </w:rPr>
            </w:pPr>
          </w:p>
        </w:tc>
        <w:tc>
          <w:tcPr>
            <w:tcW w:w="100" w:type="dxa"/>
            <w:vAlign w:val="bottom"/>
            <w:gridSpan w:val="3"/>
            <w:vMerge w:val="restart"/>
          </w:tcPr>
          <w:p>
            <w:pPr>
              <w:spacing w:after="0" w:line="20" w:lineRule="exact"/>
              <w:rPr>
                <w:sz w:val="1"/>
                <w:szCs w:val="1"/>
                <w:color w:val="auto"/>
              </w:rPr>
            </w:pPr>
          </w:p>
        </w:tc>
        <w:tc>
          <w:tcPr>
            <w:tcW w:w="260" w:type="dxa"/>
            <w:vAlign w:val="bottom"/>
            <w:gridSpan w:val="9"/>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112</w:t>
            </w:r>
          </w:p>
        </w:tc>
        <w:tc>
          <w:tcPr>
            <w:tcW w:w="260" w:type="dxa"/>
            <w:vAlign w:val="bottom"/>
            <w:gridSpan w:val="7"/>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6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1100" w:type="dxa"/>
            <w:vAlign w:val="bottom"/>
            <w:gridSpan w:val="8"/>
            <w:vMerge w:val="continue"/>
          </w:tcPr>
          <w:p>
            <w:pPr>
              <w:spacing w:after="0" w:line="20" w:lineRule="exact"/>
              <w:rPr>
                <w:sz w:val="1"/>
                <w:szCs w:val="1"/>
                <w:color w:val="auto"/>
              </w:rPr>
            </w:pPr>
          </w:p>
        </w:tc>
        <w:tc>
          <w:tcPr>
            <w:tcW w:w="1460" w:type="dxa"/>
            <w:vAlign w:val="bottom"/>
            <w:gridSpan w:val="37"/>
            <w:vMerge w:val="restart"/>
          </w:tcPr>
          <w:p>
            <w:pPr>
              <w:spacing w:after="0" w:line="176" w:lineRule="exact"/>
              <w:rPr>
                <w:sz w:val="20"/>
                <w:szCs w:val="20"/>
                <w:color w:val="auto"/>
              </w:rPr>
            </w:pPr>
            <w:r>
              <w:rPr>
                <w:rFonts w:ascii="Arial" w:cs="Arial" w:eastAsia="Arial" w:hAnsi="Arial"/>
                <w:sz w:val="18"/>
                <w:szCs w:val="18"/>
                <w:color w:val="auto"/>
                <w:w w:val="92"/>
              </w:rPr>
              <w:t>Closing Obligations</w:t>
            </w:r>
          </w:p>
        </w:tc>
        <w:tc>
          <w:tcPr>
            <w:tcW w:w="100" w:type="dxa"/>
            <w:vAlign w:val="bottom"/>
            <w:gridSpan w:val="3"/>
            <w:vMerge w:val="continue"/>
          </w:tcPr>
          <w:p>
            <w:pPr>
              <w:spacing w:after="0" w:line="20" w:lineRule="exact"/>
              <w:rPr>
                <w:sz w:val="1"/>
                <w:szCs w:val="1"/>
                <w:color w:val="auto"/>
              </w:rPr>
            </w:pPr>
          </w:p>
        </w:tc>
        <w:tc>
          <w:tcPr>
            <w:tcW w:w="260" w:type="dxa"/>
            <w:vAlign w:val="bottom"/>
            <w:gridSpan w:val="9"/>
            <w:vMerge w:val="continue"/>
          </w:tcPr>
          <w:p>
            <w:pPr>
              <w:spacing w:after="0" w:line="20" w:lineRule="exact"/>
              <w:rPr>
                <w:sz w:val="1"/>
                <w:szCs w:val="1"/>
                <w:color w:val="auto"/>
              </w:rPr>
            </w:pPr>
          </w:p>
        </w:tc>
        <w:tc>
          <w:tcPr>
            <w:tcW w:w="260" w:type="dxa"/>
            <w:vAlign w:val="bottom"/>
            <w:gridSpan w:val="7"/>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20" w:type="dxa"/>
            <w:vAlign w:val="bottom"/>
            <w:vMerge w:val="continue"/>
          </w:tcPr>
          <w:p>
            <w:pPr>
              <w:spacing w:after="0"/>
              <w:rPr>
                <w:sz w:val="15"/>
                <w:szCs w:val="15"/>
                <w:color w:val="auto"/>
              </w:rPr>
            </w:pPr>
          </w:p>
        </w:tc>
        <w:tc>
          <w:tcPr>
            <w:tcW w:w="1100" w:type="dxa"/>
            <w:vAlign w:val="bottom"/>
            <w:gridSpan w:val="8"/>
            <w:vMerge w:val="continue"/>
          </w:tcPr>
          <w:p>
            <w:pPr>
              <w:spacing w:after="0"/>
              <w:rPr>
                <w:sz w:val="15"/>
                <w:szCs w:val="15"/>
                <w:color w:val="auto"/>
              </w:rPr>
            </w:pPr>
          </w:p>
        </w:tc>
        <w:tc>
          <w:tcPr>
            <w:tcW w:w="1460" w:type="dxa"/>
            <w:vAlign w:val="bottom"/>
            <w:gridSpan w:val="37"/>
            <w:vMerge w:val="continue"/>
          </w:tcPr>
          <w:p>
            <w:pPr>
              <w:spacing w:after="0"/>
              <w:rPr>
                <w:sz w:val="15"/>
                <w:szCs w:val="15"/>
                <w:color w:val="auto"/>
              </w:rPr>
            </w:pPr>
          </w:p>
        </w:tc>
        <w:tc>
          <w:tcPr>
            <w:tcW w:w="100" w:type="dxa"/>
            <w:vAlign w:val="bottom"/>
            <w:gridSpan w:val="3"/>
          </w:tcPr>
          <w:p>
            <w:pPr>
              <w:spacing w:after="0"/>
              <w:rPr>
                <w:sz w:val="15"/>
                <w:szCs w:val="15"/>
                <w:color w:val="auto"/>
              </w:rPr>
            </w:pPr>
          </w:p>
        </w:tc>
        <w:tc>
          <w:tcPr>
            <w:tcW w:w="260" w:type="dxa"/>
            <w:vAlign w:val="bottom"/>
            <w:gridSpan w:val="9"/>
            <w:vMerge w:val="continue"/>
          </w:tcPr>
          <w:p>
            <w:pPr>
              <w:spacing w:after="0"/>
              <w:rPr>
                <w:sz w:val="15"/>
                <w:szCs w:val="15"/>
                <w:color w:val="auto"/>
              </w:rPr>
            </w:pPr>
          </w:p>
        </w:tc>
        <w:tc>
          <w:tcPr>
            <w:tcW w:w="260" w:type="dxa"/>
            <w:vAlign w:val="bottom"/>
            <w:tcBorders>
              <w:bottom w:val="single" w:sz="8" w:color="0000FF"/>
            </w:tcBorders>
            <w:gridSpan w:val="7"/>
            <w:shd w:val="clear" w:color="auto" w:fill="DDDDDD"/>
          </w:tcPr>
          <w:p>
            <w:pPr>
              <w:jc w:val="right"/>
              <w:spacing w:after="0" w:line="156" w:lineRule="exact"/>
              <w:rPr>
                <w:sz w:val="20"/>
                <w:szCs w:val="20"/>
                <w:color w:val="auto"/>
              </w:rPr>
            </w:pPr>
            <w:r>
              <w:rPr>
                <w:rFonts w:ascii="Arial" w:cs="Arial" w:eastAsia="Arial" w:hAnsi="Arial"/>
                <w:sz w:val="18"/>
                <w:szCs w:val="18"/>
                <w:color w:val="0000FF"/>
                <w:highlight w:val="lightGray"/>
                <w:w w:val="79"/>
              </w:rPr>
              <w:t>116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5.15</w:t>
            </w:r>
          </w:p>
        </w:tc>
        <w:tc>
          <w:tcPr>
            <w:tcW w:w="2140" w:type="dxa"/>
            <w:vAlign w:val="bottom"/>
            <w:gridSpan w:val="31"/>
          </w:tcPr>
          <w:p>
            <w:pPr>
              <w:ind w:left="80"/>
              <w:spacing w:after="0" w:line="176" w:lineRule="exact"/>
              <w:rPr>
                <w:sz w:val="20"/>
                <w:szCs w:val="20"/>
                <w:color w:val="auto"/>
              </w:rPr>
            </w:pPr>
            <w:r>
              <w:rPr>
                <w:rFonts w:ascii="Arial" w:cs="Arial" w:eastAsia="Arial" w:hAnsi="Arial"/>
                <w:sz w:val="18"/>
                <w:szCs w:val="18"/>
                <w:color w:val="auto"/>
                <w:w w:val="93"/>
              </w:rPr>
              <w:t>Designation of Subsidiaries</w:t>
            </w: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8"/>
          </w:tcPr>
          <w:p>
            <w:pPr>
              <w:jc w:val="right"/>
              <w:spacing w:after="0" w:line="176" w:lineRule="exact"/>
              <w:rPr>
                <w:sz w:val="20"/>
                <w:szCs w:val="20"/>
                <w:color w:val="auto"/>
              </w:rPr>
            </w:pPr>
            <w:r>
              <w:rPr>
                <w:rFonts w:ascii="Arial" w:cs="Arial" w:eastAsia="Arial" w:hAnsi="Arial"/>
                <w:sz w:val="18"/>
                <w:szCs w:val="18"/>
                <w:color w:val="FF0000"/>
                <w:strike w:val="1"/>
                <w:w w:val="79"/>
              </w:rPr>
              <w:t>112</w:t>
            </w:r>
          </w:p>
        </w:tc>
        <w:tc>
          <w:tcPr>
            <w:tcW w:w="260" w:type="dxa"/>
            <w:vAlign w:val="bottom"/>
            <w:tcBorders>
              <w:bottom w:val="single" w:sz="8" w:color="0000FF"/>
            </w:tcBorders>
            <w:gridSpan w:val="8"/>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116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5.16</w:t>
            </w:r>
          </w:p>
        </w:tc>
        <w:tc>
          <w:tcPr>
            <w:tcW w:w="1640" w:type="dxa"/>
            <w:vAlign w:val="bottom"/>
            <w:gridSpan w:val="21"/>
          </w:tcPr>
          <w:p>
            <w:pPr>
              <w:ind w:left="80"/>
              <w:spacing w:after="0" w:line="176" w:lineRule="exact"/>
              <w:rPr>
                <w:sz w:val="20"/>
                <w:szCs w:val="20"/>
                <w:color w:val="auto"/>
              </w:rPr>
            </w:pPr>
            <w:r>
              <w:rPr>
                <w:rFonts w:ascii="Arial" w:cs="Arial" w:eastAsia="Arial" w:hAnsi="Arial"/>
                <w:sz w:val="18"/>
                <w:szCs w:val="18"/>
                <w:color w:val="auto"/>
                <w:w w:val="91"/>
              </w:rPr>
              <w:t>Change in Business</w:t>
            </w:r>
          </w:p>
        </w:tc>
        <w:tc>
          <w:tcPr>
            <w:tcW w:w="320" w:type="dxa"/>
            <w:vAlign w:val="bottom"/>
            <w:gridSpan w:val="7"/>
          </w:tcPr>
          <w:p>
            <w:pPr>
              <w:ind w:left="40"/>
              <w:spacing w:after="0" w:line="176" w:lineRule="exact"/>
              <w:rPr>
                <w:sz w:val="20"/>
                <w:szCs w:val="20"/>
                <w:color w:val="auto"/>
              </w:rPr>
            </w:pPr>
            <w:r>
              <w:rPr>
                <w:rFonts w:ascii="Arial" w:cs="Arial" w:eastAsia="Arial" w:hAnsi="Arial"/>
                <w:sz w:val="18"/>
                <w:szCs w:val="18"/>
                <w:color w:val="FF0000"/>
                <w:strike w:val="1"/>
                <w:w w:val="79"/>
              </w:rPr>
              <w:t>113</w:t>
            </w:r>
          </w:p>
        </w:tc>
        <w:tc>
          <w:tcPr>
            <w:tcW w:w="260" w:type="dxa"/>
            <w:vAlign w:val="bottom"/>
            <w:tcBorders>
              <w:left w:val="single" w:sz="8" w:color="DDDDDD"/>
              <w:bottom w:val="single" w:sz="8" w:color="0000FF"/>
            </w:tcBorders>
            <w:gridSpan w:val="7"/>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116</w:t>
            </w:r>
          </w:p>
        </w:tc>
        <w:tc>
          <w:tcPr>
            <w:tcW w:w="3340" w:type="dxa"/>
            <w:vAlign w:val="bottom"/>
            <w:gridSpan w:val="6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96" w:lineRule="exact"/>
              <w:rPr>
                <w:sz w:val="20"/>
                <w:szCs w:val="20"/>
                <w:color w:val="auto"/>
              </w:rPr>
            </w:pPr>
            <w:r>
              <w:rPr>
                <w:rFonts w:ascii="Arial" w:cs="Arial" w:eastAsia="Arial" w:hAnsi="Arial"/>
                <w:sz w:val="18"/>
                <w:szCs w:val="18"/>
                <w:color w:val="auto"/>
                <w:w w:val="99"/>
              </w:rPr>
              <w:t>SECTION 5.17</w:t>
            </w:r>
          </w:p>
        </w:tc>
        <w:tc>
          <w:tcPr>
            <w:tcW w:w="1960" w:type="dxa"/>
            <w:vAlign w:val="bottom"/>
            <w:gridSpan w:val="28"/>
            <w:vMerge w:val="restart"/>
          </w:tcPr>
          <w:p>
            <w:pPr>
              <w:ind w:left="80"/>
              <w:spacing w:after="0" w:line="196" w:lineRule="exact"/>
              <w:rPr>
                <w:sz w:val="20"/>
                <w:szCs w:val="20"/>
                <w:color w:val="auto"/>
              </w:rPr>
            </w:pPr>
            <w:r>
              <w:rPr>
                <w:rFonts w:ascii="Arial" w:cs="Arial" w:eastAsia="Arial" w:hAnsi="Arial"/>
                <w:sz w:val="18"/>
                <w:szCs w:val="18"/>
                <w:color w:val="auto"/>
                <w:w w:val="87"/>
              </w:rPr>
              <w:t>Changes in Fiscal Periods</w:t>
            </w:r>
          </w:p>
        </w:tc>
        <w:tc>
          <w:tcPr>
            <w:tcW w:w="3600" w:type="dxa"/>
            <w:vAlign w:val="bottom"/>
            <w:tcBorders>
              <w:left w:val="single" w:sz="8" w:color="DDDDDD"/>
            </w:tcBorders>
            <w:gridSpan w:val="67"/>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1960" w:type="dxa"/>
            <w:vAlign w:val="bottom"/>
            <w:gridSpan w:val="28"/>
            <w:vMerge w:val="continu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8"/>
            <w:vMerge w:val="restart"/>
          </w:tcPr>
          <w:p>
            <w:pPr>
              <w:jc w:val="right"/>
              <w:spacing w:after="0" w:line="176" w:lineRule="exact"/>
              <w:rPr>
                <w:sz w:val="20"/>
                <w:szCs w:val="20"/>
                <w:color w:val="auto"/>
              </w:rPr>
            </w:pPr>
            <w:r>
              <w:rPr>
                <w:rFonts w:ascii="Arial" w:cs="Arial" w:eastAsia="Arial" w:hAnsi="Arial"/>
                <w:sz w:val="18"/>
                <w:szCs w:val="18"/>
                <w:color w:val="FF0000"/>
                <w:strike w:val="1"/>
                <w:w w:val="79"/>
              </w:rPr>
              <w:t>113</w:t>
            </w: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20" w:type="dxa"/>
            <w:vAlign w:val="bottom"/>
            <w:vMerge w:val="continue"/>
          </w:tcPr>
          <w:p>
            <w:pPr>
              <w:spacing w:after="0"/>
              <w:rPr>
                <w:sz w:val="14"/>
                <w:szCs w:val="14"/>
                <w:color w:val="auto"/>
              </w:rPr>
            </w:pPr>
          </w:p>
        </w:tc>
        <w:tc>
          <w:tcPr>
            <w:tcW w:w="1960" w:type="dxa"/>
            <w:vAlign w:val="bottom"/>
            <w:gridSpan w:val="28"/>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8"/>
            <w:vMerge w:val="continue"/>
          </w:tcPr>
          <w:p>
            <w:pPr>
              <w:spacing w:after="0"/>
              <w:rPr>
                <w:sz w:val="14"/>
                <w:szCs w:val="14"/>
                <w:color w:val="auto"/>
              </w:rPr>
            </w:pPr>
          </w:p>
        </w:tc>
        <w:tc>
          <w:tcPr>
            <w:tcW w:w="260" w:type="dxa"/>
            <w:vAlign w:val="bottom"/>
            <w:tcBorders>
              <w:bottom w:val="single" w:sz="8" w:color="0000FF"/>
            </w:tcBorders>
            <w:gridSpan w:val="9"/>
            <w:shd w:val="clear" w:color="auto" w:fill="DDDDDD"/>
          </w:tcPr>
          <w:p>
            <w:pPr>
              <w:spacing w:after="0" w:line="156" w:lineRule="exact"/>
              <w:rPr>
                <w:sz w:val="20"/>
                <w:szCs w:val="20"/>
                <w:color w:val="auto"/>
              </w:rPr>
            </w:pPr>
            <w:r>
              <w:rPr>
                <w:rFonts w:ascii="Arial" w:cs="Arial" w:eastAsia="Arial" w:hAnsi="Arial"/>
                <w:sz w:val="18"/>
                <w:szCs w:val="18"/>
                <w:color w:val="0000FF"/>
                <w:highlight w:val="lightGray"/>
                <w:w w:val="79"/>
              </w:rPr>
              <w:t>116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16"/>
            <w:vMerge w:val="restart"/>
          </w:tcPr>
          <w:p>
            <w:pPr>
              <w:jc w:val="center"/>
              <w:ind w:right="520"/>
              <w:spacing w:after="0"/>
              <w:rPr>
                <w:sz w:val="20"/>
                <w:szCs w:val="20"/>
                <w:color w:val="auto"/>
              </w:rPr>
            </w:pPr>
            <w:r>
              <w:rPr>
                <w:rFonts w:ascii="Arial" w:cs="Arial" w:eastAsia="Arial" w:hAnsi="Arial"/>
                <w:sz w:val="18"/>
                <w:szCs w:val="18"/>
                <w:color w:val="010000"/>
                <w:w w:val="99"/>
              </w:rPr>
              <w:t>ARTICLE VI</w:t>
            </w:r>
          </w:p>
        </w:tc>
        <w:tc>
          <w:tcPr>
            <w:tcW w:w="0" w:type="dxa"/>
            <w:vAlign w:val="bottom"/>
          </w:tcPr>
          <w:p>
            <w:pPr>
              <w:spacing w:after="0"/>
              <w:rPr>
                <w:sz w:val="1"/>
                <w:szCs w:val="1"/>
                <w:color w:val="auto"/>
              </w:rPr>
            </w:pPr>
          </w:p>
        </w:tc>
      </w:tr>
      <w:tr>
        <w:trPr>
          <w:trHeight w:val="446"/>
        </w:trPr>
        <w:tc>
          <w:tcPr>
            <w:tcW w:w="5000" w:type="dxa"/>
            <w:vAlign w:val="bottom"/>
            <w:gridSpan w:val="80"/>
          </w:tcPr>
          <w:p>
            <w:pPr>
              <w:spacing w:after="0"/>
              <w:rPr>
                <w:sz w:val="24"/>
                <w:szCs w:val="24"/>
                <w:color w:val="auto"/>
              </w:rPr>
            </w:pPr>
          </w:p>
        </w:tc>
        <w:tc>
          <w:tcPr>
            <w:tcW w:w="1780" w:type="dxa"/>
            <w:vAlign w:val="bottom"/>
            <w:gridSpan w:val="1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780" w:type="dxa"/>
            <w:vAlign w:val="bottom"/>
            <w:gridSpan w:val="96"/>
          </w:tcPr>
          <w:p>
            <w:pPr>
              <w:spacing w:after="0"/>
              <w:rPr>
                <w:sz w:val="20"/>
                <w:szCs w:val="20"/>
                <w:color w:val="auto"/>
              </w:rPr>
            </w:pPr>
            <w:r>
              <w:rPr>
                <w:rFonts w:ascii="Arial" w:cs="Arial" w:eastAsia="Arial" w:hAnsi="Arial"/>
                <w:sz w:val="18"/>
                <w:szCs w:val="18"/>
                <w:color w:val="auto"/>
              </w:rPr>
              <w:t>NEGATIVE COVENANTS</w:t>
            </w:r>
          </w:p>
        </w:tc>
        <w:tc>
          <w:tcPr>
            <w:tcW w:w="0" w:type="dxa"/>
            <w:vAlign w:val="bottom"/>
          </w:tcPr>
          <w:p>
            <w:pPr>
              <w:spacing w:after="0"/>
              <w:rPr>
                <w:sz w:val="1"/>
                <w:szCs w:val="1"/>
                <w:color w:val="auto"/>
              </w:rPr>
            </w:pPr>
          </w:p>
        </w:tc>
      </w:tr>
      <w:tr>
        <w:trPr>
          <w:trHeight w:val="189"/>
        </w:trPr>
        <w:tc>
          <w:tcPr>
            <w:tcW w:w="1220" w:type="dxa"/>
            <w:vAlign w:val="bottom"/>
            <w:vMerge w:val="restart"/>
          </w:tcPr>
          <w:p>
            <w:pPr>
              <w:spacing w:after="0"/>
              <w:rPr>
                <w:sz w:val="20"/>
                <w:szCs w:val="20"/>
                <w:color w:val="auto"/>
              </w:rPr>
            </w:pPr>
            <w:r>
              <w:rPr>
                <w:rFonts w:ascii="Arial" w:cs="Arial" w:eastAsia="Arial" w:hAnsi="Arial"/>
                <w:sz w:val="18"/>
                <w:szCs w:val="18"/>
                <w:color w:val="auto"/>
                <w:w w:val="99"/>
              </w:rPr>
              <w:t>SECTION 6.01</w:t>
            </w:r>
          </w:p>
        </w:tc>
        <w:tc>
          <w:tcPr>
            <w:tcW w:w="2970" w:type="dxa"/>
            <w:vAlign w:val="bottom"/>
            <w:gridSpan w:val="59"/>
            <w:vMerge w:val="restart"/>
          </w:tcPr>
          <w:p>
            <w:pPr>
              <w:ind w:left="80"/>
              <w:spacing w:after="0"/>
              <w:rPr>
                <w:sz w:val="20"/>
                <w:szCs w:val="20"/>
                <w:color w:val="auto"/>
              </w:rPr>
            </w:pPr>
            <w:r>
              <w:rPr>
                <w:rFonts w:ascii="Arial" w:cs="Arial" w:eastAsia="Arial" w:hAnsi="Arial"/>
                <w:sz w:val="18"/>
                <w:szCs w:val="18"/>
                <w:color w:val="auto"/>
                <w:w w:val="91"/>
              </w:rPr>
              <w:t>Indebtedness; Certain Equity Securities</w:t>
            </w:r>
          </w:p>
        </w:tc>
        <w:tc>
          <w:tcPr>
            <w:tcW w:w="130" w:type="dxa"/>
            <w:vAlign w:val="bottom"/>
            <w:gridSpan w:val="3"/>
          </w:tcPr>
          <w:p>
            <w:pPr>
              <w:spacing w:after="0"/>
              <w:rPr>
                <w:sz w:val="16"/>
                <w:szCs w:val="16"/>
                <w:color w:val="auto"/>
              </w:rPr>
            </w:pPr>
          </w:p>
        </w:tc>
        <w:tc>
          <w:tcPr>
            <w:tcW w:w="280" w:type="dxa"/>
            <w:vAlign w:val="bottom"/>
            <w:gridSpan w:val="7"/>
            <w:vMerge w:val="restart"/>
          </w:tcPr>
          <w:p>
            <w:pPr>
              <w:jc w:val="right"/>
              <w:spacing w:after="0"/>
              <w:rPr>
                <w:sz w:val="20"/>
                <w:szCs w:val="20"/>
                <w:color w:val="auto"/>
              </w:rPr>
            </w:pPr>
            <w:r>
              <w:rPr>
                <w:rFonts w:ascii="Arial" w:cs="Arial" w:eastAsia="Arial" w:hAnsi="Arial"/>
                <w:sz w:val="18"/>
                <w:szCs w:val="18"/>
                <w:color w:val="FF0000"/>
                <w:strike w:val="1"/>
                <w:w w:val="86"/>
              </w:rPr>
              <w:t>113</w:t>
            </w:r>
          </w:p>
        </w:tc>
        <w:tc>
          <w:tcPr>
            <w:tcW w:w="260" w:type="dxa"/>
            <w:vAlign w:val="bottom"/>
            <w:gridSpan w:val="6"/>
          </w:tcPr>
          <w:p>
            <w:pPr>
              <w:spacing w:after="0"/>
              <w:rPr>
                <w:sz w:val="16"/>
                <w:szCs w:val="16"/>
                <w:color w:val="auto"/>
              </w:rPr>
            </w:pPr>
          </w:p>
        </w:tc>
        <w:tc>
          <w:tcPr>
            <w:tcW w:w="20" w:type="dxa"/>
            <w:vAlign w:val="bottom"/>
            <w:vMerge w:val="restart"/>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20" w:type="dxa"/>
            <w:vAlign w:val="bottom"/>
            <w:vMerge w:val="continue"/>
          </w:tcPr>
          <w:p>
            <w:pPr>
              <w:spacing w:after="0"/>
              <w:rPr>
                <w:sz w:val="17"/>
                <w:szCs w:val="17"/>
                <w:color w:val="auto"/>
              </w:rPr>
            </w:pPr>
          </w:p>
        </w:tc>
        <w:tc>
          <w:tcPr>
            <w:tcW w:w="2970" w:type="dxa"/>
            <w:vAlign w:val="bottom"/>
            <w:gridSpan w:val="59"/>
            <w:vMerge w:val="continue"/>
          </w:tcPr>
          <w:p>
            <w:pPr>
              <w:spacing w:after="0"/>
              <w:rPr>
                <w:sz w:val="17"/>
                <w:szCs w:val="17"/>
                <w:color w:val="auto"/>
              </w:rPr>
            </w:pPr>
          </w:p>
        </w:tc>
        <w:tc>
          <w:tcPr>
            <w:tcW w:w="130" w:type="dxa"/>
            <w:vAlign w:val="bottom"/>
            <w:gridSpan w:val="3"/>
          </w:tcPr>
          <w:p>
            <w:pPr>
              <w:spacing w:after="0"/>
              <w:rPr>
                <w:sz w:val="17"/>
                <w:szCs w:val="17"/>
                <w:color w:val="auto"/>
              </w:rPr>
            </w:pPr>
          </w:p>
        </w:tc>
        <w:tc>
          <w:tcPr>
            <w:tcW w:w="280" w:type="dxa"/>
            <w:vAlign w:val="bottom"/>
            <w:gridSpan w:val="7"/>
            <w:vMerge w:val="continue"/>
          </w:tcPr>
          <w:p>
            <w:pPr>
              <w:spacing w:after="0"/>
              <w:rPr>
                <w:sz w:val="17"/>
                <w:szCs w:val="17"/>
                <w:color w:val="auto"/>
              </w:rPr>
            </w:pPr>
          </w:p>
        </w:tc>
        <w:tc>
          <w:tcPr>
            <w:tcW w:w="260" w:type="dxa"/>
            <w:vAlign w:val="bottom"/>
            <w:tcBorders>
              <w:left w:val="single" w:sz="8" w:color="DDDDDD"/>
            </w:tcBorders>
            <w:gridSpan w:val="6"/>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9"/>
              </w:rPr>
              <w:t>116</w:t>
            </w: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line="163" w:lineRule="exact"/>
              <w:rPr>
                <w:sz w:val="20"/>
                <w:szCs w:val="20"/>
                <w:color w:val="auto"/>
              </w:rPr>
            </w:pPr>
            <w:r>
              <w:rPr>
                <w:rFonts w:ascii="Arial" w:cs="Arial" w:eastAsia="Arial" w:hAnsi="Arial"/>
                <w:sz w:val="18"/>
                <w:szCs w:val="18"/>
                <w:color w:val="auto"/>
                <w:w w:val="99"/>
              </w:rPr>
              <w:t>SECTION 6.02</w:t>
            </w:r>
          </w:p>
        </w:tc>
        <w:tc>
          <w:tcPr>
            <w:tcW w:w="660" w:type="dxa"/>
            <w:vAlign w:val="bottom"/>
          </w:tcPr>
          <w:p>
            <w:pPr>
              <w:ind w:left="80"/>
              <w:spacing w:after="0" w:line="163" w:lineRule="exact"/>
              <w:rPr>
                <w:sz w:val="20"/>
                <w:szCs w:val="20"/>
                <w:color w:val="auto"/>
              </w:rPr>
            </w:pPr>
            <w:r>
              <w:rPr>
                <w:rFonts w:ascii="Arial" w:cs="Arial" w:eastAsia="Arial" w:hAnsi="Arial"/>
                <w:sz w:val="18"/>
                <w:szCs w:val="18"/>
                <w:color w:val="auto"/>
              </w:rPr>
              <w:t>Liens</w:t>
            </w:r>
          </w:p>
        </w:tc>
        <w:tc>
          <w:tcPr>
            <w:tcW w:w="260" w:type="dxa"/>
            <w:vAlign w:val="bottom"/>
          </w:tcPr>
          <w:p>
            <w:pPr>
              <w:jc w:val="right"/>
              <w:spacing w:after="0" w:line="163" w:lineRule="exact"/>
              <w:rPr>
                <w:sz w:val="20"/>
                <w:szCs w:val="20"/>
                <w:color w:val="auto"/>
              </w:rPr>
            </w:pPr>
            <w:r>
              <w:rPr>
                <w:rFonts w:ascii="Arial" w:cs="Arial" w:eastAsia="Arial" w:hAnsi="Arial"/>
                <w:sz w:val="18"/>
                <w:szCs w:val="18"/>
                <w:color w:val="FF0000"/>
                <w:strike w:val="1"/>
                <w:w w:val="79"/>
              </w:rPr>
              <w:t>116</w:t>
            </w:r>
          </w:p>
        </w:tc>
        <w:tc>
          <w:tcPr>
            <w:tcW w:w="280" w:type="dxa"/>
            <w:vAlign w:val="bottom"/>
            <w:tcBorders>
              <w:bottom w:val="single" w:sz="8" w:color="0000FF"/>
            </w:tcBorders>
            <w:gridSpan w:val="7"/>
          </w:tcPr>
          <w:p>
            <w:pPr>
              <w:jc w:val="right"/>
              <w:ind w:right="194"/>
              <w:spacing w:after="0"/>
              <w:rPr>
                <w:sz w:val="20"/>
                <w:szCs w:val="20"/>
                <w:color w:val="auto"/>
              </w:rPr>
            </w:pPr>
            <w:r>
              <w:rPr>
                <w:rFonts w:ascii="Arial" w:cs="Arial" w:eastAsia="Arial" w:hAnsi="Arial"/>
                <w:sz w:val="18"/>
                <w:szCs w:val="18"/>
                <w:color w:val="0000FF"/>
                <w:highlight w:val="lightGray"/>
              </w:rPr>
              <w:t>120</w:t>
            </w:r>
          </w:p>
        </w:tc>
        <w:tc>
          <w:tcPr>
            <w:tcW w:w="2180" w:type="dxa"/>
            <w:vAlign w:val="bottom"/>
            <w:gridSpan w:val="60"/>
          </w:tcPr>
          <w:p>
            <w:pPr>
              <w:spacing w:after="0"/>
              <w:rPr>
                <w:sz w:val="15"/>
                <w:szCs w:val="15"/>
                <w:color w:val="auto"/>
              </w:rPr>
            </w:pPr>
          </w:p>
        </w:tc>
        <w:tc>
          <w:tcPr>
            <w:tcW w:w="280" w:type="dxa"/>
            <w:vAlign w:val="bottom"/>
            <w:tcBorders>
              <w:top w:val="single" w:sz="8" w:color="0000FF"/>
            </w:tcBorders>
            <w:gridSpan w:val="7"/>
          </w:tcPr>
          <w:p>
            <w:pPr>
              <w:spacing w:after="0"/>
              <w:rPr>
                <w:sz w:val="15"/>
                <w:szCs w:val="15"/>
                <w:color w:val="auto"/>
              </w:rPr>
            </w:pPr>
          </w:p>
        </w:tc>
        <w:tc>
          <w:tcPr>
            <w:tcW w:w="190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6.03</w:t>
            </w:r>
          </w:p>
        </w:tc>
        <w:tc>
          <w:tcPr>
            <w:tcW w:w="940" w:type="dxa"/>
            <w:vAlign w:val="bottom"/>
            <w:gridSpan w:val="3"/>
          </w:tcPr>
          <w:p>
            <w:pPr>
              <w:ind w:left="80"/>
              <w:spacing w:after="0" w:line="176" w:lineRule="exact"/>
              <w:rPr>
                <w:sz w:val="20"/>
                <w:szCs w:val="20"/>
                <w:color w:val="auto"/>
              </w:rPr>
            </w:pPr>
            <w:r>
              <w:rPr>
                <w:rFonts w:ascii="Arial" w:cs="Arial" w:eastAsia="Arial" w:hAnsi="Arial"/>
                <w:sz w:val="18"/>
                <w:szCs w:val="18"/>
                <w:color w:val="auto"/>
                <w:w w:val="79"/>
              </w:rPr>
              <w:t>Fundamental</w:t>
            </w:r>
          </w:p>
        </w:tc>
        <w:tc>
          <w:tcPr>
            <w:tcW w:w="260" w:type="dxa"/>
            <w:vAlign w:val="bottom"/>
            <w:tcBorders>
              <w:top w:val="single" w:sz="8" w:color="DDDDDD"/>
            </w:tcBorders>
            <w:gridSpan w:val="6"/>
          </w:tcPr>
          <w:p>
            <w:pPr>
              <w:spacing w:after="0"/>
              <w:rPr>
                <w:sz w:val="17"/>
                <w:szCs w:val="17"/>
                <w:color w:val="auto"/>
              </w:rPr>
            </w:pPr>
          </w:p>
        </w:tc>
        <w:tc>
          <w:tcPr>
            <w:tcW w:w="660" w:type="dxa"/>
            <w:vAlign w:val="bottom"/>
            <w:gridSpan w:val="16"/>
          </w:tcPr>
          <w:p>
            <w:pPr>
              <w:spacing w:after="0" w:line="176" w:lineRule="exact"/>
              <w:rPr>
                <w:sz w:val="20"/>
                <w:szCs w:val="20"/>
                <w:color w:val="auto"/>
              </w:rPr>
            </w:pPr>
            <w:r>
              <w:rPr>
                <w:rFonts w:ascii="Arial" w:cs="Arial" w:eastAsia="Arial" w:hAnsi="Arial"/>
                <w:sz w:val="18"/>
                <w:szCs w:val="18"/>
                <w:color w:val="auto"/>
                <w:w w:val="85"/>
              </w:rPr>
              <w:t>Changes</w:t>
            </w:r>
          </w:p>
        </w:tc>
        <w:tc>
          <w:tcPr>
            <w:tcW w:w="280" w:type="dxa"/>
            <w:vAlign w:val="bottom"/>
            <w:gridSpan w:val="6"/>
          </w:tcPr>
          <w:p>
            <w:pPr>
              <w:ind w:left="20"/>
              <w:spacing w:after="0" w:line="176" w:lineRule="exact"/>
              <w:rPr>
                <w:sz w:val="20"/>
                <w:szCs w:val="20"/>
                <w:color w:val="auto"/>
              </w:rPr>
            </w:pPr>
            <w:r>
              <w:rPr>
                <w:rFonts w:ascii="Arial" w:cs="Arial" w:eastAsia="Arial" w:hAnsi="Arial"/>
                <w:sz w:val="18"/>
                <w:szCs w:val="18"/>
                <w:color w:val="FF0000"/>
                <w:strike w:val="1"/>
                <w:w w:val="79"/>
              </w:rPr>
              <w:t>119</w:t>
            </w:r>
          </w:p>
        </w:tc>
        <w:tc>
          <w:tcPr>
            <w:tcW w:w="280" w:type="dxa"/>
            <w:vAlign w:val="bottom"/>
            <w:tcBorders>
              <w:bottom w:val="single" w:sz="8" w:color="0000FF"/>
            </w:tcBorders>
            <w:gridSpan w:val="9"/>
          </w:tcPr>
          <w:p>
            <w:pPr>
              <w:jc w:val="right"/>
              <w:ind w:right="190"/>
              <w:spacing w:after="0"/>
              <w:rPr>
                <w:sz w:val="20"/>
                <w:szCs w:val="20"/>
                <w:color w:val="auto"/>
              </w:rPr>
            </w:pPr>
            <w:r>
              <w:rPr>
                <w:rFonts w:ascii="Arial" w:cs="Arial" w:eastAsia="Arial" w:hAnsi="Arial"/>
                <w:sz w:val="18"/>
                <w:szCs w:val="18"/>
                <w:color w:val="0000FF"/>
                <w:highlight w:val="lightGray"/>
              </w:rPr>
              <w:t>123</w:t>
            </w:r>
          </w:p>
        </w:tc>
        <w:tc>
          <w:tcPr>
            <w:tcW w:w="3140" w:type="dxa"/>
            <w:vAlign w:val="bottom"/>
            <w:gridSpan w:val="55"/>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20" w:type="dxa"/>
            <w:vAlign w:val="bottom"/>
          </w:tcPr>
          <w:p>
            <w:pPr>
              <w:spacing w:after="0" w:line="176" w:lineRule="exact"/>
              <w:rPr>
                <w:sz w:val="20"/>
                <w:szCs w:val="20"/>
                <w:color w:val="auto"/>
              </w:rPr>
            </w:pPr>
            <w:r>
              <w:rPr>
                <w:rFonts w:ascii="Arial" w:cs="Arial" w:eastAsia="Arial" w:hAnsi="Arial"/>
                <w:sz w:val="18"/>
                <w:szCs w:val="18"/>
                <w:color w:val="auto"/>
                <w:w w:val="99"/>
              </w:rPr>
              <w:t>SECTION 6.04</w:t>
            </w:r>
          </w:p>
        </w:tc>
        <w:tc>
          <w:tcPr>
            <w:tcW w:w="2160" w:type="dxa"/>
            <w:vAlign w:val="bottom"/>
            <w:gridSpan w:val="32"/>
          </w:tcPr>
          <w:p>
            <w:pPr>
              <w:ind w:left="80"/>
              <w:spacing w:after="0" w:line="176" w:lineRule="exact"/>
              <w:rPr>
                <w:sz w:val="20"/>
                <w:szCs w:val="20"/>
                <w:color w:val="auto"/>
              </w:rPr>
            </w:pPr>
            <w:r>
              <w:rPr>
                <w:rFonts w:ascii="Arial" w:cs="Arial" w:eastAsia="Arial" w:hAnsi="Arial"/>
                <w:sz w:val="18"/>
                <w:szCs w:val="18"/>
                <w:color w:val="auto"/>
                <w:w w:val="82"/>
              </w:rPr>
              <w:t>Investments, Loans, Advances,</w:t>
            </w:r>
          </w:p>
        </w:tc>
        <w:tc>
          <w:tcPr>
            <w:tcW w:w="20" w:type="dxa"/>
            <w:vAlign w:val="bottom"/>
            <w:tcBorders>
              <w:top w:val="single" w:sz="8" w:color="DDDDDD"/>
            </w:tcBorders>
          </w:tcPr>
          <w:p>
            <w:pPr>
              <w:spacing w:after="0"/>
              <w:rPr>
                <w:sz w:val="17"/>
                <w:szCs w:val="17"/>
                <w:color w:val="auto"/>
              </w:rPr>
            </w:pPr>
          </w:p>
        </w:tc>
        <w:tc>
          <w:tcPr>
            <w:tcW w:w="20" w:type="dxa"/>
            <w:vAlign w:val="bottom"/>
            <w:tcBorders>
              <w:top w:val="single" w:sz="8" w:color="DDDDDD"/>
            </w:tcBorders>
          </w:tcPr>
          <w:p>
            <w:pPr>
              <w:spacing w:after="0"/>
              <w:rPr>
                <w:sz w:val="17"/>
                <w:szCs w:val="17"/>
                <w:color w:val="auto"/>
              </w:rPr>
            </w:pPr>
          </w:p>
        </w:tc>
        <w:tc>
          <w:tcPr>
            <w:tcW w:w="20" w:type="dxa"/>
            <w:vAlign w:val="bottom"/>
            <w:tcBorders>
              <w:top w:val="single" w:sz="8" w:color="DDDDDD"/>
            </w:tcBorders>
          </w:tcPr>
          <w:p>
            <w:pPr>
              <w:spacing w:after="0"/>
              <w:rPr>
                <w:sz w:val="17"/>
                <w:szCs w:val="17"/>
                <w:color w:val="auto"/>
              </w:rPr>
            </w:pPr>
          </w:p>
        </w:tc>
        <w:tc>
          <w:tcPr>
            <w:tcW w:w="40" w:type="dxa"/>
            <w:vAlign w:val="bottom"/>
            <w:tcBorders>
              <w:top w:val="single" w:sz="8" w:color="DDDDDD"/>
            </w:tcBorders>
          </w:tcPr>
          <w:p>
            <w:pPr>
              <w:spacing w:after="0"/>
              <w:rPr>
                <w:sz w:val="17"/>
                <w:szCs w:val="17"/>
                <w:color w:val="auto"/>
              </w:rPr>
            </w:pPr>
          </w:p>
        </w:tc>
        <w:tc>
          <w:tcPr>
            <w:tcW w:w="40" w:type="dxa"/>
            <w:vAlign w:val="bottom"/>
            <w:tcBorders>
              <w:top w:val="single" w:sz="8" w:color="DDDDDD"/>
            </w:tcBorders>
          </w:tcPr>
          <w:p>
            <w:pPr>
              <w:spacing w:after="0"/>
              <w:rPr>
                <w:sz w:val="17"/>
                <w:szCs w:val="17"/>
                <w:color w:val="auto"/>
              </w:rPr>
            </w:pPr>
          </w:p>
        </w:tc>
        <w:tc>
          <w:tcPr>
            <w:tcW w:w="40" w:type="dxa"/>
            <w:vAlign w:val="bottom"/>
            <w:tcBorders>
              <w:top w:val="single" w:sz="8" w:color="DDDDDD"/>
            </w:tcBorders>
          </w:tcPr>
          <w:p>
            <w:pPr>
              <w:spacing w:after="0"/>
              <w:rPr>
                <w:sz w:val="17"/>
                <w:szCs w:val="17"/>
                <w:color w:val="auto"/>
              </w:rPr>
            </w:pPr>
          </w:p>
        </w:tc>
        <w:tc>
          <w:tcPr>
            <w:tcW w:w="60" w:type="dxa"/>
            <w:vAlign w:val="bottom"/>
            <w:tcBorders>
              <w:top w:val="single" w:sz="8" w:color="DDDDDD"/>
            </w:tcBorders>
          </w:tcPr>
          <w:p>
            <w:pPr>
              <w:spacing w:after="0"/>
              <w:rPr>
                <w:sz w:val="17"/>
                <w:szCs w:val="17"/>
                <w:color w:val="auto"/>
              </w:rPr>
            </w:pPr>
          </w:p>
        </w:tc>
        <w:tc>
          <w:tcPr>
            <w:tcW w:w="20" w:type="dxa"/>
            <w:vAlign w:val="bottom"/>
            <w:tcBorders>
              <w:top w:val="single" w:sz="8" w:color="DDDDDD"/>
            </w:tcBorders>
          </w:tcPr>
          <w:p>
            <w:pPr>
              <w:spacing w:after="0"/>
              <w:rPr>
                <w:sz w:val="17"/>
                <w:szCs w:val="17"/>
                <w:color w:val="auto"/>
              </w:rPr>
            </w:pPr>
          </w:p>
        </w:tc>
        <w:tc>
          <w:tcPr>
            <w:tcW w:w="2180" w:type="dxa"/>
            <w:vAlign w:val="bottom"/>
            <w:gridSpan w:val="50"/>
          </w:tcPr>
          <w:p>
            <w:pPr>
              <w:spacing w:after="0" w:line="176" w:lineRule="exact"/>
              <w:rPr>
                <w:sz w:val="20"/>
                <w:szCs w:val="20"/>
                <w:color w:val="auto"/>
              </w:rPr>
            </w:pPr>
            <w:r>
              <w:rPr>
                <w:rFonts w:ascii="Arial" w:cs="Arial" w:eastAsia="Arial" w:hAnsi="Arial"/>
                <w:sz w:val="18"/>
                <w:szCs w:val="18"/>
                <w:color w:val="auto"/>
                <w:w w:val="93"/>
              </w:rPr>
              <w:t>Guarantees and Acquisitions</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FF0000"/>
                <w:strike w:val="1"/>
                <w:w w:val="86"/>
              </w:rPr>
              <w:t>120</w:t>
            </w:r>
          </w:p>
        </w:tc>
        <w:tc>
          <w:tcPr>
            <w:tcW w:w="20" w:type="dxa"/>
            <w:vAlign w:val="bottom"/>
            <w:tcBorders>
              <w:bottom w:val="single" w:sz="8" w:color="0000FF"/>
            </w:tcBorders>
          </w:tcPr>
          <w:p>
            <w:pPr>
              <w:spacing w:after="0"/>
              <w:rPr>
                <w:sz w:val="17"/>
                <w:szCs w:val="17"/>
                <w:color w:val="auto"/>
              </w:rPr>
            </w:pPr>
          </w:p>
        </w:tc>
        <w:tc>
          <w:tcPr>
            <w:tcW w:w="240" w:type="dxa"/>
            <w:vAlign w:val="bottom"/>
            <w:tcBorders>
              <w:bottom w:val="single" w:sz="8" w:color="0000FF"/>
            </w:tcBorders>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3"/>
              </w:rPr>
              <w:t>124</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line="163" w:lineRule="exact"/>
              <w:rPr>
                <w:sz w:val="20"/>
                <w:szCs w:val="20"/>
                <w:color w:val="auto"/>
              </w:rPr>
            </w:pPr>
            <w:r>
              <w:rPr>
                <w:rFonts w:ascii="Arial" w:cs="Arial" w:eastAsia="Arial" w:hAnsi="Arial"/>
                <w:sz w:val="18"/>
                <w:szCs w:val="18"/>
                <w:color w:val="auto"/>
                <w:w w:val="99"/>
              </w:rPr>
              <w:t>SECTION 6.05</w:t>
            </w:r>
          </w:p>
        </w:tc>
        <w:tc>
          <w:tcPr>
            <w:tcW w:w="1100" w:type="dxa"/>
            <w:vAlign w:val="bottom"/>
            <w:gridSpan w:val="8"/>
          </w:tcPr>
          <w:p>
            <w:pPr>
              <w:ind w:left="80"/>
              <w:spacing w:after="0" w:line="163" w:lineRule="exact"/>
              <w:rPr>
                <w:sz w:val="20"/>
                <w:szCs w:val="20"/>
                <w:color w:val="auto"/>
              </w:rPr>
            </w:pPr>
            <w:r>
              <w:rPr>
                <w:rFonts w:ascii="Arial" w:cs="Arial" w:eastAsia="Arial" w:hAnsi="Arial"/>
                <w:sz w:val="18"/>
                <w:szCs w:val="18"/>
                <w:color w:val="auto"/>
                <w:w w:val="88"/>
              </w:rPr>
              <w:t>Asset Sales</w:t>
            </w:r>
          </w:p>
        </w:tc>
        <w:tc>
          <w:tcPr>
            <w:tcW w:w="260" w:type="dxa"/>
            <w:vAlign w:val="bottom"/>
            <w:gridSpan w:val="6"/>
          </w:tcPr>
          <w:p>
            <w:pPr>
              <w:spacing w:after="0" w:line="163" w:lineRule="exact"/>
              <w:rPr>
                <w:sz w:val="20"/>
                <w:szCs w:val="20"/>
                <w:color w:val="auto"/>
              </w:rPr>
            </w:pPr>
            <w:r>
              <w:rPr>
                <w:rFonts w:ascii="Arial" w:cs="Arial" w:eastAsia="Arial" w:hAnsi="Arial"/>
                <w:sz w:val="18"/>
                <w:szCs w:val="18"/>
                <w:color w:val="FF0000"/>
                <w:strike w:val="1"/>
                <w:w w:val="79"/>
              </w:rPr>
              <w:t>123</w:t>
            </w:r>
          </w:p>
        </w:tc>
        <w:tc>
          <w:tcPr>
            <w:tcW w:w="280" w:type="dxa"/>
            <w:vAlign w:val="bottom"/>
            <w:tcBorders>
              <w:bottom w:val="single" w:sz="8" w:color="0000FF"/>
            </w:tcBorders>
            <w:gridSpan w:val="7"/>
          </w:tcPr>
          <w:p>
            <w:pPr>
              <w:jc w:val="right"/>
              <w:ind w:right="280"/>
              <w:spacing w:after="0"/>
              <w:rPr>
                <w:sz w:val="20"/>
                <w:szCs w:val="20"/>
                <w:color w:val="auto"/>
              </w:rPr>
            </w:pPr>
            <w:r>
              <w:rPr>
                <w:rFonts w:ascii="Arial" w:cs="Arial" w:eastAsia="Arial" w:hAnsi="Arial"/>
                <w:sz w:val="18"/>
                <w:szCs w:val="18"/>
                <w:color w:val="0000FF"/>
                <w:highlight w:val="lightGray"/>
              </w:rPr>
              <w:t>127</w:t>
            </w:r>
          </w:p>
        </w:tc>
        <w:tc>
          <w:tcPr>
            <w:tcW w:w="3260" w:type="dxa"/>
            <w:vAlign w:val="bottom"/>
            <w:gridSpan w:val="72"/>
          </w:tcPr>
          <w:p>
            <w:pPr>
              <w:spacing w:after="0"/>
              <w:rPr>
                <w:sz w:val="15"/>
                <w:szCs w:val="15"/>
                <w:color w:val="auto"/>
              </w:rPr>
            </w:pPr>
          </w:p>
        </w:tc>
        <w:tc>
          <w:tcPr>
            <w:tcW w:w="240" w:type="dxa"/>
            <w:vAlign w:val="bottom"/>
            <w:tcBorders>
              <w:top w:val="single" w:sz="8" w:color="DDDDDD"/>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6.06</w:t>
            </w:r>
          </w:p>
        </w:tc>
        <w:tc>
          <w:tcPr>
            <w:tcW w:w="940" w:type="dxa"/>
            <w:vAlign w:val="bottom"/>
            <w:gridSpan w:val="3"/>
            <w:vMerge w:val="restart"/>
          </w:tcPr>
          <w:p>
            <w:pPr>
              <w:ind w:left="80"/>
              <w:spacing w:after="0" w:line="176" w:lineRule="exact"/>
              <w:rPr>
                <w:sz w:val="20"/>
                <w:szCs w:val="20"/>
                <w:color w:val="auto"/>
              </w:rPr>
            </w:pPr>
            <w:r>
              <w:rPr>
                <w:rFonts w:ascii="Arial" w:cs="Arial" w:eastAsia="Arial" w:hAnsi="Arial"/>
                <w:sz w:val="18"/>
                <w:szCs w:val="18"/>
                <w:color w:val="auto"/>
                <w:w w:val="96"/>
              </w:rPr>
              <w:t>[Reserved]</w:t>
            </w:r>
          </w:p>
        </w:tc>
        <w:tc>
          <w:tcPr>
            <w:tcW w:w="120" w:type="dxa"/>
            <w:vAlign w:val="bottom"/>
            <w:gridSpan w:val="3"/>
          </w:tcPr>
          <w:p>
            <w:pPr>
              <w:spacing w:after="0" w:line="20" w:lineRule="exact"/>
              <w:rPr>
                <w:sz w:val="1"/>
                <w:szCs w:val="1"/>
                <w:color w:val="auto"/>
              </w:rPr>
            </w:pPr>
          </w:p>
        </w:tc>
        <w:tc>
          <w:tcPr>
            <w:tcW w:w="260" w:type="dxa"/>
            <w:vAlign w:val="bottom"/>
            <w:gridSpan w:val="7"/>
            <w:vMerge w:val="restart"/>
          </w:tcPr>
          <w:p>
            <w:pPr>
              <w:spacing w:after="0" w:line="176" w:lineRule="exact"/>
              <w:rPr>
                <w:sz w:val="20"/>
                <w:szCs w:val="20"/>
                <w:color w:val="auto"/>
              </w:rPr>
            </w:pPr>
            <w:r>
              <w:rPr>
                <w:rFonts w:ascii="Arial" w:cs="Arial" w:eastAsia="Arial" w:hAnsi="Arial"/>
                <w:sz w:val="18"/>
                <w:szCs w:val="18"/>
                <w:color w:val="FF0000"/>
                <w:strike w:val="1"/>
                <w:w w:val="73"/>
              </w:rPr>
              <w:t>125</w:t>
            </w:r>
          </w:p>
        </w:tc>
        <w:tc>
          <w:tcPr>
            <w:tcW w:w="60" w:type="dxa"/>
            <w:vAlign w:val="bottom"/>
            <w:gridSpan w:val="2"/>
          </w:tcPr>
          <w:p>
            <w:pPr>
              <w:spacing w:after="0" w:line="20" w:lineRule="exact"/>
              <w:rPr>
                <w:sz w:val="1"/>
                <w:szCs w:val="1"/>
                <w:color w:val="auto"/>
              </w:rPr>
            </w:pPr>
          </w:p>
        </w:tc>
        <w:tc>
          <w:tcPr>
            <w:tcW w:w="220" w:type="dxa"/>
            <w:vAlign w:val="bottom"/>
            <w:tcBorders>
              <w:top w:val="single" w:sz="8" w:color="DDDDDD"/>
            </w:tcBorders>
            <w:gridSpan w:val="5"/>
          </w:tcPr>
          <w:p>
            <w:pPr>
              <w:spacing w:after="0" w:line="20" w:lineRule="exact"/>
              <w:rPr>
                <w:sz w:val="1"/>
                <w:szCs w:val="1"/>
                <w:color w:val="auto"/>
              </w:rPr>
            </w:pPr>
          </w:p>
        </w:tc>
        <w:tc>
          <w:tcPr>
            <w:tcW w:w="40" w:type="dxa"/>
            <w:vAlign w:val="bottom"/>
            <w:tcBorders>
              <w:top w:val="single" w:sz="8" w:color="DDDDDD"/>
            </w:tcBorders>
            <w:vMerge w:val="restart"/>
          </w:tcPr>
          <w:p>
            <w:pPr>
              <w:spacing w:after="0" w:line="20" w:lineRule="exact"/>
              <w:rPr>
                <w:sz w:val="1"/>
                <w:szCs w:val="1"/>
                <w:color w:val="auto"/>
              </w:rPr>
            </w:pPr>
          </w:p>
        </w:tc>
        <w:tc>
          <w:tcPr>
            <w:tcW w:w="3920" w:type="dxa"/>
            <w:vAlign w:val="bottom"/>
            <w:gridSpan w:val="7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2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20" w:type="dxa"/>
            <w:vAlign w:val="bottom"/>
            <w:gridSpan w:val="3"/>
          </w:tcPr>
          <w:p>
            <w:pPr>
              <w:spacing w:after="0"/>
              <w:rPr>
                <w:sz w:val="14"/>
                <w:szCs w:val="14"/>
                <w:color w:val="auto"/>
              </w:rPr>
            </w:pPr>
          </w:p>
        </w:tc>
        <w:tc>
          <w:tcPr>
            <w:tcW w:w="260" w:type="dxa"/>
            <w:vAlign w:val="bottom"/>
            <w:gridSpan w:val="7"/>
            <w:vMerge w:val="continue"/>
          </w:tcPr>
          <w:p>
            <w:pPr>
              <w:spacing w:after="0"/>
              <w:rPr>
                <w:sz w:val="14"/>
                <w:szCs w:val="14"/>
                <w:color w:val="auto"/>
              </w:rPr>
            </w:pPr>
          </w:p>
        </w:tc>
        <w:tc>
          <w:tcPr>
            <w:tcW w:w="280" w:type="dxa"/>
            <w:vAlign w:val="bottom"/>
            <w:tcBorders>
              <w:left w:val="single" w:sz="8" w:color="DDDDDD"/>
              <w:bottom w:val="single" w:sz="8" w:color="0000FF"/>
            </w:tcBorders>
            <w:gridSpan w:val="7"/>
            <w:shd w:val="clear" w:color="auto" w:fill="DDDDDD"/>
          </w:tcPr>
          <w:p>
            <w:pPr>
              <w:jc w:val="right"/>
              <w:ind w:right="190"/>
              <w:spacing w:after="0"/>
              <w:rPr>
                <w:sz w:val="20"/>
                <w:szCs w:val="20"/>
                <w:color w:val="auto"/>
              </w:rPr>
            </w:pPr>
            <w:r>
              <w:rPr>
                <w:rFonts w:ascii="Arial" w:cs="Arial" w:eastAsia="Arial" w:hAnsi="Arial"/>
                <w:sz w:val="17"/>
                <w:szCs w:val="17"/>
                <w:color w:val="0000FF"/>
                <w:highlight w:val="lightGray"/>
              </w:rPr>
              <w:t>129</w:t>
            </w:r>
          </w:p>
        </w:tc>
        <w:tc>
          <w:tcPr>
            <w:tcW w:w="40" w:type="dxa"/>
            <w:vAlign w:val="bottom"/>
            <w:vMerge w:val="continue"/>
          </w:tcPr>
          <w:p>
            <w:pPr>
              <w:spacing w:after="0"/>
              <w:rPr>
                <w:sz w:val="14"/>
                <w:szCs w:val="14"/>
                <w:color w:val="auto"/>
              </w:rPr>
            </w:pPr>
          </w:p>
        </w:tc>
        <w:tc>
          <w:tcPr>
            <w:tcW w:w="3920" w:type="dxa"/>
            <w:vAlign w:val="bottom"/>
            <w:gridSpan w:val="74"/>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line="189" w:lineRule="exact"/>
              <w:rPr>
                <w:sz w:val="20"/>
                <w:szCs w:val="20"/>
                <w:color w:val="auto"/>
              </w:rPr>
            </w:pPr>
            <w:r>
              <w:rPr>
                <w:rFonts w:ascii="Arial" w:cs="Arial" w:eastAsia="Arial" w:hAnsi="Arial"/>
                <w:sz w:val="18"/>
                <w:szCs w:val="18"/>
                <w:color w:val="auto"/>
                <w:w w:val="99"/>
              </w:rPr>
              <w:t>SECTION 6.07</w:t>
            </w:r>
          </w:p>
        </w:tc>
        <w:tc>
          <w:tcPr>
            <w:tcW w:w="1480" w:type="dxa"/>
            <w:vAlign w:val="bottom"/>
            <w:gridSpan w:val="16"/>
          </w:tcPr>
          <w:p>
            <w:pPr>
              <w:ind w:left="80"/>
              <w:spacing w:after="0" w:line="189" w:lineRule="exact"/>
              <w:rPr>
                <w:sz w:val="20"/>
                <w:szCs w:val="20"/>
                <w:color w:val="auto"/>
              </w:rPr>
            </w:pPr>
            <w:r>
              <w:rPr>
                <w:rFonts w:ascii="Arial" w:cs="Arial" w:eastAsia="Arial" w:hAnsi="Arial"/>
                <w:sz w:val="18"/>
                <w:szCs w:val="18"/>
                <w:color w:val="auto"/>
                <w:w w:val="89"/>
              </w:rPr>
              <w:t>Negative Pledge</w:t>
            </w:r>
          </w:p>
        </w:tc>
        <w:tc>
          <w:tcPr>
            <w:tcW w:w="260" w:type="dxa"/>
            <w:vAlign w:val="bottom"/>
            <w:gridSpan w:val="8"/>
          </w:tcPr>
          <w:p>
            <w:pPr>
              <w:jc w:val="right"/>
              <w:spacing w:after="0" w:line="189" w:lineRule="exact"/>
              <w:rPr>
                <w:sz w:val="20"/>
                <w:szCs w:val="20"/>
                <w:color w:val="auto"/>
              </w:rPr>
            </w:pPr>
            <w:r>
              <w:rPr>
                <w:rFonts w:ascii="Arial" w:cs="Arial" w:eastAsia="Arial" w:hAnsi="Arial"/>
                <w:sz w:val="18"/>
                <w:szCs w:val="18"/>
                <w:color w:val="FF0000"/>
                <w:strike w:val="1"/>
                <w:w w:val="73"/>
              </w:rPr>
              <w:t>125</w:t>
            </w:r>
          </w:p>
        </w:tc>
        <w:tc>
          <w:tcPr>
            <w:tcW w:w="220" w:type="dxa"/>
            <w:vAlign w:val="bottom"/>
            <w:tcBorders>
              <w:bottom w:val="single" w:sz="8" w:color="0000FF"/>
            </w:tcBorders>
            <w:gridSpan w:val="4"/>
            <w:shd w:val="clear" w:color="auto" w:fill="DDDDDD"/>
          </w:tcPr>
          <w:p>
            <w:pPr>
              <w:jc w:val="right"/>
              <w:spacing w:after="0" w:line="189" w:lineRule="exact"/>
              <w:rPr>
                <w:sz w:val="20"/>
                <w:szCs w:val="20"/>
                <w:color w:val="auto"/>
              </w:rPr>
            </w:pPr>
            <w:r>
              <w:rPr>
                <w:rFonts w:ascii="Arial" w:cs="Arial" w:eastAsia="Arial" w:hAnsi="Arial"/>
                <w:sz w:val="18"/>
                <w:szCs w:val="18"/>
                <w:color w:val="0000FF"/>
                <w:highlight w:val="lightGray"/>
                <w:w w:val="73"/>
              </w:rPr>
              <w:t>129</w:t>
            </w:r>
          </w:p>
        </w:tc>
        <w:tc>
          <w:tcPr>
            <w:tcW w:w="3600" w:type="dxa"/>
            <w:vAlign w:val="bottom"/>
            <w:tcBorders>
              <w:left w:val="single" w:sz="8" w:color="DDDDDD"/>
            </w:tcBorders>
            <w:gridSpan w:val="6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82" w:lineRule="exact"/>
              <w:rPr>
                <w:sz w:val="20"/>
                <w:szCs w:val="20"/>
                <w:color w:val="auto"/>
              </w:rPr>
            </w:pPr>
            <w:r>
              <w:rPr>
                <w:rFonts w:ascii="Arial" w:cs="Arial" w:eastAsia="Arial" w:hAnsi="Arial"/>
                <w:sz w:val="18"/>
                <w:szCs w:val="18"/>
                <w:color w:val="auto"/>
                <w:w w:val="99"/>
              </w:rPr>
              <w:t>SECTION 6.08</w:t>
            </w:r>
          </w:p>
        </w:tc>
        <w:tc>
          <w:tcPr>
            <w:tcW w:w="1740" w:type="dxa"/>
            <w:vAlign w:val="bottom"/>
            <w:gridSpan w:val="24"/>
            <w:vMerge w:val="restart"/>
          </w:tcPr>
          <w:p>
            <w:pPr>
              <w:ind w:left="80"/>
              <w:spacing w:after="0" w:line="182" w:lineRule="exact"/>
              <w:rPr>
                <w:sz w:val="20"/>
                <w:szCs w:val="20"/>
                <w:color w:val="auto"/>
              </w:rPr>
            </w:pPr>
            <w:r>
              <w:rPr>
                <w:rFonts w:ascii="Arial" w:cs="Arial" w:eastAsia="Arial" w:hAnsi="Arial"/>
                <w:sz w:val="18"/>
                <w:szCs w:val="18"/>
                <w:color w:val="auto"/>
                <w:w w:val="95"/>
              </w:rPr>
              <w:t>Restricted Payments;</w:t>
            </w:r>
          </w:p>
        </w:tc>
        <w:tc>
          <w:tcPr>
            <w:tcW w:w="120" w:type="dxa"/>
            <w:vAlign w:val="bottom"/>
            <w:tcBorders>
              <w:right w:val="single" w:sz="8" w:color="DDDDDD"/>
            </w:tcBorders>
            <w:shd w:val="clear" w:color="auto" w:fill="DDDDDD"/>
          </w:tcPr>
          <w:p>
            <w:pPr>
              <w:spacing w:after="0" w:line="20" w:lineRule="exact"/>
              <w:rPr>
                <w:sz w:val="1"/>
                <w:szCs w:val="1"/>
                <w:color w:val="auto"/>
              </w:rPr>
            </w:pPr>
          </w:p>
        </w:tc>
        <w:tc>
          <w:tcPr>
            <w:tcW w:w="100" w:type="dxa"/>
            <w:vAlign w:val="bottom"/>
            <w:gridSpan w:val="3"/>
            <w:shd w:val="clear" w:color="auto" w:fill="DDDDDD"/>
          </w:tcPr>
          <w:p>
            <w:pPr>
              <w:spacing w:after="0" w:line="20" w:lineRule="exact"/>
              <w:rPr>
                <w:sz w:val="1"/>
                <w:szCs w:val="1"/>
                <w:color w:val="auto"/>
              </w:rPr>
            </w:pPr>
          </w:p>
        </w:tc>
        <w:tc>
          <w:tcPr>
            <w:tcW w:w="3600" w:type="dxa"/>
            <w:vAlign w:val="bottom"/>
            <w:tcBorders>
              <w:left w:val="single" w:sz="8" w:color="DDDDDD"/>
            </w:tcBorders>
            <w:gridSpan w:val="6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220" w:type="dxa"/>
            <w:vAlign w:val="bottom"/>
            <w:vMerge w:val="continue"/>
          </w:tcPr>
          <w:p>
            <w:pPr>
              <w:spacing w:after="0"/>
              <w:rPr>
                <w:sz w:val="14"/>
                <w:szCs w:val="14"/>
                <w:color w:val="auto"/>
              </w:rPr>
            </w:pPr>
          </w:p>
        </w:tc>
        <w:tc>
          <w:tcPr>
            <w:tcW w:w="1740" w:type="dxa"/>
            <w:vAlign w:val="bottom"/>
            <w:gridSpan w:val="24"/>
            <w:vMerge w:val="continue"/>
          </w:tcPr>
          <w:p>
            <w:pPr>
              <w:spacing w:after="0"/>
              <w:rPr>
                <w:sz w:val="14"/>
                <w:szCs w:val="14"/>
                <w:color w:val="auto"/>
              </w:rPr>
            </w:pPr>
          </w:p>
        </w:tc>
        <w:tc>
          <w:tcPr>
            <w:tcW w:w="2540" w:type="dxa"/>
            <w:vAlign w:val="bottom"/>
            <w:gridSpan w:val="61"/>
          </w:tcPr>
          <w:p>
            <w:pPr>
              <w:spacing w:after="0" w:line="163" w:lineRule="exact"/>
              <w:rPr>
                <w:sz w:val="20"/>
                <w:szCs w:val="20"/>
                <w:color w:val="auto"/>
              </w:rPr>
            </w:pPr>
            <w:r>
              <w:rPr>
                <w:rFonts w:ascii="Arial" w:cs="Arial" w:eastAsia="Arial" w:hAnsi="Arial"/>
                <w:sz w:val="18"/>
                <w:szCs w:val="18"/>
                <w:color w:val="auto"/>
                <w:w w:val="91"/>
              </w:rPr>
              <w:t>Certain Payments of Indebtedness</w:t>
            </w:r>
          </w:p>
        </w:tc>
        <w:tc>
          <w:tcPr>
            <w:tcW w:w="20" w:type="dxa"/>
            <w:vAlign w:val="bottom"/>
          </w:tcPr>
          <w:p>
            <w:pPr>
              <w:spacing w:after="0"/>
              <w:rPr>
                <w:sz w:val="14"/>
                <w:szCs w:val="14"/>
                <w:color w:val="auto"/>
              </w:rPr>
            </w:pPr>
          </w:p>
        </w:tc>
        <w:tc>
          <w:tcPr>
            <w:tcW w:w="260" w:type="dxa"/>
            <w:vAlign w:val="bottom"/>
            <w:gridSpan w:val="3"/>
          </w:tcPr>
          <w:p>
            <w:pPr>
              <w:jc w:val="center"/>
              <w:spacing w:after="0" w:line="163" w:lineRule="exact"/>
              <w:rPr>
                <w:sz w:val="20"/>
                <w:szCs w:val="20"/>
                <w:color w:val="auto"/>
              </w:rPr>
            </w:pPr>
            <w:r>
              <w:rPr>
                <w:rFonts w:ascii="Arial" w:cs="Arial" w:eastAsia="Arial" w:hAnsi="Arial"/>
                <w:sz w:val="18"/>
                <w:szCs w:val="18"/>
                <w:color w:val="FF0000"/>
                <w:strike w:val="1"/>
                <w:w w:val="86"/>
              </w:rPr>
              <w:t>126</w:t>
            </w:r>
          </w:p>
        </w:tc>
        <w:tc>
          <w:tcPr>
            <w:tcW w:w="280" w:type="dxa"/>
            <w:vAlign w:val="bottom"/>
            <w:tcBorders>
              <w:bottom w:val="single" w:sz="8" w:color="0000FF"/>
              <w:right w:val="single" w:sz="8" w:color="DDDDDD"/>
            </w:tcBorders>
            <w:gridSpan w:val="2"/>
            <w:shd w:val="clear" w:color="auto" w:fill="DDDDDD"/>
          </w:tcPr>
          <w:p>
            <w:pPr>
              <w:jc w:val="right"/>
              <w:spacing w:after="0" w:line="163" w:lineRule="exact"/>
              <w:rPr>
                <w:sz w:val="20"/>
                <w:szCs w:val="20"/>
                <w:color w:val="auto"/>
              </w:rPr>
            </w:pPr>
            <w:r>
              <w:rPr>
                <w:rFonts w:ascii="Arial" w:cs="Arial" w:eastAsia="Arial" w:hAnsi="Arial"/>
                <w:sz w:val="18"/>
                <w:szCs w:val="18"/>
                <w:color w:val="0000FF"/>
                <w:highlight w:val="lightGray"/>
                <w:w w:val="79"/>
              </w:rPr>
              <w:t>130</w:t>
            </w:r>
          </w:p>
        </w:tc>
        <w:tc>
          <w:tcPr>
            <w:tcW w:w="7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12" w:right="33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220" w:type="dxa"/>
            <w:vAlign w:val="bottom"/>
          </w:tcPr>
          <w:p>
            <w:pPr>
              <w:spacing w:after="0"/>
              <w:rPr>
                <w:sz w:val="20"/>
                <w:szCs w:val="20"/>
                <w:color w:val="auto"/>
              </w:rPr>
            </w:pPr>
            <w:r>
              <w:rPr>
                <w:rFonts w:ascii="Arial" w:cs="Arial" w:eastAsia="Arial" w:hAnsi="Arial"/>
                <w:sz w:val="18"/>
                <w:szCs w:val="18"/>
                <w:color w:val="auto"/>
                <w:w w:val="99"/>
              </w:rPr>
              <w:t>SECTION 6.09</w:t>
            </w:r>
          </w:p>
        </w:tc>
        <w:tc>
          <w:tcPr>
            <w:tcW w:w="2260" w:type="dxa"/>
            <w:vAlign w:val="bottom"/>
            <w:gridSpan w:val="5"/>
          </w:tcPr>
          <w:p>
            <w:pPr>
              <w:ind w:left="80"/>
              <w:spacing w:after="0"/>
              <w:rPr>
                <w:sz w:val="20"/>
                <w:szCs w:val="20"/>
                <w:color w:val="auto"/>
              </w:rPr>
            </w:pPr>
            <w:r>
              <w:rPr>
                <w:rFonts w:ascii="Arial" w:cs="Arial" w:eastAsia="Arial" w:hAnsi="Arial"/>
                <w:sz w:val="18"/>
                <w:szCs w:val="18"/>
                <w:color w:val="auto"/>
              </w:rPr>
              <w:t>Transactions with Affiliates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130</w:t>
            </w:r>
          </w:p>
        </w:tc>
        <w:tc>
          <w:tcPr>
            <w:tcW w:w="280" w:type="dxa"/>
            <w:vAlign w:val="bottom"/>
            <w:tcBorders>
              <w:bottom w:val="single" w:sz="8" w:color="0000FF"/>
            </w:tcBorders>
            <w:shd w:val="clear" w:color="auto" w:fill="DDDDDD"/>
          </w:tcPr>
          <w:p>
            <w:pPr>
              <w:jc w:val="right"/>
              <w:spacing w:after="0"/>
              <w:rPr>
                <w:sz w:val="20"/>
                <w:szCs w:val="20"/>
                <w:color w:val="auto"/>
              </w:rPr>
            </w:pPr>
            <w:r>
              <w:rPr>
                <w:rFonts w:ascii="Arial" w:cs="Arial" w:eastAsia="Arial" w:hAnsi="Arial"/>
                <w:sz w:val="18"/>
                <w:szCs w:val="18"/>
                <w:color w:val="0000FF"/>
                <w:highlight w:val="lightGray"/>
                <w:w w:val="86"/>
              </w:rPr>
              <w:t>134</w:t>
            </w:r>
          </w:p>
        </w:tc>
      </w:tr>
      <w:tr>
        <w:trPr>
          <w:trHeight w:val="170"/>
        </w:trPr>
        <w:tc>
          <w:tcPr>
            <w:tcW w:w="1220" w:type="dxa"/>
            <w:vAlign w:val="bottom"/>
          </w:tcPr>
          <w:p>
            <w:pPr>
              <w:spacing w:after="0" w:line="163" w:lineRule="exact"/>
              <w:rPr>
                <w:sz w:val="20"/>
                <w:szCs w:val="20"/>
                <w:color w:val="auto"/>
              </w:rPr>
            </w:pPr>
            <w:r>
              <w:rPr>
                <w:rFonts w:ascii="Arial" w:cs="Arial" w:eastAsia="Arial" w:hAnsi="Arial"/>
                <w:sz w:val="18"/>
                <w:szCs w:val="18"/>
                <w:color w:val="auto"/>
                <w:w w:val="99"/>
              </w:rPr>
              <w:t>SECTION 6.10</w:t>
            </w:r>
          </w:p>
        </w:tc>
        <w:tc>
          <w:tcPr>
            <w:tcW w:w="1680" w:type="dxa"/>
            <w:vAlign w:val="bottom"/>
          </w:tcPr>
          <w:p>
            <w:pPr>
              <w:ind w:left="80"/>
              <w:spacing w:after="0" w:line="163" w:lineRule="exact"/>
              <w:rPr>
                <w:sz w:val="20"/>
                <w:szCs w:val="20"/>
                <w:color w:val="auto"/>
              </w:rPr>
            </w:pPr>
            <w:r>
              <w:rPr>
                <w:rFonts w:ascii="Arial" w:cs="Arial" w:eastAsia="Arial" w:hAnsi="Arial"/>
                <w:sz w:val="18"/>
                <w:szCs w:val="18"/>
                <w:color w:val="auto"/>
              </w:rPr>
              <w:t>Financial Covenant</w:t>
            </w:r>
          </w:p>
        </w:tc>
        <w:tc>
          <w:tcPr>
            <w:tcW w:w="260" w:type="dxa"/>
            <w:vAlign w:val="bottom"/>
          </w:tcPr>
          <w:p>
            <w:pPr>
              <w:jc w:val="right"/>
              <w:spacing w:after="0" w:line="163" w:lineRule="exact"/>
              <w:rPr>
                <w:sz w:val="20"/>
                <w:szCs w:val="20"/>
                <w:color w:val="auto"/>
              </w:rPr>
            </w:pPr>
            <w:r>
              <w:rPr>
                <w:rFonts w:ascii="Arial" w:cs="Arial" w:eastAsia="Arial" w:hAnsi="Arial"/>
                <w:sz w:val="18"/>
                <w:szCs w:val="18"/>
                <w:color w:val="FF0000"/>
                <w:strike w:val="1"/>
                <w:w w:val="79"/>
              </w:rPr>
              <w:t>132</w:t>
            </w:r>
          </w:p>
        </w:tc>
        <w:tc>
          <w:tcPr>
            <w:tcW w:w="20" w:type="dxa"/>
            <w:vAlign w:val="bottom"/>
            <w:tcBorders>
              <w:bottom w:val="single" w:sz="8" w:color="0000FF"/>
            </w:tcBorders>
          </w:tcPr>
          <w:p>
            <w:pPr>
              <w:spacing w:after="0"/>
              <w:rPr>
                <w:sz w:val="14"/>
                <w:szCs w:val="14"/>
                <w:color w:val="auto"/>
              </w:rPr>
            </w:pPr>
          </w:p>
        </w:tc>
        <w:tc>
          <w:tcPr>
            <w:tcW w:w="260" w:type="dxa"/>
            <w:vAlign w:val="bottom"/>
            <w:tcBorders>
              <w:bottom w:val="single" w:sz="8" w:color="0000FF"/>
            </w:tcBorders>
            <w:shd w:val="clear" w:color="auto" w:fill="DDDDDD"/>
          </w:tcPr>
          <w:p>
            <w:pPr>
              <w:jc w:val="right"/>
              <w:spacing w:after="0" w:line="163" w:lineRule="exact"/>
              <w:rPr>
                <w:sz w:val="20"/>
                <w:szCs w:val="20"/>
                <w:color w:val="auto"/>
              </w:rPr>
            </w:pPr>
            <w:r>
              <w:rPr>
                <w:rFonts w:ascii="Arial" w:cs="Arial" w:eastAsia="Arial" w:hAnsi="Arial"/>
                <w:sz w:val="18"/>
                <w:szCs w:val="18"/>
                <w:color w:val="0000FF"/>
                <w:highlight w:val="lightGray"/>
                <w:w w:val="79"/>
              </w:rPr>
              <w:t>135</w:t>
            </w:r>
          </w:p>
        </w:tc>
        <w:tc>
          <w:tcPr>
            <w:tcW w:w="300" w:type="dxa"/>
            <w:vAlign w:val="bottom"/>
            <w:gridSpan w:val="2"/>
          </w:tcPr>
          <w:p>
            <w:pPr>
              <w:spacing w:after="0"/>
              <w:rPr>
                <w:sz w:val="14"/>
                <w:szCs w:val="14"/>
                <w:color w:val="auto"/>
              </w:rPr>
            </w:pPr>
          </w:p>
        </w:tc>
        <w:tc>
          <w:tcPr>
            <w:tcW w:w="280" w:type="dxa"/>
            <w:vAlign w:val="bottom"/>
            <w:tcBorders>
              <w:top w:val="single" w:sz="8" w:color="DDDDDD"/>
            </w:tcBorders>
          </w:tcPr>
          <w:p>
            <w:pPr>
              <w:spacing w:after="0"/>
              <w:rPr>
                <w:sz w:val="14"/>
                <w:szCs w:val="14"/>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20" w:type="dxa"/>
            <w:vAlign w:val="bottom"/>
          </w:tcPr>
          <w:p>
            <w:pPr>
              <w:spacing w:after="0"/>
              <w:rPr>
                <w:sz w:val="20"/>
                <w:szCs w:val="20"/>
                <w:color w:val="auto"/>
              </w:rPr>
            </w:pPr>
            <w:r>
              <w:rPr>
                <w:rFonts w:ascii="Arial" w:cs="Arial" w:eastAsia="Arial" w:hAnsi="Arial"/>
                <w:sz w:val="18"/>
                <w:szCs w:val="18"/>
                <w:color w:val="auto"/>
                <w:w w:val="99"/>
              </w:rPr>
              <w:t>SECTION 7.01</w:t>
            </w: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Events of Default</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132</w:t>
            </w:r>
          </w:p>
        </w:tc>
        <w:tc>
          <w:tcPr>
            <w:tcW w:w="20" w:type="dxa"/>
            <w:vAlign w:val="bottom"/>
            <w:tcBorders>
              <w:bottom w:val="single" w:sz="8" w:color="0000FF"/>
            </w:tcBorders>
          </w:tcPr>
          <w:p>
            <w:pPr>
              <w:spacing w:after="0"/>
              <w:rPr>
                <w:sz w:val="19"/>
                <w:szCs w:val="19"/>
                <w:color w:val="auto"/>
              </w:rPr>
            </w:pPr>
          </w:p>
        </w:tc>
        <w:tc>
          <w:tcPr>
            <w:tcW w:w="260" w:type="dxa"/>
            <w:vAlign w:val="bottom"/>
            <w:tcBorders>
              <w:bottom w:val="single" w:sz="8" w:color="0000FF"/>
            </w:tcBorders>
            <w:shd w:val="clear" w:color="auto" w:fill="DDDDDD"/>
          </w:tcPr>
          <w:p>
            <w:pPr>
              <w:jc w:val="right"/>
              <w:spacing w:after="0"/>
              <w:rPr>
                <w:sz w:val="20"/>
                <w:szCs w:val="20"/>
                <w:color w:val="auto"/>
              </w:rPr>
            </w:pPr>
            <w:r>
              <w:rPr>
                <w:rFonts w:ascii="Arial" w:cs="Arial" w:eastAsia="Arial" w:hAnsi="Arial"/>
                <w:sz w:val="18"/>
                <w:szCs w:val="18"/>
                <w:color w:val="0000FF"/>
                <w:highlight w:val="lightGray"/>
                <w:w w:val="79"/>
              </w:rPr>
              <w:t>136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7.02</w:t>
            </w:r>
          </w:p>
        </w:tc>
        <w:tc>
          <w:tcPr>
            <w:tcW w:w="1240" w:type="dxa"/>
            <w:vAlign w:val="bottom"/>
            <w:vMerge w:val="restart"/>
          </w:tcPr>
          <w:p>
            <w:pPr>
              <w:ind w:left="80"/>
              <w:spacing w:after="0" w:line="176" w:lineRule="exact"/>
              <w:rPr>
                <w:sz w:val="20"/>
                <w:szCs w:val="20"/>
                <w:color w:val="auto"/>
              </w:rPr>
            </w:pPr>
            <w:r>
              <w:rPr>
                <w:rFonts w:ascii="Arial" w:cs="Arial" w:eastAsia="Arial" w:hAnsi="Arial"/>
                <w:sz w:val="18"/>
                <w:szCs w:val="18"/>
                <w:color w:val="auto"/>
              </w:rPr>
              <w:t>Right to Cure</w:t>
            </w:r>
          </w:p>
        </w:tc>
        <w:tc>
          <w:tcPr>
            <w:tcW w:w="280" w:type="dxa"/>
            <w:vAlign w:val="bottom"/>
            <w:vMerge w:val="restart"/>
          </w:tcPr>
          <w:p>
            <w:pPr>
              <w:jc w:val="right"/>
              <w:spacing w:after="0" w:line="176" w:lineRule="exact"/>
              <w:rPr>
                <w:sz w:val="20"/>
                <w:szCs w:val="20"/>
                <w:color w:val="auto"/>
              </w:rPr>
            </w:pPr>
            <w:r>
              <w:rPr>
                <w:rFonts w:ascii="Arial" w:cs="Arial" w:eastAsia="Arial" w:hAnsi="Arial"/>
                <w:sz w:val="18"/>
                <w:szCs w:val="18"/>
                <w:color w:val="FF0000"/>
                <w:strike w:val="1"/>
                <w:w w:val="86"/>
              </w:rPr>
              <w:t>136</w:t>
            </w: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top w:val="single" w:sz="8" w:color="DDDDDD"/>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left w:val="single" w:sz="8" w:color="DDDDDD"/>
              <w:bottom w:val="single" w:sz="8" w:color="0000FF"/>
            </w:tcBorders>
            <w:shd w:val="clear" w:color="auto" w:fill="DDDDDD"/>
          </w:tcPr>
          <w:p>
            <w:pPr>
              <w:jc w:val="right"/>
              <w:spacing w:after="0" w:line="156" w:lineRule="exact"/>
              <w:rPr>
                <w:sz w:val="20"/>
                <w:szCs w:val="20"/>
                <w:color w:val="auto"/>
              </w:rPr>
            </w:pPr>
            <w:r>
              <w:rPr>
                <w:rFonts w:ascii="Arial" w:cs="Arial" w:eastAsia="Arial" w:hAnsi="Arial"/>
                <w:sz w:val="18"/>
                <w:szCs w:val="18"/>
                <w:color w:val="0000FF"/>
                <w:highlight w:val="lightGray"/>
                <w:w w:val="79"/>
              </w:rPr>
              <w:t>139</w:t>
            </w:r>
          </w:p>
        </w:tc>
        <w:tc>
          <w:tcPr>
            <w:tcW w:w="20" w:type="dxa"/>
            <w:vAlign w:val="bottom"/>
            <w:tcBorders>
              <w:bottom w:val="single" w:sz="8" w:color="0000FF"/>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82" w:lineRule="exact"/>
              <w:rPr>
                <w:sz w:val="20"/>
                <w:szCs w:val="20"/>
                <w:color w:val="auto"/>
              </w:rPr>
            </w:pPr>
            <w:r>
              <w:rPr>
                <w:rFonts w:ascii="Arial" w:cs="Arial" w:eastAsia="Arial" w:hAnsi="Arial"/>
                <w:sz w:val="18"/>
                <w:szCs w:val="18"/>
                <w:color w:val="auto"/>
                <w:w w:val="99"/>
              </w:rPr>
              <w:t>SECTION 7.03</w:t>
            </w: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left w:val="single" w:sz="8" w:color="DDDDDD"/>
            </w:tcBorders>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gridSpan w:val="2"/>
            <w:vMerge w:val="restart"/>
          </w:tcPr>
          <w:p>
            <w:pPr>
              <w:jc w:val="right"/>
              <w:spacing w:after="0" w:line="182" w:lineRule="exact"/>
              <w:rPr>
                <w:sz w:val="20"/>
                <w:szCs w:val="20"/>
                <w:color w:val="auto"/>
              </w:rPr>
            </w:pPr>
            <w:r>
              <w:rPr>
                <w:rFonts w:ascii="Arial" w:cs="Arial" w:eastAsia="Arial" w:hAnsi="Arial"/>
                <w:sz w:val="18"/>
                <w:szCs w:val="18"/>
                <w:color w:val="FF0000"/>
                <w:strike w:val="1"/>
              </w:rPr>
              <w:t>136</w:t>
            </w: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20" w:type="dxa"/>
            <w:vAlign w:val="bottom"/>
            <w:vMerge w:val="continue"/>
          </w:tcPr>
          <w:p>
            <w:pPr>
              <w:spacing w:after="0"/>
              <w:rPr>
                <w:sz w:val="14"/>
                <w:szCs w:val="14"/>
                <w:color w:val="auto"/>
              </w:rPr>
            </w:pPr>
          </w:p>
        </w:tc>
        <w:tc>
          <w:tcPr>
            <w:tcW w:w="1780" w:type="dxa"/>
            <w:vAlign w:val="bottom"/>
            <w:gridSpan w:val="3"/>
          </w:tcPr>
          <w:p>
            <w:pPr>
              <w:ind w:left="80"/>
              <w:spacing w:after="0" w:line="163" w:lineRule="exact"/>
              <w:rPr>
                <w:sz w:val="20"/>
                <w:szCs w:val="20"/>
                <w:color w:val="auto"/>
              </w:rPr>
            </w:pPr>
            <w:r>
              <w:rPr>
                <w:rFonts w:ascii="Arial" w:cs="Arial" w:eastAsia="Arial" w:hAnsi="Arial"/>
                <w:sz w:val="18"/>
                <w:szCs w:val="18"/>
                <w:color w:val="auto"/>
                <w:w w:val="88"/>
              </w:rPr>
              <w:t>Application of Proceeds</w:t>
            </w:r>
          </w:p>
        </w:tc>
        <w:tc>
          <w:tcPr>
            <w:tcW w:w="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60" w:type="dxa"/>
            <w:vAlign w:val="bottom"/>
            <w:tcBorders>
              <w:bottom w:val="single" w:sz="8" w:color="0000FF"/>
            </w:tcBorders>
            <w:shd w:val="clear" w:color="auto" w:fill="DDDDDD"/>
          </w:tcPr>
          <w:p>
            <w:pPr>
              <w:jc w:val="right"/>
              <w:spacing w:after="0" w:line="163" w:lineRule="exact"/>
              <w:rPr>
                <w:sz w:val="20"/>
                <w:szCs w:val="20"/>
                <w:color w:val="auto"/>
              </w:rPr>
            </w:pPr>
            <w:r>
              <w:rPr>
                <w:rFonts w:ascii="Arial" w:cs="Arial" w:eastAsia="Arial" w:hAnsi="Arial"/>
                <w:sz w:val="18"/>
                <w:szCs w:val="18"/>
                <w:color w:val="0000FF"/>
                <w:highlight w:val="lightGray"/>
                <w:w w:val="79"/>
              </w:rPr>
              <w:t>140</w:t>
            </w:r>
          </w:p>
        </w:tc>
        <w:tc>
          <w:tcPr>
            <w:tcW w:w="2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ADMINISTRATIVE AGENT AND COLLATERAL AGENT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14"/>
          </w:tcPr>
          <w:p>
            <w:pPr>
              <w:jc w:val="center"/>
              <w:ind w:right="1160"/>
              <w:spacing w:after="0"/>
              <w:rPr>
                <w:sz w:val="20"/>
                <w:szCs w:val="20"/>
                <w:color w:val="auto"/>
              </w:rPr>
            </w:pPr>
            <w:r>
              <w:rPr>
                <w:rFonts w:ascii="Arial" w:cs="Arial" w:eastAsia="Arial" w:hAnsi="Arial"/>
                <w:sz w:val="18"/>
                <w:szCs w:val="18"/>
                <w:color w:val="010000"/>
                <w:w w:val="99"/>
              </w:rPr>
              <w:t>ARTICLE IX</w:t>
            </w:r>
          </w:p>
        </w:tc>
        <w:tc>
          <w:tcPr>
            <w:tcW w:w="0" w:type="dxa"/>
            <w:vAlign w:val="bottom"/>
          </w:tcPr>
          <w:p>
            <w:pPr>
              <w:spacing w:after="0"/>
              <w:rPr>
                <w:sz w:val="1"/>
                <w:szCs w:val="1"/>
                <w:color w:val="auto"/>
              </w:rPr>
            </w:pPr>
          </w:p>
        </w:tc>
      </w:tr>
      <w:tr>
        <w:trPr>
          <w:trHeight w:val="365"/>
        </w:trPr>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16"/>
          </w:tcPr>
          <w:p>
            <w:pPr>
              <w:jc w:val="center"/>
              <w:ind w:right="1040"/>
              <w:spacing w:after="0"/>
              <w:rPr>
                <w:sz w:val="20"/>
                <w:szCs w:val="20"/>
                <w:color w:val="auto"/>
              </w:rPr>
            </w:pPr>
            <w:r>
              <w:rPr>
                <w:rFonts w:ascii="Arial" w:cs="Arial" w:eastAsia="Arial" w:hAnsi="Arial"/>
                <w:sz w:val="18"/>
                <w:szCs w:val="18"/>
                <w:color w:val="auto"/>
                <w:w w:val="97"/>
              </w:rPr>
              <w:t>MISCELLANEOUS</w:t>
            </w:r>
          </w:p>
        </w:tc>
        <w:tc>
          <w:tcPr>
            <w:tcW w:w="0" w:type="dxa"/>
            <w:vAlign w:val="bottom"/>
          </w:tcPr>
          <w:p>
            <w:pPr>
              <w:spacing w:after="0"/>
              <w:rPr>
                <w:sz w:val="1"/>
                <w:szCs w:val="1"/>
                <w:color w:val="auto"/>
              </w:rPr>
            </w:pPr>
          </w:p>
        </w:tc>
      </w:tr>
      <w:tr>
        <w:trPr>
          <w:trHeight w:val="175"/>
        </w:trPr>
        <w:tc>
          <w:tcPr>
            <w:tcW w:w="1220" w:type="dxa"/>
            <w:vAlign w:val="bottom"/>
            <w:vMerge w:val="restart"/>
          </w:tcPr>
          <w:p>
            <w:pPr>
              <w:spacing w:after="0"/>
              <w:rPr>
                <w:sz w:val="20"/>
                <w:szCs w:val="20"/>
                <w:color w:val="auto"/>
              </w:rPr>
            </w:pPr>
            <w:r>
              <w:rPr>
                <w:rFonts w:ascii="Arial" w:cs="Arial" w:eastAsia="Arial" w:hAnsi="Arial"/>
                <w:sz w:val="18"/>
                <w:szCs w:val="18"/>
                <w:color w:val="auto"/>
                <w:w w:val="99"/>
              </w:rPr>
              <w:t>SECTION 9.01</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rPr>
              <w:t>Notices</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FF0000"/>
                <w:strike w:val="1"/>
                <w:w w:val="79"/>
              </w:rPr>
              <w:t>142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1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80" w:type="dxa"/>
            <w:vAlign w:val="bottom"/>
            <w:tcBorders>
              <w:left w:val="single" w:sz="8" w:color="DDDDDD"/>
              <w:bottom w:val="single" w:sz="8" w:color="0000FF"/>
            </w:tcBorders>
            <w:gridSpan w:val="3"/>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86"/>
              </w:rPr>
              <w:t>146</w:t>
            </w:r>
          </w:p>
        </w:tc>
        <w:tc>
          <w:tcPr>
            <w:tcW w:w="20" w:type="dxa"/>
            <w:vAlign w:val="bottom"/>
            <w:tcBorders>
              <w:bottom w:val="single" w:sz="8" w:color="0000FF"/>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96" w:lineRule="exact"/>
              <w:rPr>
                <w:sz w:val="20"/>
                <w:szCs w:val="20"/>
                <w:color w:val="auto"/>
              </w:rPr>
            </w:pPr>
            <w:r>
              <w:rPr>
                <w:rFonts w:ascii="Arial" w:cs="Arial" w:eastAsia="Arial" w:hAnsi="Arial"/>
                <w:sz w:val="18"/>
                <w:szCs w:val="18"/>
                <w:color w:val="auto"/>
                <w:w w:val="99"/>
              </w:rPr>
              <w:t>SECTION 9.02</w:t>
            </w: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left w:val="single" w:sz="8" w:color="DDDDDD"/>
            </w:tcBorders>
            <w:shd w:val="clear" w:color="auto" w:fill="DDDDDD"/>
          </w:tcPr>
          <w:p>
            <w:pPr>
              <w:spacing w:after="0" w:line="20" w:lineRule="exact"/>
              <w:rPr>
                <w:sz w:val="1"/>
                <w:szCs w:val="1"/>
                <w:color w:val="auto"/>
              </w:rPr>
            </w:pPr>
          </w:p>
        </w:tc>
        <w:tc>
          <w:tcPr>
            <w:tcW w:w="40" w:type="dxa"/>
            <w:vAlign w:val="bottom"/>
            <w:shd w:val="clear" w:color="auto" w:fill="DDDDDD"/>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144</w:t>
            </w: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1880" w:type="dxa"/>
            <w:vAlign w:val="bottom"/>
            <w:gridSpan w:val="14"/>
            <w:vMerge w:val="restart"/>
          </w:tcPr>
          <w:p>
            <w:pPr>
              <w:ind w:left="80"/>
              <w:spacing w:after="0" w:line="176" w:lineRule="exact"/>
              <w:rPr>
                <w:sz w:val="20"/>
                <w:szCs w:val="20"/>
                <w:color w:val="auto"/>
              </w:rPr>
            </w:pPr>
            <w:r>
              <w:rPr>
                <w:rFonts w:ascii="Arial" w:cs="Arial" w:eastAsia="Arial" w:hAnsi="Arial"/>
                <w:sz w:val="18"/>
                <w:szCs w:val="18"/>
                <w:color w:val="auto"/>
                <w:w w:val="97"/>
              </w:rPr>
              <w:t>Waivers; Amendments</w:t>
            </w:r>
          </w:p>
        </w:tc>
        <w:tc>
          <w:tcPr>
            <w:tcW w:w="28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220" w:type="dxa"/>
            <w:vAlign w:val="bottom"/>
            <w:vMerge w:val="continue"/>
          </w:tcPr>
          <w:p>
            <w:pPr>
              <w:spacing w:after="0"/>
              <w:rPr>
                <w:sz w:val="15"/>
                <w:szCs w:val="15"/>
                <w:color w:val="auto"/>
              </w:rPr>
            </w:pPr>
          </w:p>
        </w:tc>
        <w:tc>
          <w:tcPr>
            <w:tcW w:w="1880" w:type="dxa"/>
            <w:vAlign w:val="bottom"/>
            <w:gridSpan w:val="14"/>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280" w:type="dxa"/>
            <w:vAlign w:val="bottom"/>
            <w:tcBorders>
              <w:bottom w:val="single" w:sz="8" w:color="0000FF"/>
            </w:tcBorders>
            <w:gridSpan w:val="5"/>
            <w:shd w:val="clear" w:color="auto" w:fill="DDDDDD"/>
          </w:tcPr>
          <w:p>
            <w:pPr>
              <w:jc w:val="right"/>
              <w:spacing w:after="0" w:line="156" w:lineRule="exact"/>
              <w:rPr>
                <w:sz w:val="20"/>
                <w:szCs w:val="20"/>
                <w:color w:val="auto"/>
              </w:rPr>
            </w:pPr>
            <w:r>
              <w:rPr>
                <w:rFonts w:ascii="Arial" w:cs="Arial" w:eastAsia="Arial" w:hAnsi="Arial"/>
                <w:sz w:val="18"/>
                <w:szCs w:val="18"/>
                <w:color w:val="0000FF"/>
                <w:highlight w:val="lightGray"/>
                <w:w w:val="86"/>
              </w:rPr>
              <w:t>148</w:t>
            </w:r>
          </w:p>
        </w:tc>
        <w:tc>
          <w:tcPr>
            <w:tcW w:w="20" w:type="dxa"/>
            <w:vAlign w:val="bottom"/>
            <w:tcBorders>
              <w:bottom w:val="single" w:sz="8" w:color="0000FF"/>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line="163" w:lineRule="exact"/>
              <w:rPr>
                <w:sz w:val="20"/>
                <w:szCs w:val="20"/>
                <w:color w:val="auto"/>
              </w:rPr>
            </w:pPr>
            <w:r>
              <w:rPr>
                <w:rFonts w:ascii="Arial" w:cs="Arial" w:eastAsia="Arial" w:hAnsi="Arial"/>
                <w:sz w:val="18"/>
                <w:szCs w:val="18"/>
                <w:color w:val="auto"/>
                <w:w w:val="99"/>
              </w:rPr>
              <w:t>SECTION 9.03</w:t>
            </w:r>
          </w:p>
        </w:tc>
        <w:tc>
          <w:tcPr>
            <w:tcW w:w="2160" w:type="dxa"/>
            <w:vAlign w:val="bottom"/>
            <w:gridSpan w:val="16"/>
          </w:tcPr>
          <w:p>
            <w:pPr>
              <w:ind w:left="80"/>
              <w:spacing w:after="0" w:line="163" w:lineRule="exact"/>
              <w:rPr>
                <w:sz w:val="20"/>
                <w:szCs w:val="20"/>
                <w:color w:val="auto"/>
              </w:rPr>
            </w:pPr>
            <w:r>
              <w:rPr>
                <w:rFonts w:ascii="Arial" w:cs="Arial" w:eastAsia="Arial" w:hAnsi="Arial"/>
                <w:sz w:val="18"/>
                <w:szCs w:val="18"/>
                <w:color w:val="auto"/>
                <w:w w:val="84"/>
              </w:rPr>
              <w:t>Expenses; Indemnity; Damage</w:t>
            </w:r>
          </w:p>
        </w:tc>
        <w:tc>
          <w:tcPr>
            <w:tcW w:w="80" w:type="dxa"/>
            <w:vAlign w:val="bottom"/>
            <w:tcBorders>
              <w:top w:val="single" w:sz="8" w:color="DDDDDD"/>
            </w:tcBorders>
          </w:tcPr>
          <w:p>
            <w:pPr>
              <w:spacing w:after="0"/>
              <w:rPr>
                <w:sz w:val="15"/>
                <w:szCs w:val="15"/>
                <w:color w:val="auto"/>
              </w:rPr>
            </w:pPr>
          </w:p>
        </w:tc>
        <w:tc>
          <w:tcPr>
            <w:tcW w:w="20" w:type="dxa"/>
            <w:vAlign w:val="bottom"/>
            <w:tcBorders>
              <w:top w:val="single" w:sz="8" w:color="DDDDDD"/>
            </w:tcBorders>
          </w:tcPr>
          <w:p>
            <w:pPr>
              <w:spacing w:after="0"/>
              <w:rPr>
                <w:sz w:val="15"/>
                <w:szCs w:val="15"/>
                <w:color w:val="auto"/>
              </w:rPr>
            </w:pPr>
          </w:p>
        </w:tc>
        <w:tc>
          <w:tcPr>
            <w:tcW w:w="20" w:type="dxa"/>
            <w:vAlign w:val="bottom"/>
            <w:tcBorders>
              <w:top w:val="single" w:sz="8" w:color="DDDDDD"/>
            </w:tcBorders>
          </w:tcPr>
          <w:p>
            <w:pPr>
              <w:spacing w:after="0"/>
              <w:rPr>
                <w:sz w:val="15"/>
                <w:szCs w:val="15"/>
                <w:color w:val="auto"/>
              </w:rPr>
            </w:pPr>
          </w:p>
        </w:tc>
        <w:tc>
          <w:tcPr>
            <w:tcW w:w="20" w:type="dxa"/>
            <w:vAlign w:val="bottom"/>
            <w:tcBorders>
              <w:top w:val="single" w:sz="8" w:color="DDDDDD"/>
            </w:tcBorders>
          </w:tcPr>
          <w:p>
            <w:pPr>
              <w:spacing w:after="0"/>
              <w:rPr>
                <w:sz w:val="15"/>
                <w:szCs w:val="15"/>
                <w:color w:val="auto"/>
              </w:rPr>
            </w:pPr>
          </w:p>
        </w:tc>
        <w:tc>
          <w:tcPr>
            <w:tcW w:w="140" w:type="dxa"/>
            <w:vAlign w:val="bottom"/>
            <w:tcBorders>
              <w:top w:val="single" w:sz="8" w:color="DDDDDD"/>
            </w:tcBorders>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9"/>
          </w:tcPr>
          <w:p>
            <w:pPr>
              <w:spacing w:after="0" w:line="163" w:lineRule="exact"/>
              <w:rPr>
                <w:sz w:val="20"/>
                <w:szCs w:val="20"/>
                <w:color w:val="auto"/>
              </w:rPr>
            </w:pPr>
            <w:r>
              <w:rPr>
                <w:rFonts w:ascii="Arial" w:cs="Arial" w:eastAsia="Arial" w:hAnsi="Arial"/>
                <w:sz w:val="18"/>
                <w:szCs w:val="18"/>
                <w:color w:val="auto"/>
                <w:w w:val="92"/>
              </w:rPr>
              <w:t>Waiver</w:t>
            </w:r>
          </w:p>
        </w:tc>
        <w:tc>
          <w:tcPr>
            <w:tcW w:w="300" w:type="dxa"/>
            <w:vAlign w:val="bottom"/>
            <w:gridSpan w:val="2"/>
          </w:tcPr>
          <w:p>
            <w:pPr>
              <w:jc w:val="right"/>
              <w:spacing w:after="0" w:line="163" w:lineRule="exact"/>
              <w:rPr>
                <w:sz w:val="20"/>
                <w:szCs w:val="20"/>
                <w:color w:val="auto"/>
              </w:rPr>
            </w:pPr>
            <w:r>
              <w:rPr>
                <w:rFonts w:ascii="Arial" w:cs="Arial" w:eastAsia="Arial" w:hAnsi="Arial"/>
                <w:sz w:val="18"/>
                <w:szCs w:val="18"/>
                <w:color w:val="FF0000"/>
                <w:strike w:val="1"/>
                <w:w w:val="93"/>
              </w:rPr>
              <w:t>148</w:t>
            </w:r>
          </w:p>
        </w:tc>
        <w:tc>
          <w:tcPr>
            <w:tcW w:w="260" w:type="dxa"/>
            <w:vAlign w:val="bottom"/>
            <w:tcBorders>
              <w:bottom w:val="single" w:sz="8" w:color="0000FF"/>
            </w:tcBorders>
            <w:gridSpan w:val="3"/>
            <w:shd w:val="clear" w:color="auto" w:fill="DDDDDD"/>
          </w:tcPr>
          <w:p>
            <w:pPr>
              <w:jc w:val="right"/>
              <w:spacing w:after="0" w:line="163" w:lineRule="exact"/>
              <w:rPr>
                <w:sz w:val="20"/>
                <w:szCs w:val="20"/>
                <w:color w:val="auto"/>
              </w:rPr>
            </w:pPr>
            <w:r>
              <w:rPr>
                <w:rFonts w:ascii="Arial" w:cs="Arial" w:eastAsia="Arial" w:hAnsi="Arial"/>
                <w:sz w:val="18"/>
                <w:szCs w:val="18"/>
                <w:color w:val="0000FF"/>
                <w:highlight w:val="lightGray"/>
                <w:w w:val="79"/>
              </w:rPr>
              <w:t>152</w:t>
            </w:r>
          </w:p>
        </w:tc>
        <w:tc>
          <w:tcPr>
            <w:tcW w:w="20" w:type="dxa"/>
            <w:vAlign w:val="bottom"/>
            <w:tcBorders>
              <w:bottom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9.04</w:t>
            </w:r>
          </w:p>
        </w:tc>
        <w:tc>
          <w:tcPr>
            <w:tcW w:w="1880" w:type="dxa"/>
            <w:vAlign w:val="bottom"/>
            <w:gridSpan w:val="14"/>
            <w:vMerge w:val="restart"/>
          </w:tcPr>
          <w:p>
            <w:pPr>
              <w:ind w:left="80"/>
              <w:spacing w:after="0" w:line="176" w:lineRule="exact"/>
              <w:rPr>
                <w:sz w:val="20"/>
                <w:szCs w:val="20"/>
                <w:color w:val="auto"/>
              </w:rPr>
            </w:pPr>
            <w:r>
              <w:rPr>
                <w:rFonts w:ascii="Arial" w:cs="Arial" w:eastAsia="Arial" w:hAnsi="Arial"/>
                <w:sz w:val="18"/>
                <w:szCs w:val="18"/>
                <w:color w:val="auto"/>
                <w:w w:val="89"/>
              </w:rPr>
              <w:t>Successors and Assigns</w:t>
            </w:r>
          </w:p>
        </w:tc>
        <w:tc>
          <w:tcPr>
            <w:tcW w:w="100" w:type="dxa"/>
            <w:vAlign w:val="bottom"/>
          </w:tcPr>
          <w:p>
            <w:pPr>
              <w:spacing w:after="0" w:line="20" w:lineRule="exact"/>
              <w:rPr>
                <w:sz w:val="1"/>
                <w:szCs w:val="1"/>
                <w:color w:val="auto"/>
              </w:rPr>
            </w:pPr>
          </w:p>
        </w:tc>
        <w:tc>
          <w:tcPr>
            <w:tcW w:w="280" w:type="dxa"/>
            <w:vAlign w:val="bottom"/>
            <w:gridSpan w:val="3"/>
            <w:vMerge w:val="restart"/>
          </w:tcPr>
          <w:p>
            <w:pPr>
              <w:jc w:val="right"/>
              <w:spacing w:after="0" w:line="176" w:lineRule="exact"/>
              <w:rPr>
                <w:sz w:val="20"/>
                <w:szCs w:val="20"/>
                <w:color w:val="auto"/>
              </w:rPr>
            </w:pPr>
            <w:r>
              <w:rPr>
                <w:rFonts w:ascii="Arial" w:cs="Arial" w:eastAsia="Arial" w:hAnsi="Arial"/>
                <w:sz w:val="18"/>
                <w:szCs w:val="18"/>
                <w:color w:val="FF0000"/>
                <w:strike w:val="1"/>
                <w:w w:val="79"/>
              </w:rPr>
              <w:t>150</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220" w:type="dxa"/>
            <w:vAlign w:val="bottom"/>
            <w:vMerge w:val="continue"/>
          </w:tcPr>
          <w:p>
            <w:pPr>
              <w:spacing w:after="0"/>
              <w:rPr>
                <w:sz w:val="15"/>
                <w:szCs w:val="15"/>
                <w:color w:val="auto"/>
              </w:rPr>
            </w:pPr>
          </w:p>
        </w:tc>
        <w:tc>
          <w:tcPr>
            <w:tcW w:w="1880" w:type="dxa"/>
            <w:vAlign w:val="bottom"/>
            <w:gridSpan w:val="14"/>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240" w:type="dxa"/>
            <w:vAlign w:val="bottom"/>
            <w:tcBorders>
              <w:bottom w:val="single" w:sz="8" w:color="0000FF"/>
            </w:tcBorders>
            <w:gridSpan w:val="6"/>
            <w:shd w:val="clear" w:color="auto" w:fill="DDDDDD"/>
          </w:tcPr>
          <w:p>
            <w:pPr>
              <w:jc w:val="right"/>
              <w:spacing w:after="0" w:line="156" w:lineRule="exact"/>
              <w:rPr>
                <w:sz w:val="20"/>
                <w:szCs w:val="20"/>
                <w:color w:val="auto"/>
              </w:rPr>
            </w:pPr>
            <w:r>
              <w:rPr>
                <w:rFonts w:ascii="Arial" w:cs="Arial" w:eastAsia="Arial" w:hAnsi="Arial"/>
                <w:sz w:val="18"/>
                <w:szCs w:val="18"/>
                <w:color w:val="0000FF"/>
                <w:highlight w:val="lightGray"/>
                <w:w w:val="73"/>
              </w:rPr>
              <w:t>154</w:t>
            </w: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9.05</w:t>
            </w:r>
          </w:p>
        </w:tc>
        <w:tc>
          <w:tcPr>
            <w:tcW w:w="820" w:type="dxa"/>
            <w:vAlign w:val="bottom"/>
            <w:vMerge w:val="restart"/>
          </w:tcPr>
          <w:p>
            <w:pPr>
              <w:ind w:left="80"/>
              <w:spacing w:after="0" w:line="176" w:lineRule="exact"/>
              <w:rPr>
                <w:sz w:val="20"/>
                <w:szCs w:val="20"/>
                <w:color w:val="auto"/>
              </w:rPr>
            </w:pPr>
            <w:r>
              <w:rPr>
                <w:rFonts w:ascii="Arial" w:cs="Arial" w:eastAsia="Arial" w:hAnsi="Arial"/>
                <w:sz w:val="18"/>
                <w:szCs w:val="18"/>
                <w:color w:val="auto"/>
              </w:rPr>
              <w:t>Survival</w:t>
            </w:r>
          </w:p>
        </w:tc>
        <w:tc>
          <w:tcPr>
            <w:tcW w:w="60" w:type="dxa"/>
            <w:vAlign w:val="bottom"/>
          </w:tcPr>
          <w:p>
            <w:pPr>
              <w:spacing w:after="0" w:line="20" w:lineRule="exact"/>
              <w:rPr>
                <w:sz w:val="1"/>
                <w:szCs w:val="1"/>
                <w:color w:val="auto"/>
              </w:rPr>
            </w:pPr>
          </w:p>
        </w:tc>
        <w:tc>
          <w:tcPr>
            <w:tcW w:w="200" w:type="dxa"/>
            <w:vAlign w:val="bottom"/>
            <w:vMerge w:val="restart"/>
          </w:tcPr>
          <w:p>
            <w:pPr>
              <w:jc w:val="right"/>
              <w:spacing w:after="0" w:line="176" w:lineRule="exact"/>
              <w:rPr>
                <w:sz w:val="20"/>
                <w:szCs w:val="20"/>
                <w:color w:val="auto"/>
              </w:rPr>
            </w:pPr>
            <w:r>
              <w:rPr>
                <w:rFonts w:ascii="Arial" w:cs="Arial" w:eastAsia="Arial" w:hAnsi="Arial"/>
                <w:sz w:val="18"/>
                <w:szCs w:val="18"/>
                <w:color w:val="FF0000"/>
                <w:strike w:val="1"/>
                <w:w w:val="79"/>
              </w:rPr>
              <w:t>155</w:t>
            </w:r>
          </w:p>
        </w:tc>
        <w:tc>
          <w:tcPr>
            <w:tcW w:w="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gridSpan w:val="5"/>
            <w:shd w:val="clear" w:color="auto" w:fill="DDDDDD"/>
          </w:tcPr>
          <w:p>
            <w:pPr>
              <w:spacing w:after="0" w:line="156" w:lineRule="exact"/>
              <w:rPr>
                <w:sz w:val="20"/>
                <w:szCs w:val="20"/>
                <w:color w:val="auto"/>
              </w:rPr>
            </w:pPr>
            <w:r>
              <w:rPr>
                <w:rFonts w:ascii="Arial" w:cs="Arial" w:eastAsia="Arial" w:hAnsi="Arial"/>
                <w:sz w:val="18"/>
                <w:szCs w:val="18"/>
                <w:color w:val="0000FF"/>
                <w:highlight w:val="lightGray"/>
                <w:w w:val="73"/>
              </w:rPr>
              <w:t>159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82" w:lineRule="exact"/>
              <w:rPr>
                <w:sz w:val="20"/>
                <w:szCs w:val="20"/>
                <w:color w:val="auto"/>
              </w:rPr>
            </w:pPr>
            <w:r>
              <w:rPr>
                <w:rFonts w:ascii="Arial" w:cs="Arial" w:eastAsia="Arial" w:hAnsi="Arial"/>
                <w:sz w:val="18"/>
                <w:szCs w:val="18"/>
                <w:color w:val="auto"/>
                <w:w w:val="99"/>
              </w:rPr>
              <w:t>SECTION 9.06</w:t>
            </w:r>
          </w:p>
        </w:tc>
        <w:tc>
          <w:tcPr>
            <w:tcW w:w="1080" w:type="dxa"/>
            <w:vAlign w:val="bottom"/>
            <w:gridSpan w:val="3"/>
            <w:vMerge w:val="restart"/>
          </w:tcPr>
          <w:p>
            <w:pPr>
              <w:ind w:left="80"/>
              <w:spacing w:after="0" w:line="182" w:lineRule="exact"/>
              <w:rPr>
                <w:sz w:val="20"/>
                <w:szCs w:val="20"/>
                <w:color w:val="auto"/>
              </w:rPr>
            </w:pPr>
            <w:r>
              <w:rPr>
                <w:rFonts w:ascii="Arial" w:cs="Arial" w:eastAsia="Arial" w:hAnsi="Arial"/>
                <w:sz w:val="18"/>
                <w:szCs w:val="18"/>
                <w:color w:val="auto"/>
                <w:w w:val="87"/>
              </w:rPr>
              <w:t>Counterparts;</w:t>
            </w:r>
          </w:p>
        </w:tc>
        <w:tc>
          <w:tcPr>
            <w:tcW w:w="80" w:type="dxa"/>
            <w:vAlign w:val="bottom"/>
          </w:tcPr>
          <w:p>
            <w:pPr>
              <w:spacing w:after="0" w:line="20" w:lineRule="exact"/>
              <w:rPr>
                <w:sz w:val="1"/>
                <w:szCs w:val="1"/>
                <w:color w:val="auto"/>
              </w:rPr>
            </w:pPr>
          </w:p>
        </w:tc>
        <w:tc>
          <w:tcPr>
            <w:tcW w:w="40" w:type="dxa"/>
            <w:vAlign w:val="bottom"/>
            <w:shd w:val="clear" w:color="auto" w:fill="DDDDDD"/>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vMerge w:val="restart"/>
          </w:tcPr>
          <w:p>
            <w:pPr>
              <w:jc w:val="right"/>
              <w:spacing w:after="0" w:line="182" w:lineRule="exact"/>
              <w:rPr>
                <w:sz w:val="20"/>
                <w:szCs w:val="20"/>
                <w:color w:val="auto"/>
              </w:rPr>
            </w:pPr>
            <w:r>
              <w:rPr>
                <w:rFonts w:ascii="Arial" w:cs="Arial" w:eastAsia="Arial" w:hAnsi="Arial"/>
                <w:sz w:val="18"/>
                <w:szCs w:val="18"/>
                <w:color w:val="FF0000"/>
                <w:strike w:val="1"/>
              </w:rPr>
              <w:t>156</w:t>
            </w: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27"/>
          </w:tcPr>
          <w:p>
            <w:pPr>
              <w:spacing w:after="0" w:line="163" w:lineRule="exact"/>
              <w:rPr>
                <w:sz w:val="20"/>
                <w:szCs w:val="20"/>
                <w:color w:val="auto"/>
              </w:rPr>
            </w:pPr>
            <w:r>
              <w:rPr>
                <w:rFonts w:ascii="Arial" w:cs="Arial" w:eastAsia="Arial" w:hAnsi="Arial"/>
                <w:sz w:val="18"/>
                <w:szCs w:val="18"/>
                <w:color w:val="auto"/>
                <w:w w:val="90"/>
              </w:rPr>
              <w:t>Integration; Effectiveness</w:t>
            </w:r>
          </w:p>
        </w:tc>
        <w:tc>
          <w:tcPr>
            <w:tcW w:w="400" w:type="dxa"/>
            <w:vAlign w:val="bottom"/>
            <w:gridSpan w:val="3"/>
            <w:vMerge w:val="continue"/>
          </w:tcPr>
          <w:p>
            <w:pPr>
              <w:spacing w:after="0"/>
              <w:rPr>
                <w:sz w:val="15"/>
                <w:szCs w:val="15"/>
                <w:color w:val="auto"/>
              </w:rPr>
            </w:pPr>
          </w:p>
        </w:tc>
        <w:tc>
          <w:tcPr>
            <w:tcW w:w="280" w:type="dxa"/>
            <w:vAlign w:val="bottom"/>
            <w:gridSpan w:val="4"/>
            <w:shd w:val="clear" w:color="auto" w:fill="DDDDDD"/>
          </w:tcPr>
          <w:p>
            <w:pPr>
              <w:jc w:val="right"/>
              <w:spacing w:after="0" w:line="163" w:lineRule="exact"/>
              <w:rPr>
                <w:sz w:val="20"/>
                <w:szCs w:val="20"/>
                <w:color w:val="auto"/>
              </w:rPr>
            </w:pPr>
            <w:r>
              <w:rPr>
                <w:rFonts w:ascii="Arial" w:cs="Arial" w:eastAsia="Arial" w:hAnsi="Arial"/>
                <w:sz w:val="18"/>
                <w:szCs w:val="18"/>
                <w:color w:val="0000FF"/>
                <w:highlight w:val="lightGray"/>
                <w:w w:val="86"/>
              </w:rPr>
              <w:t>160</w:t>
            </w:r>
          </w:p>
        </w:tc>
        <w:tc>
          <w:tcPr>
            <w:tcW w:w="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9.07</w:t>
            </w:r>
          </w:p>
        </w:tc>
        <w:tc>
          <w:tcPr>
            <w:tcW w:w="1080" w:type="dxa"/>
            <w:vAlign w:val="bottom"/>
            <w:gridSpan w:val="3"/>
            <w:vMerge w:val="restart"/>
          </w:tcPr>
          <w:p>
            <w:pPr>
              <w:ind w:left="80"/>
              <w:spacing w:after="0" w:line="176" w:lineRule="exact"/>
              <w:rPr>
                <w:sz w:val="20"/>
                <w:szCs w:val="20"/>
                <w:color w:val="auto"/>
              </w:rPr>
            </w:pPr>
            <w:r>
              <w:rPr>
                <w:rFonts w:ascii="Arial" w:cs="Arial" w:eastAsia="Arial" w:hAnsi="Arial"/>
                <w:sz w:val="18"/>
                <w:szCs w:val="18"/>
                <w:color w:val="auto"/>
              </w:rPr>
              <w:t>Severability</w:t>
            </w:r>
          </w:p>
        </w:tc>
        <w:tc>
          <w:tcPr>
            <w:tcW w:w="320" w:type="dxa"/>
            <w:vAlign w:val="bottom"/>
            <w:gridSpan w:val="5"/>
            <w:vMerge w:val="restart"/>
          </w:tcPr>
          <w:p>
            <w:pPr>
              <w:ind w:left="60"/>
              <w:spacing w:after="0" w:line="176" w:lineRule="exact"/>
              <w:rPr>
                <w:sz w:val="20"/>
                <w:szCs w:val="20"/>
                <w:color w:val="auto"/>
              </w:rPr>
            </w:pPr>
            <w:r>
              <w:rPr>
                <w:rFonts w:ascii="Arial" w:cs="Arial" w:eastAsia="Arial" w:hAnsi="Arial"/>
                <w:sz w:val="18"/>
                <w:szCs w:val="18"/>
                <w:color w:val="FF0000"/>
                <w:strike w:val="1"/>
                <w:w w:val="79"/>
              </w:rPr>
              <w:t>156</w:t>
            </w: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22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320" w:type="dxa"/>
            <w:vAlign w:val="bottom"/>
            <w:gridSpan w:val="5"/>
            <w:vMerge w:val="continue"/>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200" w:type="dxa"/>
            <w:vAlign w:val="bottom"/>
            <w:tcBorders>
              <w:left w:val="single" w:sz="8" w:color="DDDDDD"/>
              <w:bottom w:val="single" w:sz="8" w:color="0000FF"/>
            </w:tcBorders>
            <w:gridSpan w:val="3"/>
            <w:shd w:val="clear" w:color="auto" w:fill="DDDDDD"/>
          </w:tcPr>
          <w:p>
            <w:pPr>
              <w:spacing w:after="0"/>
              <w:rPr>
                <w:sz w:val="20"/>
                <w:szCs w:val="20"/>
                <w:color w:val="auto"/>
              </w:rPr>
            </w:pPr>
            <w:r>
              <w:rPr>
                <w:rFonts w:ascii="Arial" w:cs="Arial" w:eastAsia="Arial" w:hAnsi="Arial"/>
                <w:sz w:val="13"/>
                <w:szCs w:val="13"/>
                <w:color w:val="0000FF"/>
                <w:highlight w:val="lightGray"/>
                <w:w w:val="73"/>
              </w:rPr>
              <w:t>160</w:t>
            </w:r>
          </w:p>
        </w:tc>
        <w:tc>
          <w:tcPr>
            <w:tcW w:w="80" w:type="dxa"/>
            <w:vAlign w:val="bottom"/>
            <w:tcBorders>
              <w:left w:val="single" w:sz="8" w:color="DDDDDD"/>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9.08</w:t>
            </w:r>
          </w:p>
        </w:tc>
        <w:tc>
          <w:tcPr>
            <w:tcW w:w="1360" w:type="dxa"/>
            <w:vAlign w:val="bottom"/>
            <w:gridSpan w:val="6"/>
            <w:vMerge w:val="restart"/>
          </w:tcPr>
          <w:p>
            <w:pPr>
              <w:ind w:left="80"/>
              <w:spacing w:after="0" w:line="176" w:lineRule="exact"/>
              <w:rPr>
                <w:sz w:val="20"/>
                <w:szCs w:val="20"/>
                <w:color w:val="auto"/>
              </w:rPr>
            </w:pPr>
            <w:r>
              <w:rPr>
                <w:rFonts w:ascii="Arial" w:cs="Arial" w:eastAsia="Arial" w:hAnsi="Arial"/>
                <w:sz w:val="18"/>
                <w:szCs w:val="18"/>
                <w:color w:val="auto"/>
              </w:rPr>
              <w:t>Right of Setoff</w:t>
            </w:r>
          </w:p>
        </w:tc>
        <w:tc>
          <w:tcPr>
            <w:tcW w:w="60" w:type="dxa"/>
            <w:vAlign w:val="bottom"/>
            <w:gridSpan w:val="3"/>
          </w:tcPr>
          <w:p>
            <w:pPr>
              <w:spacing w:after="0" w:line="20" w:lineRule="exact"/>
              <w:rPr>
                <w:sz w:val="1"/>
                <w:szCs w:val="1"/>
                <w:color w:val="auto"/>
              </w:rPr>
            </w:pPr>
          </w:p>
        </w:tc>
        <w:tc>
          <w:tcPr>
            <w:tcW w:w="180" w:type="dxa"/>
            <w:vAlign w:val="bottom"/>
            <w:tcBorders>
              <w:top w:val="single" w:sz="8" w:color="DDDDDD"/>
            </w:tcBorders>
            <w:gridSpan w:val="2"/>
            <w:vMerge w:val="restart"/>
          </w:tcPr>
          <w:p>
            <w:pPr>
              <w:spacing w:after="0"/>
              <w:rPr>
                <w:sz w:val="20"/>
                <w:szCs w:val="20"/>
                <w:color w:val="auto"/>
              </w:rPr>
            </w:pPr>
            <w:r>
              <w:rPr>
                <w:rFonts w:ascii="Arial" w:cs="Arial" w:eastAsia="Arial" w:hAnsi="Arial"/>
                <w:sz w:val="13"/>
                <w:szCs w:val="13"/>
                <w:color w:val="FF0000"/>
                <w:strike w:val="1"/>
                <w:w w:val="73"/>
              </w:rPr>
              <w:t>156</w:t>
            </w:r>
          </w:p>
        </w:tc>
        <w:tc>
          <w:tcPr>
            <w:tcW w:w="20" w:type="dxa"/>
            <w:vAlign w:val="bottom"/>
            <w:tcBorders>
              <w:top w:val="single" w:sz="8" w:color="DDDDDD"/>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136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Borders>
              <w:bottom w:val="single" w:sz="8" w:color="0000FF"/>
            </w:tcBorders>
            <w:shd w:val="clear" w:color="auto" w:fill="DDDDDD"/>
          </w:tcPr>
          <w:p>
            <w:pPr>
              <w:spacing w:after="0"/>
              <w:rPr>
                <w:sz w:val="13"/>
                <w:szCs w:val="13"/>
                <w:color w:val="auto"/>
              </w:rPr>
            </w:pPr>
          </w:p>
        </w:tc>
        <w:tc>
          <w:tcPr>
            <w:tcW w:w="260" w:type="dxa"/>
            <w:vAlign w:val="bottom"/>
            <w:tcBorders>
              <w:left w:val="single" w:sz="8" w:color="DDDDDD"/>
              <w:bottom w:val="single" w:sz="8" w:color="0000FF"/>
            </w:tcBorders>
            <w:gridSpan w:val="2"/>
            <w:shd w:val="clear" w:color="auto" w:fill="DDDDDD"/>
          </w:tcPr>
          <w:p>
            <w:pPr>
              <w:jc w:val="right"/>
              <w:spacing w:after="0" w:line="156" w:lineRule="exact"/>
              <w:rPr>
                <w:sz w:val="20"/>
                <w:szCs w:val="20"/>
                <w:color w:val="auto"/>
              </w:rPr>
            </w:pPr>
            <w:r>
              <w:rPr>
                <w:rFonts w:ascii="Arial" w:cs="Arial" w:eastAsia="Arial" w:hAnsi="Arial"/>
                <w:sz w:val="18"/>
                <w:szCs w:val="18"/>
                <w:color w:val="0000FF"/>
                <w:highlight w:val="lightGray"/>
                <w:w w:val="79"/>
              </w:rPr>
              <w:t>160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82" w:lineRule="exact"/>
              <w:rPr>
                <w:sz w:val="20"/>
                <w:szCs w:val="20"/>
                <w:color w:val="auto"/>
              </w:rPr>
            </w:pPr>
            <w:r>
              <w:rPr>
                <w:rFonts w:ascii="Arial" w:cs="Arial" w:eastAsia="Arial" w:hAnsi="Arial"/>
                <w:sz w:val="18"/>
                <w:szCs w:val="18"/>
                <w:color w:val="auto"/>
                <w:w w:val="99"/>
              </w:rPr>
              <w:t>SECTION 9.09</w:t>
            </w: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80" w:type="dxa"/>
            <w:vAlign w:val="bottom"/>
            <w:tcBorders>
              <w:left w:val="single" w:sz="8" w:color="DDDDDD"/>
            </w:tcBorders>
            <w:shd w:val="clear" w:color="auto" w:fill="DDDDDD"/>
          </w:tcPr>
          <w:p>
            <w:pPr>
              <w:spacing w:after="0" w:line="20" w:lineRule="exact"/>
              <w:rPr>
                <w:sz w:val="1"/>
                <w:szCs w:val="1"/>
                <w:color w:val="auto"/>
              </w:rPr>
            </w:pPr>
          </w:p>
        </w:tc>
        <w:tc>
          <w:tcPr>
            <w:tcW w:w="180" w:type="dxa"/>
            <w:vAlign w:val="bottom"/>
            <w:shd w:val="clear" w:color="auto" w:fill="DDDDD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20" w:type="dxa"/>
            <w:vAlign w:val="bottom"/>
            <w:vMerge w:val="continue"/>
          </w:tcPr>
          <w:p>
            <w:pPr>
              <w:spacing w:after="0"/>
              <w:rPr>
                <w:sz w:val="15"/>
                <w:szCs w:val="15"/>
                <w:color w:val="auto"/>
              </w:rPr>
            </w:pPr>
          </w:p>
        </w:tc>
        <w:tc>
          <w:tcPr>
            <w:tcW w:w="4580" w:type="dxa"/>
            <w:vAlign w:val="bottom"/>
            <w:gridSpan w:val="43"/>
          </w:tcPr>
          <w:p>
            <w:pPr>
              <w:ind w:left="80"/>
              <w:spacing w:after="0" w:line="163" w:lineRule="exact"/>
              <w:rPr>
                <w:sz w:val="20"/>
                <w:szCs w:val="20"/>
                <w:color w:val="auto"/>
              </w:rPr>
            </w:pPr>
            <w:r>
              <w:rPr>
                <w:rFonts w:ascii="Arial" w:cs="Arial" w:eastAsia="Arial" w:hAnsi="Arial"/>
                <w:sz w:val="18"/>
                <w:szCs w:val="18"/>
                <w:color w:val="auto"/>
                <w:w w:val="94"/>
              </w:rPr>
              <w:t>Governing Law; Jurisdiction; Consent to Service of Process</w:t>
            </w:r>
          </w:p>
        </w:tc>
        <w:tc>
          <w:tcPr>
            <w:tcW w:w="260" w:type="dxa"/>
            <w:vAlign w:val="bottom"/>
          </w:tcPr>
          <w:p>
            <w:pPr>
              <w:jc w:val="right"/>
              <w:spacing w:after="0" w:line="163" w:lineRule="exact"/>
              <w:rPr>
                <w:sz w:val="20"/>
                <w:szCs w:val="20"/>
                <w:color w:val="auto"/>
              </w:rPr>
            </w:pPr>
            <w:r>
              <w:rPr>
                <w:rFonts w:ascii="Arial" w:cs="Arial" w:eastAsia="Arial" w:hAnsi="Arial"/>
                <w:sz w:val="18"/>
                <w:szCs w:val="18"/>
                <w:color w:val="FF0000"/>
                <w:strike w:val="1"/>
                <w:w w:val="79"/>
              </w:rPr>
              <w:t>157</w:t>
            </w:r>
          </w:p>
        </w:tc>
        <w:tc>
          <w:tcPr>
            <w:tcW w:w="280" w:type="dxa"/>
            <w:vAlign w:val="bottom"/>
            <w:tcBorders>
              <w:bottom w:val="single" w:sz="8" w:color="0000FF"/>
            </w:tcBorders>
            <w:shd w:val="clear" w:color="auto" w:fill="DDDDDD"/>
          </w:tcPr>
          <w:p>
            <w:pPr>
              <w:jc w:val="right"/>
              <w:spacing w:after="0" w:line="163" w:lineRule="exact"/>
              <w:rPr>
                <w:sz w:val="20"/>
                <w:szCs w:val="20"/>
                <w:color w:val="auto"/>
              </w:rPr>
            </w:pPr>
            <w:r>
              <w:rPr>
                <w:rFonts w:ascii="Arial" w:cs="Arial" w:eastAsia="Arial" w:hAnsi="Arial"/>
                <w:sz w:val="18"/>
                <w:szCs w:val="18"/>
                <w:color w:val="0000FF"/>
                <w:highlight w:val="lightGray"/>
                <w:w w:val="86"/>
              </w:rPr>
              <w:t>161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9.10</w:t>
            </w:r>
          </w:p>
        </w:tc>
        <w:tc>
          <w:tcPr>
            <w:tcW w:w="2160" w:type="dxa"/>
            <w:vAlign w:val="bottom"/>
            <w:gridSpan w:val="16"/>
            <w:vMerge w:val="restart"/>
          </w:tcPr>
          <w:p>
            <w:pPr>
              <w:ind w:left="80"/>
              <w:spacing w:after="0" w:line="176" w:lineRule="exact"/>
              <w:rPr>
                <w:sz w:val="20"/>
                <w:szCs w:val="20"/>
                <w:color w:val="auto"/>
              </w:rPr>
            </w:pPr>
            <w:r>
              <w:rPr>
                <w:rFonts w:ascii="Arial" w:cs="Arial" w:eastAsia="Arial" w:hAnsi="Arial"/>
                <w:sz w:val="18"/>
                <w:szCs w:val="18"/>
                <w:color w:val="auto"/>
                <w:w w:val="98"/>
              </w:rPr>
              <w:t>WAIVER OF JURY TRIAL</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vMerge w:val="restart"/>
          </w:tcPr>
          <w:p>
            <w:pPr>
              <w:jc w:val="right"/>
              <w:spacing w:after="0" w:line="176" w:lineRule="exact"/>
              <w:rPr>
                <w:sz w:val="20"/>
                <w:szCs w:val="20"/>
                <w:color w:val="auto"/>
              </w:rPr>
            </w:pPr>
            <w:r>
              <w:rPr>
                <w:rFonts w:ascii="Arial" w:cs="Arial" w:eastAsia="Arial" w:hAnsi="Arial"/>
                <w:sz w:val="18"/>
                <w:szCs w:val="18"/>
                <w:color w:val="FF0000"/>
                <w:strike w:val="1"/>
                <w:w w:val="79"/>
              </w:rPr>
              <w:t>157</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DDDDD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220" w:type="dxa"/>
            <w:vAlign w:val="bottom"/>
            <w:vMerge w:val="continue"/>
          </w:tcPr>
          <w:p>
            <w:pPr>
              <w:spacing w:after="0"/>
              <w:rPr>
                <w:sz w:val="15"/>
                <w:szCs w:val="15"/>
                <w:color w:val="auto"/>
              </w:rPr>
            </w:pPr>
          </w:p>
        </w:tc>
        <w:tc>
          <w:tcPr>
            <w:tcW w:w="2160" w:type="dxa"/>
            <w:vAlign w:val="bottom"/>
            <w:gridSpan w:val="16"/>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5"/>
            <w:vMerge w:val="continue"/>
          </w:tcPr>
          <w:p>
            <w:pPr>
              <w:spacing w:after="0"/>
              <w:rPr>
                <w:sz w:val="15"/>
                <w:szCs w:val="15"/>
                <w:color w:val="auto"/>
              </w:rPr>
            </w:pPr>
          </w:p>
        </w:tc>
        <w:tc>
          <w:tcPr>
            <w:tcW w:w="260" w:type="dxa"/>
            <w:vAlign w:val="bottom"/>
            <w:tcBorders>
              <w:bottom w:val="single" w:sz="8" w:color="0000FF"/>
            </w:tcBorders>
            <w:gridSpan w:val="3"/>
            <w:shd w:val="clear" w:color="auto" w:fill="DDDDDD"/>
          </w:tcPr>
          <w:p>
            <w:pPr>
              <w:jc w:val="right"/>
              <w:spacing w:after="0" w:line="156" w:lineRule="exact"/>
              <w:rPr>
                <w:sz w:val="20"/>
                <w:szCs w:val="20"/>
                <w:color w:val="auto"/>
              </w:rPr>
            </w:pPr>
            <w:r>
              <w:rPr>
                <w:rFonts w:ascii="Arial" w:cs="Arial" w:eastAsia="Arial" w:hAnsi="Arial"/>
                <w:sz w:val="18"/>
                <w:szCs w:val="18"/>
                <w:color w:val="0000FF"/>
                <w:highlight w:val="lightGray"/>
                <w:w w:val="79"/>
              </w:rPr>
              <w:t>161</w:t>
            </w:r>
          </w:p>
        </w:tc>
        <w:tc>
          <w:tcPr>
            <w:tcW w:w="20" w:type="dxa"/>
            <w:vAlign w:val="bottom"/>
            <w:tcBorders>
              <w:bottom w:val="single" w:sz="8" w:color="0000FF"/>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20" w:type="dxa"/>
            <w:vAlign w:val="bottom"/>
          </w:tcPr>
          <w:p>
            <w:pPr>
              <w:spacing w:after="0" w:line="163" w:lineRule="exact"/>
              <w:rPr>
                <w:sz w:val="20"/>
                <w:szCs w:val="20"/>
                <w:color w:val="auto"/>
              </w:rPr>
            </w:pPr>
            <w:r>
              <w:rPr>
                <w:rFonts w:ascii="Arial" w:cs="Arial" w:eastAsia="Arial" w:hAnsi="Arial"/>
                <w:sz w:val="18"/>
                <w:szCs w:val="18"/>
                <w:color w:val="auto"/>
                <w:w w:val="99"/>
              </w:rPr>
              <w:t>SECTION 9.11</w:t>
            </w:r>
          </w:p>
        </w:tc>
        <w:tc>
          <w:tcPr>
            <w:tcW w:w="820" w:type="dxa"/>
            <w:vAlign w:val="bottom"/>
          </w:tcPr>
          <w:p>
            <w:pPr>
              <w:ind w:left="80"/>
              <w:spacing w:after="0" w:line="163" w:lineRule="exact"/>
              <w:rPr>
                <w:sz w:val="20"/>
                <w:szCs w:val="20"/>
                <w:color w:val="auto"/>
              </w:rPr>
            </w:pPr>
            <w:r>
              <w:rPr>
                <w:rFonts w:ascii="Arial" w:cs="Arial" w:eastAsia="Arial" w:hAnsi="Arial"/>
                <w:sz w:val="18"/>
                <w:szCs w:val="18"/>
                <w:color w:val="auto"/>
                <w:w w:val="94"/>
              </w:rPr>
              <w:t>Headings</w:t>
            </w:r>
          </w:p>
        </w:tc>
        <w:tc>
          <w:tcPr>
            <w:tcW w:w="60" w:type="dxa"/>
            <w:vAlign w:val="bottom"/>
          </w:tcPr>
          <w:p>
            <w:pPr>
              <w:spacing w:after="0"/>
              <w:rPr>
                <w:sz w:val="14"/>
                <w:szCs w:val="14"/>
                <w:color w:val="auto"/>
              </w:rPr>
            </w:pPr>
          </w:p>
        </w:tc>
        <w:tc>
          <w:tcPr>
            <w:tcW w:w="320" w:type="dxa"/>
            <w:vAlign w:val="bottom"/>
            <w:gridSpan w:val="3"/>
          </w:tcPr>
          <w:p>
            <w:pPr>
              <w:jc w:val="right"/>
              <w:spacing w:after="0" w:line="163" w:lineRule="exact"/>
              <w:rPr>
                <w:sz w:val="20"/>
                <w:szCs w:val="20"/>
                <w:color w:val="auto"/>
              </w:rPr>
            </w:pPr>
            <w:r>
              <w:rPr>
                <w:rFonts w:ascii="Arial" w:cs="Arial" w:eastAsia="Arial" w:hAnsi="Arial"/>
                <w:sz w:val="18"/>
                <w:szCs w:val="18"/>
                <w:color w:val="FF0000"/>
                <w:strike w:val="1"/>
                <w:w w:val="99"/>
              </w:rPr>
              <w:t>157</w:t>
            </w:r>
          </w:p>
        </w:tc>
        <w:tc>
          <w:tcPr>
            <w:tcW w:w="220" w:type="dxa"/>
            <w:vAlign w:val="bottom"/>
            <w:tcBorders>
              <w:bottom w:val="single" w:sz="8" w:color="0000FF"/>
            </w:tcBorders>
            <w:gridSpan w:val="4"/>
            <w:shd w:val="clear" w:color="auto" w:fill="DDDDDD"/>
          </w:tcPr>
          <w:p>
            <w:pPr>
              <w:jc w:val="right"/>
              <w:spacing w:after="0" w:line="163" w:lineRule="exact"/>
              <w:rPr>
                <w:sz w:val="20"/>
                <w:szCs w:val="20"/>
                <w:color w:val="auto"/>
              </w:rPr>
            </w:pPr>
            <w:r>
              <w:rPr>
                <w:rFonts w:ascii="Arial" w:cs="Arial" w:eastAsia="Arial" w:hAnsi="Arial"/>
                <w:sz w:val="18"/>
                <w:szCs w:val="18"/>
                <w:color w:val="0000FF"/>
                <w:highlight w:val="lightGray"/>
                <w:w w:val="86"/>
              </w:rPr>
              <w:t>161</w:t>
            </w:r>
          </w:p>
        </w:tc>
        <w:tc>
          <w:tcPr>
            <w:tcW w:w="80" w:type="dxa"/>
            <w:vAlign w:val="bottom"/>
            <w:tcBorders>
              <w:left w:val="single" w:sz="8" w:color="DDDDDD"/>
              <w:bottom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DDDDDD"/>
            </w:tcBorders>
          </w:tcPr>
          <w:p>
            <w:pPr>
              <w:spacing w:after="0"/>
              <w:rPr>
                <w:sz w:val="14"/>
                <w:szCs w:val="14"/>
                <w:color w:val="auto"/>
              </w:rPr>
            </w:pPr>
          </w:p>
        </w:tc>
        <w:tc>
          <w:tcPr>
            <w:tcW w:w="100" w:type="dxa"/>
            <w:vAlign w:val="bottom"/>
            <w:tcBorders>
              <w:top w:val="single" w:sz="8" w:color="DDDDDD"/>
            </w:tcBorders>
          </w:tcPr>
          <w:p>
            <w:pPr>
              <w:spacing w:after="0"/>
              <w:rPr>
                <w:sz w:val="14"/>
                <w:szCs w:val="14"/>
                <w:color w:val="auto"/>
              </w:rPr>
            </w:pPr>
          </w:p>
        </w:tc>
        <w:tc>
          <w:tcPr>
            <w:tcW w:w="100" w:type="dxa"/>
            <w:vAlign w:val="bottom"/>
            <w:tcBorders>
              <w:top w:val="single" w:sz="8" w:color="DDDDDD"/>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96" w:lineRule="exact"/>
              <w:rPr>
                <w:sz w:val="20"/>
                <w:szCs w:val="20"/>
                <w:color w:val="auto"/>
              </w:rPr>
            </w:pPr>
            <w:r>
              <w:rPr>
                <w:rFonts w:ascii="Arial" w:cs="Arial" w:eastAsia="Arial" w:hAnsi="Arial"/>
                <w:sz w:val="18"/>
                <w:szCs w:val="18"/>
                <w:color w:val="auto"/>
                <w:w w:val="99"/>
              </w:rPr>
              <w:t>SECTION 9.12</w:t>
            </w:r>
          </w:p>
        </w:tc>
        <w:tc>
          <w:tcPr>
            <w:tcW w:w="1200" w:type="dxa"/>
            <w:vAlign w:val="bottom"/>
            <w:gridSpan w:val="5"/>
            <w:vMerge w:val="restart"/>
          </w:tcPr>
          <w:p>
            <w:pPr>
              <w:ind w:left="80"/>
              <w:spacing w:after="0" w:line="196" w:lineRule="exact"/>
              <w:rPr>
                <w:sz w:val="20"/>
                <w:szCs w:val="20"/>
                <w:color w:val="auto"/>
              </w:rPr>
            </w:pPr>
            <w:r>
              <w:rPr>
                <w:rFonts w:ascii="Arial" w:cs="Arial" w:eastAsia="Arial" w:hAnsi="Arial"/>
                <w:sz w:val="18"/>
                <w:szCs w:val="18"/>
                <w:color w:val="auto"/>
                <w:w w:val="97"/>
              </w:rPr>
              <w:t>Confidentiality</w:t>
            </w:r>
          </w:p>
        </w:tc>
        <w:tc>
          <w:tcPr>
            <w:tcW w:w="16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80" w:type="dxa"/>
            <w:vAlign w:val="bottom"/>
            <w:tcBorders>
              <w:left w:val="single" w:sz="8" w:color="DDDDDD"/>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1200" w:type="dxa"/>
            <w:vAlign w:val="bottom"/>
            <w:gridSpan w:val="5"/>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6"/>
            <w:vMerge w:val="restart"/>
          </w:tcPr>
          <w:p>
            <w:pPr>
              <w:jc w:val="right"/>
              <w:spacing w:after="0" w:line="176" w:lineRule="exact"/>
              <w:rPr>
                <w:sz w:val="20"/>
                <w:szCs w:val="20"/>
                <w:color w:val="auto"/>
              </w:rPr>
            </w:pPr>
            <w:r>
              <w:rPr>
                <w:rFonts w:ascii="Arial" w:cs="Arial" w:eastAsia="Arial" w:hAnsi="Arial"/>
                <w:sz w:val="18"/>
                <w:szCs w:val="18"/>
                <w:color w:val="FF0000"/>
                <w:strike w:val="1"/>
                <w:w w:val="79"/>
              </w:rPr>
              <w:t>157</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120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gridSpan w:val="6"/>
            <w:vMerge w:val="continue"/>
          </w:tcPr>
          <w:p>
            <w:pPr>
              <w:spacing w:after="0"/>
              <w:rPr>
                <w:sz w:val="13"/>
                <w:szCs w:val="13"/>
                <w:color w:val="auto"/>
              </w:rPr>
            </w:pPr>
          </w:p>
        </w:tc>
        <w:tc>
          <w:tcPr>
            <w:tcW w:w="260" w:type="dxa"/>
            <w:vAlign w:val="bottom"/>
            <w:tcBorders>
              <w:left w:val="single" w:sz="8" w:color="DDDDDD"/>
              <w:bottom w:val="single" w:sz="8" w:color="0000FF"/>
            </w:tcBorders>
            <w:gridSpan w:val="2"/>
            <w:shd w:val="clear" w:color="auto" w:fill="DDDDDD"/>
          </w:tcPr>
          <w:p>
            <w:pPr>
              <w:jc w:val="right"/>
              <w:spacing w:after="0" w:line="156" w:lineRule="exact"/>
              <w:rPr>
                <w:sz w:val="20"/>
                <w:szCs w:val="20"/>
                <w:color w:val="auto"/>
              </w:rPr>
            </w:pPr>
            <w:r>
              <w:rPr>
                <w:rFonts w:ascii="Arial" w:cs="Arial" w:eastAsia="Arial" w:hAnsi="Arial"/>
                <w:sz w:val="18"/>
                <w:szCs w:val="18"/>
                <w:color w:val="0000FF"/>
                <w:highlight w:val="lightGray"/>
                <w:w w:val="86"/>
              </w:rPr>
              <w:t>161</w:t>
            </w:r>
          </w:p>
        </w:tc>
        <w:tc>
          <w:tcPr>
            <w:tcW w:w="100" w:type="dxa"/>
            <w:vAlign w:val="bottom"/>
            <w:tcBorders>
              <w:left w:val="single" w:sz="8" w:color="DDDDDD"/>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96" w:lineRule="exact"/>
              <w:rPr>
                <w:sz w:val="20"/>
                <w:szCs w:val="20"/>
                <w:color w:val="auto"/>
              </w:rPr>
            </w:pPr>
            <w:r>
              <w:rPr>
                <w:rFonts w:ascii="Arial" w:cs="Arial" w:eastAsia="Arial" w:hAnsi="Arial"/>
                <w:sz w:val="18"/>
                <w:szCs w:val="18"/>
                <w:color w:val="auto"/>
                <w:w w:val="99"/>
              </w:rPr>
              <w:t>SECTION 9.13</w:t>
            </w:r>
          </w:p>
        </w:tc>
        <w:tc>
          <w:tcPr>
            <w:tcW w:w="1360" w:type="dxa"/>
            <w:vAlign w:val="bottom"/>
            <w:gridSpan w:val="6"/>
            <w:vMerge w:val="restart"/>
          </w:tcPr>
          <w:p>
            <w:pPr>
              <w:ind w:left="80"/>
              <w:spacing w:after="0" w:line="196" w:lineRule="exact"/>
              <w:rPr>
                <w:sz w:val="20"/>
                <w:szCs w:val="20"/>
                <w:color w:val="auto"/>
              </w:rPr>
            </w:pPr>
            <w:r>
              <w:rPr>
                <w:rFonts w:ascii="Arial" w:cs="Arial" w:eastAsia="Arial" w:hAnsi="Arial"/>
                <w:sz w:val="18"/>
                <w:szCs w:val="18"/>
                <w:color w:val="auto"/>
              </w:rPr>
              <w:t>USA Patriot Act</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DDDDDD"/>
            </w:tcBorders>
            <w:shd w:val="clear" w:color="auto" w:fill="DDDDDD"/>
          </w:tcPr>
          <w:p>
            <w:pPr>
              <w:spacing w:after="0" w:line="20" w:lineRule="exact"/>
              <w:rPr>
                <w:sz w:val="1"/>
                <w:szCs w:val="1"/>
                <w:color w:val="auto"/>
              </w:rPr>
            </w:pPr>
          </w:p>
        </w:tc>
        <w:tc>
          <w:tcPr>
            <w:tcW w:w="180" w:type="dxa"/>
            <w:vAlign w:val="bottom"/>
            <w:shd w:val="clear" w:color="auto" w:fill="DDDDDD"/>
          </w:tcPr>
          <w:p>
            <w:pPr>
              <w:spacing w:after="0" w:line="20" w:lineRule="exact"/>
              <w:rPr>
                <w:sz w:val="1"/>
                <w:szCs w:val="1"/>
                <w:color w:val="auto"/>
              </w:rPr>
            </w:pPr>
          </w:p>
        </w:tc>
        <w:tc>
          <w:tcPr>
            <w:tcW w:w="100" w:type="dxa"/>
            <w:vAlign w:val="bottom"/>
            <w:tcBorders>
              <w:left w:val="single" w:sz="8" w:color="DDDDDD"/>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1360" w:type="dxa"/>
            <w:vAlign w:val="bottom"/>
            <w:gridSpan w:val="6"/>
            <w:vMerge w:val="continu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4"/>
            <w:vMerge w:val="restart"/>
          </w:tcPr>
          <w:p>
            <w:pPr>
              <w:jc w:val="right"/>
              <w:spacing w:after="0" w:line="176" w:lineRule="exact"/>
              <w:rPr>
                <w:sz w:val="20"/>
                <w:szCs w:val="20"/>
                <w:color w:val="auto"/>
              </w:rPr>
            </w:pPr>
            <w:r>
              <w:rPr>
                <w:rFonts w:ascii="Arial" w:cs="Arial" w:eastAsia="Arial" w:hAnsi="Arial"/>
                <w:sz w:val="18"/>
                <w:szCs w:val="18"/>
                <w:color w:val="FF0000"/>
                <w:strike w:val="1"/>
                <w:w w:val="86"/>
              </w:rPr>
              <w:t>158</w:t>
            </w:r>
          </w:p>
        </w:tc>
        <w:tc>
          <w:tcPr>
            <w:tcW w:w="280" w:type="dxa"/>
            <w:vAlign w:val="bottom"/>
            <w:gridSpan w:val="2"/>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220" w:type="dxa"/>
            <w:vAlign w:val="bottom"/>
            <w:vMerge w:val="continue"/>
          </w:tcPr>
          <w:p>
            <w:pPr>
              <w:spacing w:after="0"/>
              <w:rPr>
                <w:sz w:val="15"/>
                <w:szCs w:val="15"/>
                <w:color w:val="auto"/>
              </w:rPr>
            </w:pPr>
          </w:p>
        </w:tc>
        <w:tc>
          <w:tcPr>
            <w:tcW w:w="1360" w:type="dxa"/>
            <w:vAlign w:val="bottom"/>
            <w:gridSpan w:val="6"/>
            <w:vMerge w:val="continue"/>
          </w:tcPr>
          <w:p>
            <w:pPr>
              <w:spacing w:after="0"/>
              <w:rPr>
                <w:sz w:val="15"/>
                <w:szCs w:val="15"/>
                <w:color w:val="auto"/>
              </w:rPr>
            </w:pPr>
          </w:p>
        </w:tc>
        <w:tc>
          <w:tcPr>
            <w:tcW w:w="60" w:type="dxa"/>
            <w:vAlign w:val="bottom"/>
            <w:gridSpan w:val="3"/>
          </w:tcPr>
          <w:p>
            <w:pPr>
              <w:spacing w:after="0"/>
              <w:rPr>
                <w:sz w:val="15"/>
                <w:szCs w:val="15"/>
                <w:color w:val="auto"/>
              </w:rPr>
            </w:pPr>
          </w:p>
        </w:tc>
        <w:tc>
          <w:tcPr>
            <w:tcW w:w="280" w:type="dxa"/>
            <w:vAlign w:val="bottom"/>
            <w:gridSpan w:val="4"/>
            <w:vMerge w:val="continue"/>
          </w:tcPr>
          <w:p>
            <w:pPr>
              <w:spacing w:after="0"/>
              <w:rPr>
                <w:sz w:val="15"/>
                <w:szCs w:val="15"/>
                <w:color w:val="auto"/>
              </w:rPr>
            </w:pPr>
          </w:p>
        </w:tc>
        <w:tc>
          <w:tcPr>
            <w:tcW w:w="280" w:type="dxa"/>
            <w:vAlign w:val="bottom"/>
            <w:tcBorders>
              <w:bottom w:val="single" w:sz="8" w:color="0000FF"/>
              <w:right w:val="single" w:sz="8" w:color="DDDDDD"/>
            </w:tcBorders>
            <w:gridSpan w:val="2"/>
            <w:shd w:val="clear" w:color="auto" w:fill="DDDDDD"/>
          </w:tcPr>
          <w:p>
            <w:pPr>
              <w:spacing w:after="0" w:line="156" w:lineRule="exact"/>
              <w:rPr>
                <w:sz w:val="20"/>
                <w:szCs w:val="20"/>
                <w:color w:val="auto"/>
              </w:rPr>
            </w:pPr>
            <w:r>
              <w:rPr>
                <w:rFonts w:ascii="Arial" w:cs="Arial" w:eastAsia="Arial" w:hAnsi="Arial"/>
                <w:sz w:val="18"/>
                <w:szCs w:val="18"/>
                <w:color w:val="0000FF"/>
                <w:highlight w:val="lightGray"/>
                <w:w w:val="79"/>
              </w:rPr>
              <w:t>162</w:t>
            </w:r>
          </w:p>
        </w:tc>
        <w:tc>
          <w:tcPr>
            <w:tcW w:w="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20" w:type="dxa"/>
            <w:vAlign w:val="bottom"/>
          </w:tcPr>
          <w:p>
            <w:pPr>
              <w:spacing w:after="0" w:line="163" w:lineRule="exact"/>
              <w:rPr>
                <w:sz w:val="20"/>
                <w:szCs w:val="20"/>
                <w:color w:val="auto"/>
              </w:rPr>
            </w:pPr>
            <w:r>
              <w:rPr>
                <w:rFonts w:ascii="Arial" w:cs="Arial" w:eastAsia="Arial" w:hAnsi="Arial"/>
                <w:sz w:val="18"/>
                <w:szCs w:val="18"/>
                <w:color w:val="auto"/>
                <w:w w:val="99"/>
              </w:rPr>
              <w:t>SECTION 9.14</w:t>
            </w:r>
          </w:p>
        </w:tc>
        <w:tc>
          <w:tcPr>
            <w:tcW w:w="1620" w:type="dxa"/>
            <w:vAlign w:val="bottom"/>
            <w:gridSpan w:val="12"/>
          </w:tcPr>
          <w:p>
            <w:pPr>
              <w:ind w:left="80"/>
              <w:spacing w:after="0" w:line="163" w:lineRule="exact"/>
              <w:rPr>
                <w:sz w:val="20"/>
                <w:szCs w:val="20"/>
                <w:color w:val="auto"/>
              </w:rPr>
            </w:pPr>
            <w:r>
              <w:rPr>
                <w:rFonts w:ascii="Arial" w:cs="Arial" w:eastAsia="Arial" w:hAnsi="Arial"/>
                <w:sz w:val="18"/>
                <w:szCs w:val="18"/>
                <w:color w:val="auto"/>
                <w:w w:val="95"/>
              </w:rPr>
              <w:t>Judgment Currency</w:t>
            </w:r>
          </w:p>
        </w:tc>
        <w:tc>
          <w:tcPr>
            <w:tcW w:w="80" w:type="dxa"/>
            <w:vAlign w:val="bottom"/>
          </w:tcPr>
          <w:p>
            <w:pPr>
              <w:spacing w:after="0"/>
              <w:rPr>
                <w:sz w:val="14"/>
                <w:szCs w:val="14"/>
                <w:color w:val="auto"/>
              </w:rPr>
            </w:pPr>
          </w:p>
        </w:tc>
        <w:tc>
          <w:tcPr>
            <w:tcW w:w="280" w:type="dxa"/>
            <w:vAlign w:val="bottom"/>
            <w:tcBorders>
              <w:top w:val="single" w:sz="8" w:color="DDDDDD"/>
              <w:right w:val="single" w:sz="8" w:color="DDDDDD"/>
            </w:tcBorders>
            <w:gridSpan w:val="2"/>
          </w:tcPr>
          <w:p>
            <w:pPr>
              <w:spacing w:after="0" w:line="163" w:lineRule="exact"/>
              <w:rPr>
                <w:sz w:val="20"/>
                <w:szCs w:val="20"/>
                <w:color w:val="auto"/>
              </w:rPr>
            </w:pPr>
            <w:r>
              <w:rPr>
                <w:rFonts w:ascii="Arial" w:cs="Arial" w:eastAsia="Arial" w:hAnsi="Arial"/>
                <w:sz w:val="18"/>
                <w:szCs w:val="18"/>
                <w:color w:val="FF0000"/>
                <w:strike w:val="1"/>
                <w:w w:val="79"/>
              </w:rPr>
              <w:t>159</w:t>
            </w:r>
          </w:p>
        </w:tc>
        <w:tc>
          <w:tcPr>
            <w:tcW w:w="260" w:type="dxa"/>
            <w:vAlign w:val="bottom"/>
            <w:tcBorders>
              <w:bottom w:val="single" w:sz="8" w:color="0000FF"/>
              <w:right w:val="single" w:sz="8" w:color="DDDDDD"/>
            </w:tcBorders>
            <w:gridSpan w:val="2"/>
            <w:shd w:val="clear" w:color="auto" w:fill="DDDDDD"/>
          </w:tcPr>
          <w:p>
            <w:pPr>
              <w:jc w:val="right"/>
              <w:spacing w:after="0" w:line="163" w:lineRule="exact"/>
              <w:rPr>
                <w:sz w:val="20"/>
                <w:szCs w:val="20"/>
                <w:color w:val="auto"/>
              </w:rPr>
            </w:pPr>
            <w:r>
              <w:rPr>
                <w:rFonts w:ascii="Arial" w:cs="Arial" w:eastAsia="Arial" w:hAnsi="Arial"/>
                <w:sz w:val="18"/>
                <w:szCs w:val="18"/>
                <w:color w:val="0000FF"/>
                <w:highlight w:val="lightGray"/>
                <w:w w:val="73"/>
              </w:rPr>
              <w:t>163</w:t>
            </w: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96" w:lineRule="exact"/>
              <w:rPr>
                <w:sz w:val="20"/>
                <w:szCs w:val="20"/>
                <w:color w:val="auto"/>
              </w:rPr>
            </w:pPr>
            <w:r>
              <w:rPr>
                <w:rFonts w:ascii="Arial" w:cs="Arial" w:eastAsia="Arial" w:hAnsi="Arial"/>
                <w:sz w:val="18"/>
                <w:szCs w:val="18"/>
                <w:color w:val="auto"/>
                <w:w w:val="99"/>
              </w:rPr>
              <w:t>SECTION 9.15</w:t>
            </w: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DDDDDD"/>
            </w:tcBorders>
          </w:tcPr>
          <w:p>
            <w:pPr>
              <w:spacing w:after="0" w:line="20" w:lineRule="exact"/>
              <w:rPr>
                <w:sz w:val="1"/>
                <w:szCs w:val="1"/>
                <w:color w:val="auto"/>
              </w:rPr>
            </w:pPr>
          </w:p>
        </w:tc>
        <w:tc>
          <w:tcPr>
            <w:tcW w:w="180" w:type="dxa"/>
            <w:vAlign w:val="bottom"/>
            <w:shd w:val="clear" w:color="auto" w:fill="DDDDDD"/>
          </w:tcPr>
          <w:p>
            <w:pPr>
              <w:spacing w:after="0" w:line="20" w:lineRule="exact"/>
              <w:rPr>
                <w:sz w:val="1"/>
                <w:szCs w:val="1"/>
                <w:color w:val="auto"/>
              </w:rPr>
            </w:pPr>
          </w:p>
        </w:tc>
        <w:tc>
          <w:tcPr>
            <w:tcW w:w="80" w:type="dxa"/>
            <w:vAlign w:val="bottom"/>
            <w:tcBorders>
              <w:right w:val="single" w:sz="8" w:color="DDDDDD"/>
            </w:tcBorders>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2620" w:type="dxa"/>
            <w:vAlign w:val="bottom"/>
            <w:gridSpan w:val="26"/>
            <w:vMerge w:val="restart"/>
          </w:tcPr>
          <w:p>
            <w:pPr>
              <w:ind w:left="80"/>
              <w:spacing w:after="0" w:line="176" w:lineRule="exact"/>
              <w:rPr>
                <w:sz w:val="20"/>
                <w:szCs w:val="20"/>
                <w:color w:val="auto"/>
              </w:rPr>
            </w:pPr>
            <w:r>
              <w:rPr>
                <w:rFonts w:ascii="Arial" w:cs="Arial" w:eastAsia="Arial" w:hAnsi="Arial"/>
                <w:sz w:val="18"/>
                <w:szCs w:val="18"/>
                <w:color w:val="auto"/>
                <w:w w:val="93"/>
              </w:rPr>
              <w:t>Release of Liens and Guarantees</w:t>
            </w:r>
          </w:p>
        </w:tc>
        <w:tc>
          <w:tcPr>
            <w:tcW w:w="280" w:type="dxa"/>
            <w:vAlign w:val="bottom"/>
            <w:gridSpan w:val="4"/>
            <w:vMerge w:val="restart"/>
          </w:tcPr>
          <w:p>
            <w:pPr>
              <w:jc w:val="right"/>
              <w:spacing w:after="0" w:line="176" w:lineRule="exact"/>
              <w:rPr>
                <w:sz w:val="20"/>
                <w:szCs w:val="20"/>
                <w:color w:val="auto"/>
              </w:rPr>
            </w:pPr>
            <w:r>
              <w:rPr>
                <w:rFonts w:ascii="Arial" w:cs="Arial" w:eastAsia="Arial" w:hAnsi="Arial"/>
                <w:sz w:val="18"/>
                <w:szCs w:val="18"/>
                <w:color w:val="FF0000"/>
                <w:strike w:val="1"/>
                <w:w w:val="86"/>
              </w:rPr>
              <w:t>159</w:t>
            </w:r>
          </w:p>
        </w:tc>
        <w:tc>
          <w:tcPr>
            <w:tcW w:w="260" w:type="dxa"/>
            <w:vAlign w:val="bottom"/>
            <w:gridSpan w:val="2"/>
          </w:tcPr>
          <w:p>
            <w:pPr>
              <w:spacing w:after="0" w:line="20" w:lineRule="exact"/>
              <w:rPr>
                <w:sz w:val="1"/>
                <w:szCs w:val="1"/>
                <w:color w:val="auto"/>
              </w:rPr>
            </w:pPr>
          </w:p>
        </w:tc>
        <w:tc>
          <w:tcPr>
            <w:tcW w:w="860" w:type="dxa"/>
            <w:vAlign w:val="bottom"/>
            <w:gridSpan w:val="8"/>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80" w:type="dxa"/>
            <w:vAlign w:val="bottom"/>
            <w:gridSpan w:val="4"/>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220" w:type="dxa"/>
            <w:vAlign w:val="bottom"/>
            <w:vMerge w:val="continue"/>
          </w:tcPr>
          <w:p>
            <w:pPr>
              <w:spacing w:after="0"/>
              <w:rPr>
                <w:sz w:val="15"/>
                <w:szCs w:val="15"/>
                <w:color w:val="auto"/>
              </w:rPr>
            </w:pPr>
          </w:p>
        </w:tc>
        <w:tc>
          <w:tcPr>
            <w:tcW w:w="2620" w:type="dxa"/>
            <w:vAlign w:val="bottom"/>
            <w:gridSpan w:val="26"/>
            <w:vMerge w:val="continue"/>
          </w:tcPr>
          <w:p>
            <w:pPr>
              <w:spacing w:after="0"/>
              <w:rPr>
                <w:sz w:val="15"/>
                <w:szCs w:val="15"/>
                <w:color w:val="auto"/>
              </w:rPr>
            </w:pPr>
          </w:p>
        </w:tc>
        <w:tc>
          <w:tcPr>
            <w:tcW w:w="280" w:type="dxa"/>
            <w:vAlign w:val="bottom"/>
            <w:gridSpan w:val="4"/>
            <w:vMerge w:val="continue"/>
          </w:tcPr>
          <w:p>
            <w:pPr>
              <w:spacing w:after="0"/>
              <w:rPr>
                <w:sz w:val="15"/>
                <w:szCs w:val="15"/>
                <w:color w:val="auto"/>
              </w:rPr>
            </w:pPr>
          </w:p>
        </w:tc>
        <w:tc>
          <w:tcPr>
            <w:tcW w:w="260" w:type="dxa"/>
            <w:vAlign w:val="bottom"/>
            <w:tcBorders>
              <w:bottom w:val="single" w:sz="8" w:color="0000FF"/>
            </w:tcBorders>
            <w:gridSpan w:val="2"/>
            <w:shd w:val="clear" w:color="auto" w:fill="DDDDDD"/>
          </w:tcPr>
          <w:p>
            <w:pPr>
              <w:jc w:val="right"/>
              <w:spacing w:after="0" w:line="156" w:lineRule="exact"/>
              <w:rPr>
                <w:sz w:val="20"/>
                <w:szCs w:val="20"/>
                <w:color w:val="auto"/>
              </w:rPr>
            </w:pPr>
            <w:r>
              <w:rPr>
                <w:rFonts w:ascii="Arial" w:cs="Arial" w:eastAsia="Arial" w:hAnsi="Arial"/>
                <w:sz w:val="18"/>
                <w:szCs w:val="18"/>
                <w:color w:val="0000FF"/>
                <w:highlight w:val="lightGray"/>
                <w:w w:val="79"/>
              </w:rPr>
              <w:t>163</w:t>
            </w:r>
          </w:p>
        </w:tc>
        <w:tc>
          <w:tcPr>
            <w:tcW w:w="860" w:type="dxa"/>
            <w:vAlign w:val="bottom"/>
            <w:gridSpan w:val="8"/>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9.16</w:t>
            </w:r>
          </w:p>
        </w:tc>
        <w:tc>
          <w:tcPr>
            <w:tcW w:w="2160" w:type="dxa"/>
            <w:vAlign w:val="bottom"/>
            <w:gridSpan w:val="16"/>
            <w:vMerge w:val="restart"/>
          </w:tcPr>
          <w:p>
            <w:pPr>
              <w:ind w:left="80"/>
              <w:spacing w:after="0" w:line="176" w:lineRule="exact"/>
              <w:rPr>
                <w:sz w:val="20"/>
                <w:szCs w:val="20"/>
                <w:color w:val="auto"/>
              </w:rPr>
            </w:pPr>
            <w:r>
              <w:rPr>
                <w:rFonts w:ascii="Arial" w:cs="Arial" w:eastAsia="Arial" w:hAnsi="Arial"/>
                <w:sz w:val="18"/>
                <w:szCs w:val="18"/>
                <w:color w:val="auto"/>
              </w:rPr>
              <w:t>No Fiduciary Relationship</w:t>
            </w:r>
          </w:p>
        </w:tc>
        <w:tc>
          <w:tcPr>
            <w:tcW w:w="300" w:type="dxa"/>
            <w:vAlign w:val="bottom"/>
            <w:gridSpan w:val="6"/>
            <w:vMerge w:val="restart"/>
          </w:tcPr>
          <w:p>
            <w:pPr>
              <w:jc w:val="right"/>
              <w:ind w:right="20"/>
              <w:spacing w:after="0" w:line="176" w:lineRule="exact"/>
              <w:rPr>
                <w:sz w:val="20"/>
                <w:szCs w:val="20"/>
                <w:color w:val="auto"/>
              </w:rPr>
            </w:pPr>
            <w:r>
              <w:rPr>
                <w:rFonts w:ascii="Arial" w:cs="Arial" w:eastAsia="Arial" w:hAnsi="Arial"/>
                <w:sz w:val="18"/>
                <w:szCs w:val="18"/>
                <w:color w:val="FF0000"/>
                <w:strike w:val="1"/>
                <w:w w:val="86"/>
              </w:rPr>
              <w:t>159</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2160" w:type="dxa"/>
            <w:vAlign w:val="bottom"/>
            <w:gridSpan w:val="16"/>
            <w:vMerge w:val="continue"/>
          </w:tcPr>
          <w:p>
            <w:pPr>
              <w:spacing w:after="0"/>
              <w:rPr>
                <w:sz w:val="13"/>
                <w:szCs w:val="13"/>
                <w:color w:val="auto"/>
              </w:rPr>
            </w:pPr>
          </w:p>
        </w:tc>
        <w:tc>
          <w:tcPr>
            <w:tcW w:w="300" w:type="dxa"/>
            <w:vAlign w:val="bottom"/>
            <w:gridSpan w:val="6"/>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gridSpan w:val="4"/>
            <w:shd w:val="clear" w:color="auto" w:fill="DDDDDD"/>
          </w:tcPr>
          <w:p>
            <w:pPr>
              <w:spacing w:after="0" w:line="156" w:lineRule="exact"/>
              <w:rPr>
                <w:sz w:val="20"/>
                <w:szCs w:val="20"/>
                <w:color w:val="auto"/>
              </w:rPr>
            </w:pPr>
            <w:r>
              <w:rPr>
                <w:rFonts w:ascii="Arial" w:cs="Arial" w:eastAsia="Arial" w:hAnsi="Arial"/>
                <w:sz w:val="18"/>
                <w:szCs w:val="18"/>
                <w:color w:val="0000FF"/>
                <w:highlight w:val="lightGray"/>
                <w:w w:val="73"/>
              </w:rPr>
              <w:t>163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82" w:lineRule="exact"/>
              <w:rPr>
                <w:sz w:val="20"/>
                <w:szCs w:val="20"/>
                <w:color w:val="auto"/>
              </w:rPr>
            </w:pPr>
            <w:r>
              <w:rPr>
                <w:rFonts w:ascii="Arial" w:cs="Arial" w:eastAsia="Arial" w:hAnsi="Arial"/>
                <w:sz w:val="18"/>
                <w:szCs w:val="18"/>
                <w:color w:val="auto"/>
                <w:w w:val="99"/>
              </w:rPr>
              <w:t>SECTION 9.17</w:t>
            </w:r>
          </w:p>
        </w:tc>
        <w:tc>
          <w:tcPr>
            <w:tcW w:w="1880" w:type="dxa"/>
            <w:vAlign w:val="bottom"/>
            <w:gridSpan w:val="14"/>
            <w:vMerge w:val="restart"/>
          </w:tcPr>
          <w:p>
            <w:pPr>
              <w:ind w:left="80"/>
              <w:spacing w:after="0" w:line="182" w:lineRule="exact"/>
              <w:rPr>
                <w:sz w:val="20"/>
                <w:szCs w:val="20"/>
                <w:color w:val="auto"/>
              </w:rPr>
            </w:pPr>
            <w:r>
              <w:rPr>
                <w:rFonts w:ascii="Arial" w:cs="Arial" w:eastAsia="Arial" w:hAnsi="Arial"/>
                <w:sz w:val="18"/>
                <w:szCs w:val="18"/>
                <w:color w:val="auto"/>
                <w:w w:val="95"/>
              </w:rPr>
              <w:t>Interest Rate Limitation</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60" w:type="dxa"/>
            <w:vAlign w:val="bottom"/>
            <w:tcBorders>
              <w:left w:val="single" w:sz="8" w:color="DDDDDD"/>
            </w:tcBorders>
            <w:shd w:val="clear" w:color="auto" w:fill="DDDDDD"/>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20" w:type="dxa"/>
            <w:vAlign w:val="bottom"/>
            <w:vMerge w:val="continue"/>
          </w:tcPr>
          <w:p>
            <w:pPr>
              <w:spacing w:after="0"/>
              <w:rPr>
                <w:sz w:val="14"/>
                <w:szCs w:val="14"/>
                <w:color w:val="auto"/>
              </w:rPr>
            </w:pPr>
          </w:p>
        </w:tc>
        <w:tc>
          <w:tcPr>
            <w:tcW w:w="1880" w:type="dxa"/>
            <w:vAlign w:val="bottom"/>
            <w:gridSpan w:val="14"/>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gridSpan w:val="3"/>
          </w:tcPr>
          <w:p>
            <w:pPr>
              <w:jc w:val="right"/>
              <w:spacing w:after="0" w:line="163" w:lineRule="exact"/>
              <w:rPr>
                <w:sz w:val="20"/>
                <w:szCs w:val="20"/>
                <w:color w:val="auto"/>
              </w:rPr>
            </w:pPr>
            <w:r>
              <w:rPr>
                <w:rFonts w:ascii="Arial" w:cs="Arial" w:eastAsia="Arial" w:hAnsi="Arial"/>
                <w:sz w:val="18"/>
                <w:szCs w:val="18"/>
                <w:color w:val="FF0000"/>
                <w:strike w:val="1"/>
                <w:w w:val="86"/>
              </w:rPr>
              <w:t>160</w:t>
            </w:r>
          </w:p>
        </w:tc>
        <w:tc>
          <w:tcPr>
            <w:tcW w:w="2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0" w:type="dxa"/>
            <w:vAlign w:val="bottom"/>
            <w:tcBorders>
              <w:bottom w:val="single" w:sz="8" w:color="0000FF"/>
            </w:tcBorders>
            <w:gridSpan w:val="4"/>
            <w:shd w:val="clear" w:color="auto" w:fill="DDDDDD"/>
          </w:tcPr>
          <w:p>
            <w:pPr>
              <w:jc w:val="right"/>
              <w:spacing w:after="0" w:line="163" w:lineRule="exact"/>
              <w:rPr>
                <w:sz w:val="20"/>
                <w:szCs w:val="20"/>
                <w:color w:val="auto"/>
              </w:rPr>
            </w:pPr>
            <w:r>
              <w:rPr>
                <w:rFonts w:ascii="Arial" w:cs="Arial" w:eastAsia="Arial" w:hAnsi="Arial"/>
                <w:sz w:val="17"/>
                <w:szCs w:val="17"/>
                <w:color w:val="0000FF"/>
                <w:highlight w:val="lightGray"/>
                <w:w w:val="70"/>
              </w:rPr>
              <w:t>164</w:t>
            </w:r>
          </w:p>
        </w:tc>
        <w:tc>
          <w:tcPr>
            <w:tcW w:w="60" w:type="dxa"/>
            <w:vAlign w:val="bottom"/>
            <w:tcBorders>
              <w:left w:val="single" w:sz="8" w:color="DDDDDD"/>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96" w:lineRule="exact"/>
              <w:rPr>
                <w:sz w:val="20"/>
                <w:szCs w:val="20"/>
                <w:color w:val="auto"/>
              </w:rPr>
            </w:pPr>
            <w:r>
              <w:rPr>
                <w:rFonts w:ascii="Arial" w:cs="Arial" w:eastAsia="Arial" w:hAnsi="Arial"/>
                <w:sz w:val="18"/>
                <w:szCs w:val="18"/>
                <w:color w:val="auto"/>
                <w:w w:val="99"/>
              </w:rPr>
              <w:t>SECTION 9.18</w:t>
            </w:r>
          </w:p>
        </w:tc>
        <w:tc>
          <w:tcPr>
            <w:tcW w:w="2300" w:type="dxa"/>
            <w:vAlign w:val="bottom"/>
            <w:gridSpan w:val="20"/>
            <w:vMerge w:val="restart"/>
          </w:tcPr>
          <w:p>
            <w:pPr>
              <w:ind w:left="80"/>
              <w:spacing w:after="0" w:line="196" w:lineRule="exact"/>
              <w:rPr>
                <w:sz w:val="20"/>
                <w:szCs w:val="20"/>
                <w:color w:val="auto"/>
              </w:rPr>
            </w:pPr>
            <w:r>
              <w:rPr>
                <w:rFonts w:ascii="Arial" w:cs="Arial" w:eastAsia="Arial" w:hAnsi="Arial"/>
                <w:sz w:val="18"/>
                <w:szCs w:val="18"/>
                <w:color w:val="auto"/>
                <w:w w:val="86"/>
              </w:rPr>
              <w:t>Acknowledgement and Consent</w:t>
            </w:r>
          </w:p>
        </w:tc>
        <w:tc>
          <w:tcPr>
            <w:tcW w:w="14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60" w:type="dxa"/>
            <w:vAlign w:val="bottom"/>
            <w:tcBorders>
              <w:left w:val="single" w:sz="8" w:color="DDDDDD"/>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2300" w:type="dxa"/>
            <w:vAlign w:val="bottom"/>
            <w:gridSpan w:val="20"/>
            <w:vMerge w:val="continue"/>
          </w:tcPr>
          <w:p>
            <w:pPr>
              <w:spacing w:after="0" w:line="20" w:lineRule="exact"/>
              <w:rPr>
                <w:sz w:val="1"/>
                <w:szCs w:val="1"/>
                <w:color w:val="auto"/>
              </w:rPr>
            </w:pPr>
          </w:p>
        </w:tc>
        <w:tc>
          <w:tcPr>
            <w:tcW w:w="3440" w:type="dxa"/>
            <w:vAlign w:val="bottom"/>
            <w:gridSpan w:val="30"/>
            <w:vMerge w:val="restart"/>
          </w:tcPr>
          <w:p>
            <w:pPr>
              <w:ind w:left="140"/>
              <w:spacing w:after="0" w:line="176" w:lineRule="exact"/>
              <w:rPr>
                <w:sz w:val="20"/>
                <w:szCs w:val="20"/>
                <w:color w:val="auto"/>
              </w:rPr>
            </w:pPr>
            <w:r>
              <w:rPr>
                <w:rFonts w:ascii="Arial" w:cs="Arial" w:eastAsia="Arial" w:hAnsi="Arial"/>
                <w:sz w:val="18"/>
                <w:szCs w:val="18"/>
                <w:color w:val="auto"/>
                <w:w w:val="99"/>
              </w:rPr>
              <w:t>to Bail-In of Affected Financial Institutions</w:t>
            </w:r>
          </w:p>
        </w:tc>
        <w:tc>
          <w:tcPr>
            <w:tcW w:w="260" w:type="dxa"/>
            <w:vAlign w:val="bottom"/>
            <w:vMerge w:val="restart"/>
          </w:tcPr>
          <w:p>
            <w:pPr>
              <w:jc w:val="right"/>
              <w:spacing w:after="0" w:line="176" w:lineRule="exact"/>
              <w:rPr>
                <w:sz w:val="20"/>
                <w:szCs w:val="20"/>
                <w:color w:val="auto"/>
              </w:rPr>
            </w:pPr>
            <w:r>
              <w:rPr>
                <w:rFonts w:ascii="Arial" w:cs="Arial" w:eastAsia="Arial" w:hAnsi="Arial"/>
                <w:sz w:val="18"/>
                <w:szCs w:val="18"/>
                <w:color w:val="FF0000"/>
                <w:strike w:val="1"/>
                <w:w w:val="79"/>
              </w:rPr>
              <w:t>160</w:t>
            </w: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220" w:type="dxa"/>
            <w:vAlign w:val="bottom"/>
            <w:vMerge w:val="continue"/>
          </w:tcPr>
          <w:p>
            <w:pPr>
              <w:spacing w:after="0"/>
              <w:rPr>
                <w:sz w:val="15"/>
                <w:szCs w:val="15"/>
                <w:color w:val="auto"/>
              </w:rPr>
            </w:pPr>
          </w:p>
        </w:tc>
        <w:tc>
          <w:tcPr>
            <w:tcW w:w="2300" w:type="dxa"/>
            <w:vAlign w:val="bottom"/>
            <w:gridSpan w:val="20"/>
            <w:vMerge w:val="continue"/>
          </w:tcPr>
          <w:p>
            <w:pPr>
              <w:spacing w:after="0"/>
              <w:rPr>
                <w:sz w:val="15"/>
                <w:szCs w:val="15"/>
                <w:color w:val="auto"/>
              </w:rPr>
            </w:pPr>
          </w:p>
        </w:tc>
        <w:tc>
          <w:tcPr>
            <w:tcW w:w="3440" w:type="dxa"/>
            <w:vAlign w:val="bottom"/>
            <w:gridSpan w:val="30"/>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60" w:type="dxa"/>
            <w:vAlign w:val="bottom"/>
            <w:tcBorders>
              <w:bottom w:val="single" w:sz="8" w:color="0000FF"/>
            </w:tcBorders>
            <w:shd w:val="clear" w:color="auto" w:fill="DDDDDD"/>
          </w:tcPr>
          <w:p>
            <w:pPr>
              <w:jc w:val="right"/>
              <w:spacing w:after="0" w:line="156" w:lineRule="exact"/>
              <w:rPr>
                <w:sz w:val="20"/>
                <w:szCs w:val="20"/>
                <w:color w:val="auto"/>
              </w:rPr>
            </w:pPr>
            <w:r>
              <w:rPr>
                <w:rFonts w:ascii="Arial" w:cs="Arial" w:eastAsia="Arial" w:hAnsi="Arial"/>
                <w:sz w:val="18"/>
                <w:szCs w:val="18"/>
                <w:color w:val="0000FF"/>
                <w:highlight w:val="lightGray"/>
                <w:w w:val="79"/>
              </w:rPr>
              <w:t>164</w:t>
            </w:r>
          </w:p>
        </w:tc>
        <w:tc>
          <w:tcPr>
            <w:tcW w:w="2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9.19</w:t>
            </w:r>
          </w:p>
        </w:tc>
        <w:tc>
          <w:tcPr>
            <w:tcW w:w="1880" w:type="dxa"/>
            <w:vAlign w:val="bottom"/>
            <w:gridSpan w:val="14"/>
            <w:vMerge w:val="restart"/>
          </w:tcPr>
          <w:p>
            <w:pPr>
              <w:ind w:left="80"/>
              <w:spacing w:after="0" w:line="176" w:lineRule="exact"/>
              <w:rPr>
                <w:sz w:val="20"/>
                <w:szCs w:val="20"/>
                <w:color w:val="auto"/>
              </w:rPr>
            </w:pPr>
            <w:r>
              <w:rPr>
                <w:rFonts w:ascii="Arial" w:cs="Arial" w:eastAsia="Arial" w:hAnsi="Arial"/>
                <w:sz w:val="18"/>
                <w:szCs w:val="18"/>
                <w:color w:val="auto"/>
                <w:w w:val="96"/>
              </w:rPr>
              <w:t>Certain ERISA Matters</w:t>
            </w:r>
          </w:p>
        </w:tc>
        <w:tc>
          <w:tcPr>
            <w:tcW w:w="100" w:type="dxa"/>
            <w:vAlign w:val="bottom"/>
          </w:tcPr>
          <w:p>
            <w:pPr>
              <w:spacing w:after="0" w:line="20" w:lineRule="exact"/>
              <w:rPr>
                <w:sz w:val="1"/>
                <w:szCs w:val="1"/>
                <w:color w:val="auto"/>
              </w:rPr>
            </w:pPr>
          </w:p>
        </w:tc>
        <w:tc>
          <w:tcPr>
            <w:tcW w:w="260" w:type="dxa"/>
            <w:vAlign w:val="bottom"/>
            <w:gridSpan w:val="2"/>
            <w:vMerge w:val="restart"/>
          </w:tcPr>
          <w:p>
            <w:pPr>
              <w:jc w:val="right"/>
              <w:spacing w:after="0" w:line="176" w:lineRule="exact"/>
              <w:rPr>
                <w:sz w:val="20"/>
                <w:szCs w:val="20"/>
                <w:color w:val="auto"/>
              </w:rPr>
            </w:pPr>
            <w:r>
              <w:rPr>
                <w:rFonts w:ascii="Arial" w:cs="Arial" w:eastAsia="Arial" w:hAnsi="Arial"/>
                <w:sz w:val="18"/>
                <w:szCs w:val="18"/>
                <w:color w:val="FF0000"/>
                <w:strike w:val="1"/>
                <w:w w:val="73"/>
              </w:rPr>
              <w:t>160</w:t>
            </w: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DDDDD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1880" w:type="dxa"/>
            <w:vAlign w:val="bottom"/>
            <w:gridSpan w:val="14"/>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40" w:type="dxa"/>
            <w:vAlign w:val="bottom"/>
            <w:tcBorders>
              <w:bottom w:val="single" w:sz="8" w:color="0000FF"/>
            </w:tcBorders>
            <w:gridSpan w:val="6"/>
            <w:shd w:val="clear" w:color="auto" w:fill="DDDDDD"/>
          </w:tcPr>
          <w:p>
            <w:pPr>
              <w:jc w:val="right"/>
              <w:spacing w:after="0" w:line="156" w:lineRule="exact"/>
              <w:rPr>
                <w:sz w:val="20"/>
                <w:szCs w:val="20"/>
                <w:color w:val="auto"/>
              </w:rPr>
            </w:pPr>
            <w:r>
              <w:rPr>
                <w:rFonts w:ascii="Arial" w:cs="Arial" w:eastAsia="Arial" w:hAnsi="Arial"/>
                <w:sz w:val="18"/>
                <w:szCs w:val="18"/>
                <w:color w:val="0000FF"/>
                <w:highlight w:val="lightGray"/>
                <w:w w:val="73"/>
              </w:rPr>
              <w:t>164</w:t>
            </w:r>
          </w:p>
        </w:tc>
        <w:tc>
          <w:tcPr>
            <w:tcW w:w="20" w:type="dxa"/>
            <w:vAlign w:val="bottom"/>
            <w:tcBorders>
              <w:bottom w:val="single" w:sz="8" w:color="0000FF"/>
            </w:tcBorders>
            <w:shd w:val="clear" w:color="auto" w:fill="DDDDDD"/>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82" w:lineRule="exact"/>
              <w:rPr>
                <w:sz w:val="20"/>
                <w:szCs w:val="20"/>
                <w:color w:val="auto"/>
              </w:rPr>
            </w:pPr>
            <w:r>
              <w:rPr>
                <w:rFonts w:ascii="Arial" w:cs="Arial" w:eastAsia="Arial" w:hAnsi="Arial"/>
                <w:sz w:val="18"/>
                <w:szCs w:val="18"/>
                <w:color w:val="auto"/>
                <w:w w:val="99"/>
              </w:rPr>
              <w:t>SECTION 9.20</w:t>
            </w: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14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5140" w:type="dxa"/>
            <w:vAlign w:val="bottom"/>
            <w:gridSpan w:val="46"/>
          </w:tcPr>
          <w:p>
            <w:pPr>
              <w:ind w:left="80"/>
              <w:spacing w:after="0" w:line="163" w:lineRule="exact"/>
              <w:rPr>
                <w:sz w:val="20"/>
                <w:szCs w:val="20"/>
                <w:color w:val="auto"/>
              </w:rPr>
            </w:pPr>
            <w:r>
              <w:rPr>
                <w:rFonts w:ascii="Arial" w:cs="Arial" w:eastAsia="Arial" w:hAnsi="Arial"/>
                <w:sz w:val="18"/>
                <w:szCs w:val="18"/>
                <w:color w:val="auto"/>
                <w:w w:val="94"/>
              </w:rPr>
              <w:t>Electronic Execution of Assignments and Certain Other Documents</w:t>
            </w:r>
          </w:p>
        </w:tc>
        <w:tc>
          <w:tcPr>
            <w:tcW w:w="260" w:type="dxa"/>
            <w:vAlign w:val="bottom"/>
          </w:tcPr>
          <w:p>
            <w:pPr>
              <w:jc w:val="right"/>
              <w:spacing w:after="0" w:line="163" w:lineRule="exact"/>
              <w:rPr>
                <w:sz w:val="20"/>
                <w:szCs w:val="20"/>
                <w:color w:val="auto"/>
              </w:rPr>
            </w:pPr>
            <w:r>
              <w:rPr>
                <w:rFonts w:ascii="Arial" w:cs="Arial" w:eastAsia="Arial" w:hAnsi="Arial"/>
                <w:sz w:val="18"/>
                <w:szCs w:val="18"/>
                <w:color w:val="FF0000"/>
                <w:strike w:val="1"/>
                <w:w w:val="79"/>
              </w:rPr>
              <w:t>161</w:t>
            </w:r>
          </w:p>
        </w:tc>
        <w:tc>
          <w:tcPr>
            <w:tcW w:w="20" w:type="dxa"/>
            <w:vAlign w:val="bottom"/>
            <w:tcBorders>
              <w:bottom w:val="single" w:sz="8" w:color="0000FF"/>
            </w:tcBorders>
          </w:tcPr>
          <w:p>
            <w:pPr>
              <w:spacing w:after="0"/>
              <w:rPr>
                <w:sz w:val="15"/>
                <w:szCs w:val="15"/>
                <w:color w:val="auto"/>
              </w:rPr>
            </w:pPr>
          </w:p>
        </w:tc>
        <w:tc>
          <w:tcPr>
            <w:tcW w:w="260" w:type="dxa"/>
            <w:vAlign w:val="bottom"/>
            <w:tcBorders>
              <w:bottom w:val="single" w:sz="8" w:color="0000FF"/>
            </w:tcBorders>
            <w:shd w:val="clear" w:color="auto" w:fill="DDDDDD"/>
          </w:tcPr>
          <w:p>
            <w:pPr>
              <w:jc w:val="right"/>
              <w:spacing w:after="0" w:line="163" w:lineRule="exact"/>
              <w:rPr>
                <w:sz w:val="20"/>
                <w:szCs w:val="20"/>
                <w:color w:val="auto"/>
              </w:rPr>
            </w:pPr>
            <w:r>
              <w:rPr>
                <w:rFonts w:ascii="Arial" w:cs="Arial" w:eastAsia="Arial" w:hAnsi="Arial"/>
                <w:sz w:val="18"/>
                <w:szCs w:val="18"/>
                <w:color w:val="0000FF"/>
                <w:highlight w:val="lightGray"/>
                <w:w w:val="79"/>
              </w:rPr>
              <w:t>165</w:t>
            </w:r>
          </w:p>
        </w:tc>
        <w:tc>
          <w:tcPr>
            <w:tcW w:w="6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76" w:lineRule="exact"/>
              <w:rPr>
                <w:sz w:val="20"/>
                <w:szCs w:val="20"/>
                <w:color w:val="auto"/>
              </w:rPr>
            </w:pPr>
            <w:r>
              <w:rPr>
                <w:rFonts w:ascii="Arial" w:cs="Arial" w:eastAsia="Arial" w:hAnsi="Arial"/>
                <w:sz w:val="18"/>
                <w:szCs w:val="18"/>
                <w:color w:val="auto"/>
                <w:w w:val="99"/>
              </w:rPr>
              <w:t>SECTION 9.21</w:t>
            </w:r>
          </w:p>
        </w:tc>
        <w:tc>
          <w:tcPr>
            <w:tcW w:w="4020" w:type="dxa"/>
            <w:vAlign w:val="bottom"/>
            <w:gridSpan w:val="40"/>
            <w:vMerge w:val="restart"/>
          </w:tcPr>
          <w:p>
            <w:pPr>
              <w:ind w:left="80"/>
              <w:spacing w:after="0" w:line="176" w:lineRule="exact"/>
              <w:rPr>
                <w:sz w:val="20"/>
                <w:szCs w:val="20"/>
                <w:color w:val="auto"/>
              </w:rPr>
            </w:pPr>
            <w:r>
              <w:rPr>
                <w:rFonts w:ascii="Arial" w:cs="Arial" w:eastAsia="Arial" w:hAnsi="Arial"/>
                <w:sz w:val="18"/>
                <w:szCs w:val="18"/>
                <w:color w:val="auto"/>
                <w:w w:val="95"/>
              </w:rPr>
              <w:t>Acknowledgement Regarding Any Supported QFCs</w:t>
            </w:r>
          </w:p>
        </w:tc>
        <w:tc>
          <w:tcPr>
            <w:tcW w:w="260" w:type="dxa"/>
            <w:vAlign w:val="bottom"/>
            <w:vMerge w:val="restart"/>
          </w:tcPr>
          <w:p>
            <w:pPr>
              <w:jc w:val="right"/>
              <w:spacing w:after="0" w:line="176" w:lineRule="exact"/>
              <w:rPr>
                <w:sz w:val="20"/>
                <w:szCs w:val="20"/>
                <w:color w:val="auto"/>
              </w:rPr>
            </w:pPr>
            <w:r>
              <w:rPr>
                <w:rFonts w:ascii="Arial" w:cs="Arial" w:eastAsia="Arial" w:hAnsi="Arial"/>
                <w:sz w:val="18"/>
                <w:szCs w:val="18"/>
                <w:color w:val="FF0000"/>
                <w:strike w:val="1"/>
                <w:w w:val="79"/>
              </w:rPr>
              <w:t>162</w:t>
            </w: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40" w:type="dxa"/>
            <w:vAlign w:val="bottom"/>
            <w:gridSpan w:val="5"/>
            <w:vMerge w:val="restart"/>
          </w:tcPr>
          <w:p>
            <w:pPr>
              <w:spacing w:after="0" w:line="20" w:lineRule="exact"/>
              <w:rPr>
                <w:sz w:val="1"/>
                <w:szCs w:val="1"/>
                <w:color w:val="auto"/>
              </w:rPr>
            </w:pPr>
          </w:p>
        </w:tc>
        <w:tc>
          <w:tcPr>
            <w:tcW w:w="260" w:type="dxa"/>
            <w:vAlign w:val="bottom"/>
            <w:tcBorders>
              <w:top w:val="single" w:sz="8" w:color="DDDDDD"/>
            </w:tcBorders>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20" w:type="dxa"/>
            <w:vAlign w:val="bottom"/>
            <w:vMerge w:val="continue"/>
          </w:tcPr>
          <w:p>
            <w:pPr>
              <w:spacing w:after="0"/>
              <w:rPr>
                <w:sz w:val="14"/>
                <w:szCs w:val="14"/>
                <w:color w:val="auto"/>
              </w:rPr>
            </w:pPr>
          </w:p>
        </w:tc>
        <w:tc>
          <w:tcPr>
            <w:tcW w:w="4020" w:type="dxa"/>
            <w:vAlign w:val="bottom"/>
            <w:gridSpan w:val="40"/>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80" w:type="dxa"/>
            <w:vAlign w:val="bottom"/>
            <w:tcBorders>
              <w:bottom w:val="single" w:sz="8" w:color="0000FF"/>
            </w:tcBorders>
            <w:shd w:val="clear" w:color="auto" w:fill="DDDDDD"/>
          </w:tcPr>
          <w:p>
            <w:pPr>
              <w:jc w:val="center"/>
              <w:spacing w:after="0" w:line="156" w:lineRule="exact"/>
              <w:rPr>
                <w:sz w:val="20"/>
                <w:szCs w:val="20"/>
                <w:color w:val="auto"/>
              </w:rPr>
            </w:pPr>
            <w:r>
              <w:rPr>
                <w:rFonts w:ascii="Arial" w:cs="Arial" w:eastAsia="Arial" w:hAnsi="Arial"/>
                <w:sz w:val="18"/>
                <w:szCs w:val="18"/>
                <w:color w:val="0000FF"/>
                <w:highlight w:val="lightGray"/>
                <w:w w:val="93"/>
              </w:rPr>
              <w:t>166</w:t>
            </w:r>
          </w:p>
        </w:tc>
        <w:tc>
          <w:tcPr>
            <w:tcW w:w="20" w:type="dxa"/>
            <w:vAlign w:val="bottom"/>
            <w:tcBorders>
              <w:bottom w:val="single" w:sz="8" w:color="0000FF"/>
            </w:tcBorders>
            <w:vMerge w:val="continue"/>
          </w:tcPr>
          <w:p>
            <w:pPr>
              <w:spacing w:after="0"/>
              <w:rPr>
                <w:sz w:val="14"/>
                <w:szCs w:val="14"/>
                <w:color w:val="auto"/>
              </w:rPr>
            </w:pPr>
          </w:p>
        </w:tc>
        <w:tc>
          <w:tcPr>
            <w:tcW w:w="84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1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SCHEDULES:</w:t>
      </w:r>
    </w:p>
    <w:p>
      <w:pPr>
        <w:spacing w:after="0" w:line="183" w:lineRule="exact"/>
        <w:rPr>
          <w:sz w:val="20"/>
          <w:szCs w:val="20"/>
          <w:color w:val="auto"/>
        </w:rPr>
      </w:pPr>
    </w:p>
    <w:p>
      <w:pPr>
        <w:spacing w:after="0"/>
        <w:tabs>
          <w:tab w:leader="none" w:pos="1380" w:val="left"/>
          <w:tab w:leader="none" w:pos="1740" w:val="left"/>
        </w:tabs>
        <w:rPr>
          <w:sz w:val="20"/>
          <w:szCs w:val="20"/>
          <w:color w:val="auto"/>
        </w:rPr>
      </w:pPr>
      <w:r>
        <w:rPr>
          <w:rFonts w:ascii="Arial" w:cs="Arial" w:eastAsia="Arial" w:hAnsi="Arial"/>
          <w:sz w:val="18"/>
          <w:szCs w:val="18"/>
          <w:color w:val="auto"/>
        </w:rPr>
        <w:t>Schedule 1.01(a)</w:t>
        <w:tab/>
        <w:t>—</w:t>
      </w:r>
      <w:r>
        <w:rPr>
          <w:sz w:val="20"/>
          <w:szCs w:val="20"/>
          <w:color w:val="auto"/>
        </w:rPr>
        <w:tab/>
      </w:r>
      <w:r>
        <w:rPr>
          <w:rFonts w:ascii="Arial" w:cs="Arial" w:eastAsia="Arial" w:hAnsi="Arial"/>
          <w:sz w:val="16"/>
          <w:szCs w:val="16"/>
          <w:color w:val="auto"/>
        </w:rPr>
        <w:t>Excluded Subsidiaries</w:t>
      </w:r>
    </w:p>
    <w:p>
      <w:pPr>
        <w:spacing w:after="0" w:line="228" w:lineRule="auto"/>
        <w:tabs>
          <w:tab w:leader="none" w:pos="1380" w:val="left"/>
          <w:tab w:leader="none" w:pos="1740" w:val="left"/>
        </w:tabs>
        <w:rPr>
          <w:sz w:val="20"/>
          <w:szCs w:val="20"/>
          <w:color w:val="auto"/>
        </w:rPr>
      </w:pPr>
      <w:r>
        <w:rPr>
          <w:rFonts w:ascii="Arial" w:cs="Arial" w:eastAsia="Arial" w:hAnsi="Arial"/>
          <w:sz w:val="18"/>
          <w:szCs w:val="18"/>
          <w:color w:val="auto"/>
        </w:rPr>
        <w:t>Schedule 2.01(a)</w:t>
        <w:tab/>
        <w:t>—</w:t>
      </w:r>
      <w:r>
        <w:rPr>
          <w:sz w:val="20"/>
          <w:szCs w:val="20"/>
          <w:color w:val="auto"/>
        </w:rPr>
        <w:tab/>
      </w:r>
      <w:r>
        <w:rPr>
          <w:rFonts w:ascii="Arial" w:cs="Arial" w:eastAsia="Arial" w:hAnsi="Arial"/>
          <w:sz w:val="16"/>
          <w:szCs w:val="16"/>
          <w:color w:val="auto"/>
        </w:rPr>
        <w:t>Term Commitments</w:t>
      </w:r>
    </w:p>
    <w:p>
      <w:pPr>
        <w:ind w:right="5280"/>
        <w:spacing w:after="0" w:line="211" w:lineRule="auto"/>
        <w:rPr>
          <w:sz w:val="20"/>
          <w:szCs w:val="20"/>
          <w:color w:val="auto"/>
        </w:rPr>
      </w:pPr>
      <w:r>
        <w:rPr>
          <w:rFonts w:ascii="Arial" w:cs="Arial" w:eastAsia="Arial" w:hAnsi="Arial"/>
          <w:sz w:val="18"/>
          <w:szCs w:val="18"/>
          <w:color w:val="auto"/>
        </w:rPr>
        <w:t>Schedule 2.01(b) — Revolving Commitments; Letter of Credit Commitments Schedule 3.12 — Subsidiaries</w:t>
      </w:r>
    </w:p>
    <w:p>
      <w:pPr>
        <w:spacing w:after="0" w:line="229" w:lineRule="auto"/>
        <w:tabs>
          <w:tab w:leader="none" w:pos="1180" w:val="left"/>
          <w:tab w:leader="none" w:pos="1540" w:val="left"/>
        </w:tabs>
        <w:rPr>
          <w:sz w:val="20"/>
          <w:szCs w:val="20"/>
          <w:color w:val="auto"/>
        </w:rPr>
      </w:pPr>
      <w:r>
        <w:rPr>
          <w:rFonts w:ascii="Arial" w:cs="Arial" w:eastAsia="Arial" w:hAnsi="Arial"/>
          <w:sz w:val="18"/>
          <w:szCs w:val="18"/>
          <w:color w:val="auto"/>
        </w:rPr>
        <w:t>Schedule 5.14</w:t>
        <w:tab/>
        <w:t>—</w:t>
      </w:r>
      <w:r>
        <w:rPr>
          <w:sz w:val="20"/>
          <w:szCs w:val="20"/>
          <w:color w:val="auto"/>
        </w:rPr>
        <w:tab/>
      </w:r>
      <w:r>
        <w:rPr>
          <w:rFonts w:ascii="Arial" w:cs="Arial" w:eastAsia="Arial" w:hAnsi="Arial"/>
          <w:sz w:val="16"/>
          <w:szCs w:val="16"/>
          <w:color w:val="auto"/>
        </w:rPr>
        <w:t>Certain Post-Closing Obligations</w:t>
      </w:r>
    </w:p>
    <w:p>
      <w:pPr>
        <w:spacing w:after="0" w:line="229" w:lineRule="auto"/>
        <w:tabs>
          <w:tab w:leader="none" w:pos="1180" w:val="left"/>
          <w:tab w:leader="none" w:pos="1540" w:val="left"/>
        </w:tabs>
        <w:rPr>
          <w:sz w:val="20"/>
          <w:szCs w:val="20"/>
          <w:color w:val="auto"/>
        </w:rPr>
      </w:pPr>
      <w:r>
        <w:rPr>
          <w:rFonts w:ascii="Arial" w:cs="Arial" w:eastAsia="Arial" w:hAnsi="Arial"/>
          <w:sz w:val="18"/>
          <w:szCs w:val="18"/>
          <w:color w:val="auto"/>
        </w:rPr>
        <w:t>Schedule 6.01</w:t>
        <w:tab/>
        <w:t>—</w:t>
      </w:r>
      <w:r>
        <w:rPr>
          <w:sz w:val="20"/>
          <w:szCs w:val="20"/>
          <w:color w:val="auto"/>
        </w:rPr>
        <w:tab/>
      </w:r>
      <w:r>
        <w:rPr>
          <w:rFonts w:ascii="Arial" w:cs="Arial" w:eastAsia="Arial" w:hAnsi="Arial"/>
          <w:sz w:val="16"/>
          <w:szCs w:val="16"/>
          <w:color w:val="auto"/>
        </w:rPr>
        <w:t>Existing Indebtedness</w:t>
      </w:r>
    </w:p>
    <w:p>
      <w:pPr>
        <w:spacing w:after="0" w:line="232" w:lineRule="auto"/>
        <w:tabs>
          <w:tab w:leader="none" w:pos="1180" w:val="left"/>
          <w:tab w:leader="none" w:pos="1540" w:val="left"/>
        </w:tabs>
        <w:rPr>
          <w:sz w:val="20"/>
          <w:szCs w:val="20"/>
          <w:color w:val="auto"/>
        </w:rPr>
      </w:pPr>
      <w:r>
        <w:rPr>
          <w:rFonts w:ascii="Arial" w:cs="Arial" w:eastAsia="Arial" w:hAnsi="Arial"/>
          <w:sz w:val="18"/>
          <w:szCs w:val="18"/>
          <w:color w:val="auto"/>
        </w:rPr>
        <w:t>Schedule 6.02</w:t>
        <w:tab/>
        <w:t>—</w:t>
      </w:r>
      <w:r>
        <w:rPr>
          <w:sz w:val="20"/>
          <w:szCs w:val="20"/>
          <w:color w:val="auto"/>
        </w:rPr>
        <w:tab/>
      </w:r>
      <w:r>
        <w:rPr>
          <w:rFonts w:ascii="Arial" w:cs="Arial" w:eastAsia="Arial" w:hAnsi="Arial"/>
          <w:sz w:val="17"/>
          <w:szCs w:val="17"/>
          <w:color w:val="auto"/>
        </w:rPr>
        <w:t>Existing Liens</w:t>
      </w:r>
    </w:p>
    <w:p>
      <w:pPr>
        <w:spacing w:after="0" w:line="229" w:lineRule="auto"/>
        <w:tabs>
          <w:tab w:leader="none" w:pos="1360" w:val="left"/>
          <w:tab w:leader="none" w:pos="1720" w:val="left"/>
        </w:tabs>
        <w:rPr>
          <w:sz w:val="20"/>
          <w:szCs w:val="20"/>
          <w:color w:val="auto"/>
        </w:rPr>
      </w:pPr>
      <w:r>
        <w:rPr>
          <w:rFonts w:ascii="Arial" w:cs="Arial" w:eastAsia="Arial" w:hAnsi="Arial"/>
          <w:sz w:val="18"/>
          <w:szCs w:val="18"/>
          <w:color w:val="auto"/>
        </w:rPr>
        <w:t>Schedule 6.04(f)</w:t>
        <w:tab/>
        <w:t>—</w:t>
      </w:r>
      <w:r>
        <w:rPr>
          <w:sz w:val="20"/>
          <w:szCs w:val="20"/>
          <w:color w:val="auto"/>
        </w:rPr>
        <w:tab/>
      </w:r>
      <w:r>
        <w:rPr>
          <w:rFonts w:ascii="Arial" w:cs="Arial" w:eastAsia="Arial" w:hAnsi="Arial"/>
          <w:sz w:val="16"/>
          <w:szCs w:val="16"/>
          <w:color w:val="auto"/>
        </w:rPr>
        <w:t>Existing Investments</w:t>
      </w:r>
    </w:p>
    <w:p>
      <w:pPr>
        <w:spacing w:after="0" w:line="229" w:lineRule="auto"/>
        <w:tabs>
          <w:tab w:leader="none" w:pos="1180" w:val="left"/>
          <w:tab w:leader="none" w:pos="1540" w:val="left"/>
        </w:tabs>
        <w:rPr>
          <w:sz w:val="20"/>
          <w:szCs w:val="20"/>
          <w:color w:val="auto"/>
        </w:rPr>
      </w:pPr>
      <w:r>
        <w:rPr>
          <w:rFonts w:ascii="Arial" w:cs="Arial" w:eastAsia="Arial" w:hAnsi="Arial"/>
          <w:sz w:val="18"/>
          <w:szCs w:val="18"/>
          <w:color w:val="auto"/>
        </w:rPr>
        <w:t>Schedule 6.07</w:t>
        <w:tab/>
        <w:t>—</w:t>
      </w:r>
      <w:r>
        <w:rPr>
          <w:sz w:val="20"/>
          <w:szCs w:val="20"/>
          <w:color w:val="auto"/>
        </w:rPr>
        <w:tab/>
      </w:r>
      <w:r>
        <w:rPr>
          <w:rFonts w:ascii="Arial" w:cs="Arial" w:eastAsia="Arial" w:hAnsi="Arial"/>
          <w:sz w:val="16"/>
          <w:szCs w:val="16"/>
          <w:color w:val="auto"/>
        </w:rPr>
        <w:t>Existing Restrictions</w:t>
      </w:r>
    </w:p>
    <w:p>
      <w:pPr>
        <w:spacing w:after="0"/>
        <w:tabs>
          <w:tab w:leader="none" w:pos="1180" w:val="left"/>
          <w:tab w:leader="none" w:pos="1540" w:val="left"/>
        </w:tabs>
        <w:rPr>
          <w:sz w:val="20"/>
          <w:szCs w:val="20"/>
          <w:color w:val="auto"/>
        </w:rPr>
      </w:pPr>
      <w:r>
        <w:rPr>
          <w:rFonts w:ascii="Arial" w:cs="Arial" w:eastAsia="Arial" w:hAnsi="Arial"/>
          <w:sz w:val="18"/>
          <w:szCs w:val="18"/>
          <w:color w:val="auto"/>
        </w:rPr>
        <w:t>Schedule 6.09</w:t>
        <w:tab/>
        <w:t>—</w:t>
      </w:r>
      <w:r>
        <w:rPr>
          <w:sz w:val="20"/>
          <w:szCs w:val="20"/>
          <w:color w:val="auto"/>
        </w:rPr>
        <w:tab/>
      </w:r>
      <w:r>
        <w:rPr>
          <w:rFonts w:ascii="Arial" w:cs="Arial" w:eastAsia="Arial" w:hAnsi="Arial"/>
          <w:sz w:val="16"/>
          <w:szCs w:val="16"/>
          <w:color w:val="auto"/>
        </w:rPr>
        <w:t>Existing Transactions with Affiliates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69" w:lineRule="exact"/>
        <w:rPr>
          <w:sz w:val="20"/>
          <w:szCs w:val="20"/>
          <w:color w:val="auto"/>
        </w:rPr>
      </w:pPr>
    </w:p>
    <w:p>
      <w:pPr>
        <w:spacing w:after="0"/>
        <w:tabs>
          <w:tab w:leader="none" w:pos="860" w:val="left"/>
          <w:tab w:leader="none" w:pos="1220" w:val="left"/>
        </w:tabs>
        <w:rPr>
          <w:sz w:val="20"/>
          <w:szCs w:val="20"/>
          <w:color w:val="auto"/>
        </w:rPr>
      </w:pPr>
      <w:r>
        <w:rPr>
          <w:rFonts w:ascii="Arial" w:cs="Arial" w:eastAsia="Arial" w:hAnsi="Arial"/>
          <w:sz w:val="18"/>
          <w:szCs w:val="18"/>
          <w:color w:val="auto"/>
        </w:rPr>
        <w:t>Exhibit A</w:t>
        <w:tab/>
        <w:t>—</w:t>
      </w:r>
      <w:r>
        <w:rPr>
          <w:sz w:val="20"/>
          <w:szCs w:val="20"/>
          <w:color w:val="auto"/>
        </w:rPr>
        <w:tab/>
      </w:r>
      <w:r>
        <w:rPr>
          <w:rFonts w:ascii="Arial" w:cs="Arial" w:eastAsia="Arial" w:hAnsi="Arial"/>
          <w:sz w:val="16"/>
          <w:szCs w:val="16"/>
          <w:color w:val="auto"/>
        </w:rPr>
        <w:t>Form of Assignment and Assumption</w:t>
      </w:r>
    </w:p>
    <w:p>
      <w:pPr>
        <w:spacing w:after="0"/>
        <w:tabs>
          <w:tab w:leader="none" w:pos="860" w:val="left"/>
          <w:tab w:leader="none" w:pos="1220" w:val="left"/>
        </w:tabs>
        <w:rPr>
          <w:sz w:val="20"/>
          <w:szCs w:val="20"/>
          <w:color w:val="auto"/>
        </w:rPr>
      </w:pPr>
      <w:r>
        <w:rPr>
          <w:rFonts w:ascii="Arial" w:cs="Arial" w:eastAsia="Arial" w:hAnsi="Arial"/>
          <w:sz w:val="18"/>
          <w:szCs w:val="18"/>
          <w:color w:val="auto"/>
        </w:rPr>
        <w:t>Exhibit B</w:t>
        <w:tab/>
        <w:t>—</w:t>
      </w:r>
      <w:r>
        <w:rPr>
          <w:sz w:val="20"/>
          <w:szCs w:val="20"/>
          <w:color w:val="auto"/>
        </w:rPr>
        <w:tab/>
      </w:r>
      <w:r>
        <w:rPr>
          <w:rFonts w:ascii="Arial" w:cs="Arial" w:eastAsia="Arial" w:hAnsi="Arial"/>
          <w:sz w:val="16"/>
          <w:szCs w:val="16"/>
          <w:color w:val="auto"/>
        </w:rPr>
        <w:t>Form of Affiliated Lender Assignment and Assumption</w:t>
      </w:r>
    </w:p>
    <w:p>
      <w:pPr>
        <w:spacing w:after="0" w:line="229" w:lineRule="auto"/>
        <w:tabs>
          <w:tab w:leader="none" w:pos="860" w:val="left"/>
          <w:tab w:leader="none" w:pos="1220" w:val="left"/>
        </w:tabs>
        <w:rPr>
          <w:sz w:val="20"/>
          <w:szCs w:val="20"/>
          <w:color w:val="auto"/>
        </w:rPr>
      </w:pPr>
      <w:r>
        <w:rPr>
          <w:rFonts w:ascii="Arial" w:cs="Arial" w:eastAsia="Arial" w:hAnsi="Arial"/>
          <w:sz w:val="18"/>
          <w:szCs w:val="18"/>
          <w:color w:val="auto"/>
        </w:rPr>
        <w:t>Exhibit C</w:t>
        <w:tab/>
        <w:t>—</w:t>
      </w:r>
      <w:r>
        <w:rPr>
          <w:sz w:val="20"/>
          <w:szCs w:val="20"/>
          <w:color w:val="auto"/>
        </w:rPr>
        <w:tab/>
      </w:r>
      <w:r>
        <w:rPr>
          <w:rFonts w:ascii="Arial" w:cs="Arial" w:eastAsia="Arial" w:hAnsi="Arial"/>
          <w:sz w:val="16"/>
          <w:szCs w:val="16"/>
          <w:color w:val="auto"/>
        </w:rPr>
        <w:t>Form of Guarantee Agreement</w:t>
      </w:r>
    </w:p>
    <w:p>
      <w:pPr>
        <w:spacing w:after="0" w:line="229" w:lineRule="auto"/>
        <w:tabs>
          <w:tab w:leader="none" w:pos="880" w:val="left"/>
          <w:tab w:leader="none" w:pos="1240" w:val="left"/>
        </w:tabs>
        <w:rPr>
          <w:sz w:val="20"/>
          <w:szCs w:val="20"/>
          <w:color w:val="auto"/>
        </w:rPr>
      </w:pPr>
      <w:r>
        <w:rPr>
          <w:rFonts w:ascii="Arial" w:cs="Arial" w:eastAsia="Arial" w:hAnsi="Arial"/>
          <w:sz w:val="18"/>
          <w:szCs w:val="18"/>
          <w:color w:val="auto"/>
        </w:rPr>
        <w:t>Exhibit D</w:t>
        <w:tab/>
        <w:t>—</w:t>
      </w:r>
      <w:r>
        <w:rPr>
          <w:sz w:val="20"/>
          <w:szCs w:val="20"/>
          <w:color w:val="auto"/>
        </w:rPr>
        <w:tab/>
      </w:r>
      <w:r>
        <w:rPr>
          <w:rFonts w:ascii="Arial" w:cs="Arial" w:eastAsia="Arial" w:hAnsi="Arial"/>
          <w:sz w:val="16"/>
          <w:szCs w:val="16"/>
          <w:color w:val="auto"/>
        </w:rPr>
        <w:t>Form of Collateral Agreement</w:t>
      </w:r>
    </w:p>
    <w:p>
      <w:pPr>
        <w:spacing w:after="0"/>
        <w:tabs>
          <w:tab w:leader="none" w:pos="860" w:val="left"/>
          <w:tab w:leader="none" w:pos="1220" w:val="left"/>
        </w:tabs>
        <w:rPr>
          <w:sz w:val="20"/>
          <w:szCs w:val="20"/>
          <w:color w:val="auto"/>
        </w:rPr>
      </w:pPr>
      <w:r>
        <w:rPr>
          <w:rFonts w:ascii="Arial" w:cs="Arial" w:eastAsia="Arial" w:hAnsi="Arial"/>
          <w:sz w:val="18"/>
          <w:szCs w:val="18"/>
          <w:color w:val="auto"/>
        </w:rPr>
        <w:t>Exhibit E</w:t>
        <w:tab/>
        <w:t>—</w:t>
      </w:r>
      <w:r>
        <w:rPr>
          <w:sz w:val="20"/>
          <w:szCs w:val="20"/>
          <w:color w:val="auto"/>
        </w:rPr>
        <w:tab/>
      </w:r>
      <w:r>
        <w:rPr>
          <w:rFonts w:ascii="Arial" w:cs="Arial" w:eastAsia="Arial" w:hAnsi="Arial"/>
          <w:sz w:val="16"/>
          <w:szCs w:val="16"/>
          <w:color w:val="auto"/>
        </w:rPr>
        <w:t>Form of First Lien Intercreditor Agreement</w:t>
      </w:r>
    </w:p>
    <w:p>
      <w:pPr>
        <w:spacing w:after="0" w:line="229" w:lineRule="auto"/>
        <w:tabs>
          <w:tab w:leader="none" w:pos="840" w:val="left"/>
          <w:tab w:leader="none" w:pos="1200" w:val="left"/>
        </w:tabs>
        <w:rPr>
          <w:sz w:val="20"/>
          <w:szCs w:val="20"/>
          <w:color w:val="auto"/>
        </w:rPr>
      </w:pPr>
      <w:r>
        <w:rPr>
          <w:rFonts w:ascii="Arial" w:cs="Arial" w:eastAsia="Arial" w:hAnsi="Arial"/>
          <w:sz w:val="18"/>
          <w:szCs w:val="18"/>
          <w:color w:val="auto"/>
        </w:rPr>
        <w:t>Exhibit F</w:t>
        <w:tab/>
        <w:t>—</w:t>
      </w:r>
      <w:r>
        <w:rPr>
          <w:sz w:val="20"/>
          <w:szCs w:val="20"/>
          <w:color w:val="auto"/>
        </w:rPr>
        <w:tab/>
      </w:r>
      <w:r>
        <w:rPr>
          <w:rFonts w:ascii="Arial" w:cs="Arial" w:eastAsia="Arial" w:hAnsi="Arial"/>
          <w:sz w:val="16"/>
          <w:szCs w:val="16"/>
          <w:color w:val="auto"/>
        </w:rPr>
        <w:t>Form of Second Lien Intercreditor Agreement</w:t>
      </w:r>
    </w:p>
    <w:p>
      <w:pPr>
        <w:spacing w:after="0" w:line="229" w:lineRule="auto"/>
        <w:tabs>
          <w:tab w:leader="none" w:pos="880" w:val="left"/>
          <w:tab w:leader="none" w:pos="1240" w:val="left"/>
        </w:tabs>
        <w:rPr>
          <w:sz w:val="20"/>
          <w:szCs w:val="20"/>
          <w:color w:val="auto"/>
        </w:rPr>
      </w:pPr>
      <w:r>
        <w:rPr>
          <w:rFonts w:ascii="Arial" w:cs="Arial" w:eastAsia="Arial" w:hAnsi="Arial"/>
          <w:sz w:val="18"/>
          <w:szCs w:val="18"/>
          <w:color w:val="auto"/>
        </w:rPr>
        <w:t>Exhibit G</w:t>
        <w:tab/>
        <w:t>—</w:t>
      </w:r>
      <w:r>
        <w:rPr>
          <w:sz w:val="20"/>
          <w:szCs w:val="20"/>
          <w:color w:val="auto"/>
        </w:rPr>
        <w:tab/>
      </w:r>
      <w:r>
        <w:rPr>
          <w:rFonts w:ascii="Arial" w:cs="Arial" w:eastAsia="Arial" w:hAnsi="Arial"/>
          <w:sz w:val="16"/>
          <w:szCs w:val="16"/>
          <w:color w:val="auto"/>
        </w:rPr>
        <w:t>Form of Closing Certificate</w:t>
      </w:r>
    </w:p>
    <w:p>
      <w:pPr>
        <w:spacing w:after="0"/>
        <w:tabs>
          <w:tab w:leader="none" w:pos="880" w:val="left"/>
          <w:tab w:leader="none" w:pos="1240" w:val="left"/>
        </w:tabs>
        <w:rPr>
          <w:sz w:val="20"/>
          <w:szCs w:val="20"/>
          <w:color w:val="auto"/>
        </w:rPr>
      </w:pPr>
      <w:r>
        <w:rPr>
          <w:rFonts w:ascii="Arial" w:cs="Arial" w:eastAsia="Arial" w:hAnsi="Arial"/>
          <w:sz w:val="18"/>
          <w:szCs w:val="18"/>
          <w:color w:val="auto"/>
        </w:rPr>
        <w:t>Exhibit H</w:t>
        <w:tab/>
        <w:t>—</w:t>
      </w:r>
      <w:r>
        <w:rPr>
          <w:sz w:val="20"/>
          <w:szCs w:val="20"/>
          <w:color w:val="auto"/>
        </w:rPr>
        <w:tab/>
      </w:r>
      <w:r>
        <w:rPr>
          <w:rFonts w:ascii="Arial" w:cs="Arial" w:eastAsia="Arial" w:hAnsi="Arial"/>
          <w:sz w:val="16"/>
          <w:szCs w:val="16"/>
          <w:color w:val="auto"/>
        </w:rPr>
        <w:t>Form of Intercompany Note</w:t>
      </w:r>
    </w:p>
    <w:p>
      <w:pPr>
        <w:spacing w:after="0" w:line="229" w:lineRule="auto"/>
        <w:tabs>
          <w:tab w:leader="none" w:pos="800" w:val="left"/>
          <w:tab w:leader="none" w:pos="1160" w:val="left"/>
        </w:tabs>
        <w:rPr>
          <w:sz w:val="20"/>
          <w:szCs w:val="20"/>
          <w:color w:val="auto"/>
        </w:rPr>
      </w:pPr>
      <w:r>
        <w:rPr>
          <w:rFonts w:ascii="Arial" w:cs="Arial" w:eastAsia="Arial" w:hAnsi="Arial"/>
          <w:sz w:val="18"/>
          <w:szCs w:val="18"/>
          <w:color w:val="auto"/>
        </w:rPr>
        <w:t>Exhibit I</w:t>
        <w:tab/>
        <w:t>—</w:t>
      </w:r>
      <w:r>
        <w:rPr>
          <w:sz w:val="20"/>
          <w:szCs w:val="20"/>
          <w:color w:val="auto"/>
        </w:rPr>
        <w:tab/>
      </w:r>
      <w:r>
        <w:rPr>
          <w:rFonts w:ascii="Arial" w:cs="Arial" w:eastAsia="Arial" w:hAnsi="Arial"/>
          <w:sz w:val="16"/>
          <w:szCs w:val="16"/>
          <w:color w:val="auto"/>
        </w:rPr>
        <w:t>Form of Specified Discount Prepayment Notice</w:t>
      </w:r>
    </w:p>
    <w:p>
      <w:pPr>
        <w:spacing w:after="0" w:line="229" w:lineRule="auto"/>
        <w:tabs>
          <w:tab w:leader="none" w:pos="820" w:val="left"/>
          <w:tab w:leader="none" w:pos="1180" w:val="left"/>
        </w:tabs>
        <w:rPr>
          <w:sz w:val="20"/>
          <w:szCs w:val="20"/>
          <w:color w:val="auto"/>
        </w:rPr>
      </w:pPr>
      <w:r>
        <w:rPr>
          <w:rFonts w:ascii="Arial" w:cs="Arial" w:eastAsia="Arial" w:hAnsi="Arial"/>
          <w:sz w:val="18"/>
          <w:szCs w:val="18"/>
          <w:color w:val="auto"/>
        </w:rPr>
        <w:t>Exhibit J</w:t>
        <w:tab/>
        <w:t>—</w:t>
      </w:r>
      <w:r>
        <w:rPr>
          <w:sz w:val="20"/>
          <w:szCs w:val="20"/>
          <w:color w:val="auto"/>
        </w:rPr>
        <w:tab/>
      </w:r>
      <w:r>
        <w:rPr>
          <w:rFonts w:ascii="Arial" w:cs="Arial" w:eastAsia="Arial" w:hAnsi="Arial"/>
          <w:sz w:val="16"/>
          <w:szCs w:val="16"/>
          <w:color w:val="auto"/>
        </w:rPr>
        <w:t>Form of Specified Discount Prepayment Response</w:t>
      </w:r>
    </w:p>
    <w:p>
      <w:pPr>
        <w:spacing w:after="0"/>
        <w:tabs>
          <w:tab w:leader="none" w:pos="880" w:val="left"/>
          <w:tab w:leader="none" w:pos="1240" w:val="left"/>
        </w:tabs>
        <w:rPr>
          <w:sz w:val="20"/>
          <w:szCs w:val="20"/>
          <w:color w:val="auto"/>
        </w:rPr>
      </w:pPr>
      <w:r>
        <w:rPr>
          <w:rFonts w:ascii="Arial" w:cs="Arial" w:eastAsia="Arial" w:hAnsi="Arial"/>
          <w:sz w:val="18"/>
          <w:szCs w:val="18"/>
          <w:color w:val="auto"/>
        </w:rPr>
        <w:t>Exhibit K</w:t>
        <w:tab/>
        <w:t>—</w:t>
      </w:r>
      <w:r>
        <w:rPr>
          <w:sz w:val="20"/>
          <w:szCs w:val="20"/>
          <w:color w:val="auto"/>
        </w:rPr>
        <w:tab/>
      </w:r>
      <w:r>
        <w:rPr>
          <w:rFonts w:ascii="Arial" w:cs="Arial" w:eastAsia="Arial" w:hAnsi="Arial"/>
          <w:sz w:val="16"/>
          <w:szCs w:val="16"/>
          <w:color w:val="auto"/>
        </w:rPr>
        <w:t>Form of Discount Range Prepayment Notice</w:t>
      </w:r>
    </w:p>
    <w:p>
      <w:pPr>
        <w:spacing w:after="0" w:line="229" w:lineRule="auto"/>
        <w:tabs>
          <w:tab w:leader="none" w:pos="860" w:val="left"/>
          <w:tab w:leader="none" w:pos="1220" w:val="left"/>
        </w:tabs>
        <w:rPr>
          <w:sz w:val="20"/>
          <w:szCs w:val="20"/>
          <w:color w:val="auto"/>
        </w:rPr>
      </w:pPr>
      <w:r>
        <w:rPr>
          <w:rFonts w:ascii="Arial" w:cs="Arial" w:eastAsia="Arial" w:hAnsi="Arial"/>
          <w:sz w:val="18"/>
          <w:szCs w:val="18"/>
          <w:color w:val="auto"/>
        </w:rPr>
        <w:t>Exhibit L</w:t>
        <w:tab/>
        <w:t>—</w:t>
      </w:r>
      <w:r>
        <w:rPr>
          <w:sz w:val="20"/>
          <w:szCs w:val="20"/>
          <w:color w:val="auto"/>
        </w:rPr>
        <w:tab/>
      </w:r>
      <w:r>
        <w:rPr>
          <w:rFonts w:ascii="Arial" w:cs="Arial" w:eastAsia="Arial" w:hAnsi="Arial"/>
          <w:sz w:val="16"/>
          <w:szCs w:val="16"/>
          <w:color w:val="auto"/>
        </w:rPr>
        <w:t>Form of Discount Range Prepayment Offer</w:t>
      </w:r>
    </w:p>
    <w:p>
      <w:pPr>
        <w:spacing w:after="0" w:line="229" w:lineRule="auto"/>
        <w:tabs>
          <w:tab w:leader="none" w:pos="900" w:val="left"/>
          <w:tab w:leader="none" w:pos="1260" w:val="left"/>
        </w:tabs>
        <w:rPr>
          <w:sz w:val="20"/>
          <w:szCs w:val="20"/>
          <w:color w:val="auto"/>
        </w:rPr>
      </w:pPr>
      <w:r>
        <w:rPr>
          <w:rFonts w:ascii="Arial" w:cs="Arial" w:eastAsia="Arial" w:hAnsi="Arial"/>
          <w:sz w:val="18"/>
          <w:szCs w:val="18"/>
          <w:color w:val="auto"/>
        </w:rPr>
        <w:t>Exhibit M</w:t>
        <w:tab/>
        <w:t>—</w:t>
      </w:r>
      <w:r>
        <w:rPr>
          <w:sz w:val="20"/>
          <w:szCs w:val="20"/>
          <w:color w:val="auto"/>
        </w:rPr>
        <w:tab/>
      </w:r>
      <w:r>
        <w:rPr>
          <w:rFonts w:ascii="Arial" w:cs="Arial" w:eastAsia="Arial" w:hAnsi="Arial"/>
          <w:sz w:val="16"/>
          <w:szCs w:val="16"/>
          <w:color w:val="auto"/>
        </w:rPr>
        <w:t>Form of Solicited Discounted Prepayment Notice</w:t>
      </w:r>
    </w:p>
    <w:p>
      <w:pPr>
        <w:spacing w:after="0"/>
        <w:tabs>
          <w:tab w:leader="none" w:pos="880" w:val="left"/>
          <w:tab w:leader="none" w:pos="1240" w:val="left"/>
        </w:tabs>
        <w:rPr>
          <w:sz w:val="20"/>
          <w:szCs w:val="20"/>
          <w:color w:val="auto"/>
        </w:rPr>
      </w:pPr>
      <w:r>
        <w:rPr>
          <w:rFonts w:ascii="Arial" w:cs="Arial" w:eastAsia="Arial" w:hAnsi="Arial"/>
          <w:sz w:val="18"/>
          <w:szCs w:val="18"/>
          <w:color w:val="auto"/>
        </w:rPr>
        <w:t>Exhibit N</w:t>
        <w:tab/>
        <w:t>—</w:t>
      </w:r>
      <w:r>
        <w:rPr>
          <w:sz w:val="20"/>
          <w:szCs w:val="20"/>
          <w:color w:val="auto"/>
        </w:rPr>
        <w:tab/>
      </w:r>
      <w:r>
        <w:rPr>
          <w:rFonts w:ascii="Arial" w:cs="Arial" w:eastAsia="Arial" w:hAnsi="Arial"/>
          <w:sz w:val="16"/>
          <w:szCs w:val="16"/>
          <w:color w:val="auto"/>
        </w:rPr>
        <w:t>Form of Solicited Discounted Prepayment Offer</w:t>
      </w:r>
    </w:p>
    <w:p>
      <w:pPr>
        <w:spacing w:after="0" w:line="229" w:lineRule="auto"/>
        <w:tabs>
          <w:tab w:leader="none" w:pos="880" w:val="left"/>
          <w:tab w:leader="none" w:pos="1240" w:val="left"/>
        </w:tabs>
        <w:rPr>
          <w:sz w:val="20"/>
          <w:szCs w:val="20"/>
          <w:color w:val="auto"/>
        </w:rPr>
      </w:pPr>
      <w:r>
        <w:rPr>
          <w:rFonts w:ascii="Arial" w:cs="Arial" w:eastAsia="Arial" w:hAnsi="Arial"/>
          <w:sz w:val="18"/>
          <w:szCs w:val="18"/>
          <w:color w:val="auto"/>
        </w:rPr>
        <w:t>Exhibit O</w:t>
        <w:tab/>
        <w:t>—</w:t>
      </w:r>
      <w:r>
        <w:rPr>
          <w:sz w:val="20"/>
          <w:szCs w:val="20"/>
          <w:color w:val="auto"/>
        </w:rPr>
        <w:tab/>
      </w:r>
      <w:r>
        <w:rPr>
          <w:rFonts w:ascii="Arial" w:cs="Arial" w:eastAsia="Arial" w:hAnsi="Arial"/>
          <w:sz w:val="16"/>
          <w:szCs w:val="16"/>
          <w:color w:val="auto"/>
        </w:rPr>
        <w:t>Form of Acceptance and Prepayment Notice</w:t>
      </w:r>
    </w:p>
    <w:p>
      <w:pPr>
        <w:spacing w:after="0" w:line="229" w:lineRule="auto"/>
        <w:tabs>
          <w:tab w:leader="none" w:pos="1000" w:val="left"/>
          <w:tab w:leader="none" w:pos="1360" w:val="left"/>
        </w:tabs>
        <w:rPr>
          <w:sz w:val="20"/>
          <w:szCs w:val="20"/>
          <w:color w:val="auto"/>
        </w:rPr>
      </w:pPr>
      <w:r>
        <w:rPr>
          <w:rFonts w:ascii="Arial" w:cs="Arial" w:eastAsia="Arial" w:hAnsi="Arial"/>
          <w:sz w:val="18"/>
          <w:szCs w:val="18"/>
          <w:color w:val="auto"/>
        </w:rPr>
        <w:t>Exhibit P-1</w:t>
        <w:tab/>
        <w:t>—</w:t>
      </w:r>
      <w:r>
        <w:rPr>
          <w:sz w:val="20"/>
          <w:szCs w:val="20"/>
          <w:color w:val="auto"/>
        </w:rPr>
        <w:tab/>
      </w:r>
      <w:r>
        <w:rPr>
          <w:rFonts w:ascii="Arial" w:cs="Arial" w:eastAsia="Arial" w:hAnsi="Arial"/>
          <w:sz w:val="16"/>
          <w:szCs w:val="16"/>
          <w:color w:val="auto"/>
        </w:rPr>
        <w:t>Form of U.S. Tax Compliance Certificate (For Non-U.S. Lenders That Are Not Partnerships For U.S. Federal Income Tax Purposes)</w:t>
      </w:r>
    </w:p>
    <w:p>
      <w:pPr>
        <w:spacing w:after="0"/>
        <w:tabs>
          <w:tab w:leader="none" w:pos="1000" w:val="left"/>
          <w:tab w:leader="none" w:pos="1360" w:val="left"/>
        </w:tabs>
        <w:rPr>
          <w:sz w:val="20"/>
          <w:szCs w:val="20"/>
          <w:color w:val="auto"/>
        </w:rPr>
      </w:pPr>
      <w:r>
        <w:rPr>
          <w:rFonts w:ascii="Arial" w:cs="Arial" w:eastAsia="Arial" w:hAnsi="Arial"/>
          <w:sz w:val="18"/>
          <w:szCs w:val="18"/>
          <w:color w:val="auto"/>
        </w:rPr>
        <w:t>Exhibit P-2</w:t>
        <w:tab/>
        <w:t>—</w:t>
      </w:r>
      <w:r>
        <w:rPr>
          <w:sz w:val="20"/>
          <w:szCs w:val="20"/>
          <w:color w:val="auto"/>
        </w:rPr>
        <w:tab/>
      </w:r>
      <w:r>
        <w:rPr>
          <w:rFonts w:ascii="Arial" w:cs="Arial" w:eastAsia="Arial" w:hAnsi="Arial"/>
          <w:sz w:val="16"/>
          <w:szCs w:val="16"/>
          <w:color w:val="auto"/>
        </w:rPr>
        <w:t>Form of U.S. Tax Compliance Certificate (For Non-U.S. Lenders That Are Partnerships For U.S. Federal Income Tax Purposes)</w:t>
      </w:r>
    </w:p>
    <w:p>
      <w:pPr>
        <w:spacing w:after="0" w:line="208" w:lineRule="auto"/>
        <w:rPr>
          <w:sz w:val="20"/>
          <w:szCs w:val="20"/>
          <w:color w:val="auto"/>
        </w:rPr>
      </w:pPr>
      <w:r>
        <w:rPr>
          <w:rFonts w:ascii="Arial" w:cs="Arial" w:eastAsia="Arial" w:hAnsi="Arial"/>
          <w:sz w:val="18"/>
          <w:szCs w:val="18"/>
          <w:color w:val="auto"/>
        </w:rPr>
        <w:t>Exhibit P-3 — Form of U.S. Tax Compliance Certificate (For Non-U.S. Participants That Are Not Partnerships For U.S. Federal Income Tax Purposes) Exhibit P-4 — Form of U.S. Tax Compliance Certificate (For Non-U.S. Participants That Are Partnerships For U.S. Federal Income Tax Purposes) Exhibit Q — Form of Borrowing Request</w:t>
      </w:r>
    </w:p>
    <w:p>
      <w:pPr>
        <w:spacing w:after="0" w:line="231" w:lineRule="auto"/>
        <w:tabs>
          <w:tab w:leader="none" w:pos="860" w:val="left"/>
          <w:tab w:leader="none" w:pos="1220" w:val="left"/>
        </w:tabs>
        <w:rPr>
          <w:sz w:val="20"/>
          <w:szCs w:val="20"/>
          <w:color w:val="auto"/>
        </w:rPr>
      </w:pPr>
      <w:r>
        <w:rPr>
          <w:rFonts w:ascii="Arial" w:cs="Arial" w:eastAsia="Arial" w:hAnsi="Arial"/>
          <w:sz w:val="18"/>
          <w:szCs w:val="18"/>
          <w:color w:val="auto"/>
        </w:rPr>
        <w:t>Exhibit R</w:t>
        <w:tab/>
        <w:t>—</w:t>
      </w:r>
      <w:r>
        <w:rPr>
          <w:sz w:val="20"/>
          <w:szCs w:val="20"/>
          <w:color w:val="auto"/>
        </w:rPr>
        <w:tab/>
      </w:r>
      <w:r>
        <w:rPr>
          <w:rFonts w:ascii="Arial" w:cs="Arial" w:eastAsia="Arial" w:hAnsi="Arial"/>
          <w:sz w:val="16"/>
          <w:szCs w:val="16"/>
          <w:color w:val="auto"/>
        </w:rPr>
        <w:t>Form of Interest Election Request</w:t>
      </w:r>
    </w:p>
    <w:p>
      <w:pPr>
        <w:spacing w:after="0"/>
        <w:tabs>
          <w:tab w:leader="none" w:pos="880" w:val="left"/>
          <w:tab w:leader="none" w:pos="1240" w:val="left"/>
        </w:tabs>
        <w:rPr>
          <w:sz w:val="20"/>
          <w:szCs w:val="20"/>
          <w:color w:val="auto"/>
        </w:rPr>
      </w:pPr>
      <w:r>
        <w:rPr>
          <w:rFonts w:ascii="Arial" w:cs="Arial" w:eastAsia="Arial" w:hAnsi="Arial"/>
          <w:sz w:val="18"/>
          <w:szCs w:val="18"/>
          <w:color w:val="auto"/>
        </w:rPr>
        <w:t>Exhibit S</w:t>
        <w:tab/>
        <w:t>—</w:t>
      </w:r>
      <w:r>
        <w:rPr>
          <w:sz w:val="20"/>
          <w:szCs w:val="20"/>
          <w:color w:val="auto"/>
        </w:rPr>
        <w:tab/>
      </w:r>
      <w:r>
        <w:rPr>
          <w:rFonts w:ascii="Arial" w:cs="Arial" w:eastAsia="Arial" w:hAnsi="Arial"/>
          <w:sz w:val="16"/>
          <w:szCs w:val="16"/>
          <w:color w:val="auto"/>
        </w:rPr>
        <w:t>Form of Notice of Loan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60"/>
          </w:cols>
          <w:pgMar w:left="320" w:top="1408" w:right="419" w:bottom="1440" w:gutter="0" w:footer="0" w:header="0"/>
        </w:sectPr>
      </w:pPr>
    </w:p>
    <w:bookmarkStart w:id="58" w:name="page59"/>
    <w:bookmarkEnd w:id="58"/>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CREDIT AGREEMENT, dated as of July 6, 2021 (as amended by Amendment No. 1 dated as of November 23, 2021,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among EVERCOMMERCE INTERMEDIATE INC., a Delaware corporation (“ </w:t>
      </w:r>
      <w:r>
        <w:rPr>
          <w:rFonts w:ascii="Arial" w:cs="Arial" w:eastAsia="Arial" w:hAnsi="Arial"/>
          <w:sz w:val="16"/>
          <w:szCs w:val="16"/>
          <w:u w:val="single" w:color="auto"/>
          <w:color w:val="auto"/>
        </w:rPr>
        <w:t>Holdings</w:t>
      </w:r>
      <w:r>
        <w:rPr>
          <w:rFonts w:ascii="Arial" w:cs="Arial" w:eastAsia="Arial" w:hAnsi="Arial"/>
          <w:sz w:val="16"/>
          <w:szCs w:val="16"/>
          <w:color w:val="auto"/>
        </w:rPr>
        <w:t xml:space="preserve"> ”), EVERCOMMERCE SOLUTIONS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from time to time party hereto, and ROYAL BANK OF CANADA, as Administrative Agent, Collateral Agent and an Issuing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WHEREAS, the Borrower has requested (a) the Term Lenders to extend Term Loans, which, on the Amendment No. 1 Effective Date shall be in an aggregate principal amount of $550,000,000, (b) the Revolving Lenders to provide Revolving Loans, subject to the Revolving Commitment, which, on</w:t>
      </w:r>
    </w:p>
    <w:p>
      <w:pPr>
        <w:jc w:val="both"/>
        <w:spacing w:after="0" w:line="218" w:lineRule="auto"/>
        <w:rPr>
          <w:sz w:val="20"/>
          <w:szCs w:val="20"/>
          <w:color w:val="auto"/>
        </w:rPr>
      </w:pPr>
      <w:r>
        <w:rPr>
          <w:rFonts w:ascii="Arial" w:cs="Arial" w:eastAsia="Arial" w:hAnsi="Arial"/>
          <w:sz w:val="18"/>
          <w:szCs w:val="18"/>
          <w:color w:val="auto"/>
        </w:rPr>
        <w:t>the Amendment No. 1 Effective Date shall be in an aggregate principal amount of $190,000,000, to the Borrower at any time during the Revolving Availability Period, and (c) the Issuing Banks to issue Letters of Credit at any time during the Revolving Availability Period, in an aggregate face amount at any time outstanding not in excess of $20,000,000;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agree as follows:</w:t>
      </w:r>
    </w:p>
    <w:p>
      <w:pPr>
        <w:spacing w:after="0" w:line="185" w:lineRule="exact"/>
        <w:rPr>
          <w:sz w:val="20"/>
          <w:szCs w:val="20"/>
          <w:color w:val="auto"/>
        </w:rPr>
      </w:pPr>
    </w:p>
    <w:p>
      <w:pPr>
        <w:ind w:left="5100"/>
        <w:spacing w:after="0"/>
        <w:rPr>
          <w:sz w:val="20"/>
          <w:szCs w:val="20"/>
          <w:color w:val="auto"/>
        </w:rPr>
      </w:pPr>
      <w:r>
        <w:rPr>
          <w:rFonts w:ascii="Arial" w:cs="Arial" w:eastAsia="Arial" w:hAnsi="Arial"/>
          <w:sz w:val="18"/>
          <w:szCs w:val="18"/>
          <w:color w:val="010000"/>
        </w:rPr>
        <w:t>ARTICLE I</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DEFINITIONS</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color w:val="auto"/>
        </w:rPr>
        <w:t>Defined Terms. As used in this Agreement, the following terms have the meanings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7924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92480" cy="8890"/>
                    </a:xfrm>
                    <a:prstGeom prst="rect">
                      <a:avLst/>
                    </a:prstGeom>
                    <a:noFill/>
                  </pic:spPr>
                </pic:pic>
              </a:graphicData>
            </a:graphic>
          </wp:anchor>
        </w:drawing>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is, or the Loans comprising such Borrowing are, bearing interest at a rate determined by reference to the Alternate Base Rate.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Discount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2.11(a)(ii)(D)</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Prepayment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2.11(a)(ii)(D)</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Acceptance and Prepayment Notice</w:t>
      </w:r>
      <w:r>
        <w:rPr>
          <w:rFonts w:ascii="Arial" w:cs="Arial" w:eastAsia="Arial" w:hAnsi="Arial"/>
          <w:sz w:val="18"/>
          <w:szCs w:val="18"/>
          <w:color w:val="auto"/>
        </w:rPr>
        <w:t xml:space="preserve">” means an irrevocable written notice from a Term Lender accepting a Solicited Discounted Prepayment Offer to make a Discounted Term Loan Prepayment at the Acceptable Discount specified therein pursuant to </w:t>
      </w:r>
      <w:r>
        <w:rPr>
          <w:rFonts w:ascii="Arial" w:cs="Arial" w:eastAsia="Arial" w:hAnsi="Arial"/>
          <w:sz w:val="18"/>
          <w:szCs w:val="18"/>
          <w:u w:val="single" w:color="auto"/>
          <w:color w:val="auto"/>
        </w:rPr>
        <w:t>Section 2.11(a)(ii)(D)</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O</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Acceptance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2.11(a)(ii)(D)</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Accepting Lenders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Changes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1.04(d)</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Accrued Expenses</w:t>
      </w:r>
      <w:r>
        <w:rPr>
          <w:rFonts w:ascii="Arial" w:cs="Arial" w:eastAsia="Arial" w:hAnsi="Arial"/>
          <w:sz w:val="18"/>
          <w:szCs w:val="18"/>
          <w:color w:val="auto"/>
        </w:rPr>
        <w:t>” has the meaning assigned to such term in the definition of “Excess Cash Flow.”</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Acquired EBITDA</w:t>
      </w:r>
      <w:r>
        <w:rPr>
          <w:rFonts w:ascii="Arial" w:cs="Arial" w:eastAsia="Arial" w:hAnsi="Arial"/>
          <w:sz w:val="16"/>
          <w:szCs w:val="16"/>
          <w:color w:val="auto"/>
        </w:rPr>
        <w:t>” means, with respect to any Pro Forma Entity for any period, the amount for such period of Consolidated EBITDA of such Pro Forma Entity (determined as if references to the Borrower and the Restricted Subsidiaries in the definition of the term “Consolidated EBITDA” were</w:t>
      </w:r>
    </w:p>
    <w:p>
      <w:pPr>
        <w:jc w:val="both"/>
        <w:spacing w:after="0" w:line="226" w:lineRule="auto"/>
        <w:rPr>
          <w:sz w:val="20"/>
          <w:szCs w:val="20"/>
          <w:color w:val="auto"/>
        </w:rPr>
      </w:pPr>
      <w:r>
        <w:rPr>
          <w:rFonts w:ascii="Arial" w:cs="Arial" w:eastAsia="Arial" w:hAnsi="Arial"/>
          <w:sz w:val="18"/>
          <w:szCs w:val="18"/>
          <w:color w:val="auto"/>
        </w:rPr>
        <w:t>references to such Pro Forma Entity and its Subsidiaries which will become Restricted Subsidiaries), all as determined on a consolidated basis for such Pro Forma Entity.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Entity or Business</w:t>
      </w:r>
      <w:r>
        <w:rPr>
          <w:rFonts w:ascii="Arial" w:cs="Arial" w:eastAsia="Arial" w:hAnsi="Arial"/>
          <w:sz w:val="18"/>
          <w:szCs w:val="18"/>
          <w:color w:val="auto"/>
        </w:rPr>
        <w:t>” has the meaning assigned to such term in the definition of “Consolidated EBITDA.”</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Transaction</w:t>
      </w:r>
      <w:r>
        <w:rPr>
          <w:rFonts w:ascii="Arial" w:cs="Arial" w:eastAsia="Arial" w:hAnsi="Arial"/>
          <w:sz w:val="16"/>
          <w:szCs w:val="16"/>
          <w:color w:val="auto"/>
        </w:rPr>
        <w:t>” means any Investment by the Borrower or any Restricted Subsidiary in a Person if (a) as a result of such Investment, (i) such Person becomes a Restricted Subsidiary or (ii) such Person, in one transaction or a series of related transactions, is merged, consolidated, or amalgamated with or into, or transfers or conveys substantially all of its assets (or all or substantially all the assets constituting a business unit, division,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product line or line of business) to, or is liquidated into, the Borrower or a Restricted Subsidiary and (b) after giving effect to such Investment, the Borrower is in compliance with </w:t>
      </w:r>
      <w:r>
        <w:rPr>
          <w:rFonts w:ascii="Arial" w:cs="Arial" w:eastAsia="Arial" w:hAnsi="Arial"/>
          <w:sz w:val="18"/>
          <w:szCs w:val="18"/>
          <w:u w:val="single" w:color="auto"/>
          <w:color w:val="auto"/>
        </w:rPr>
        <w:t>Section 5.16</w:t>
      </w:r>
      <w:r>
        <w:rPr>
          <w:rFonts w:ascii="Arial" w:cs="Arial" w:eastAsia="Arial" w:hAnsi="Arial"/>
          <w:sz w:val="18"/>
          <w:szCs w:val="18"/>
          <w:color w:val="auto"/>
        </w:rPr>
        <w:t>, and, in each case, any Investment held by such Person.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means any Additional Revolving Lender or any Additional Term Lender,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w:t>
      </w:r>
    </w:p>
    <w:p>
      <w:pPr>
        <w:sectPr>
          <w:pgSz w:w="11900" w:h="16838" w:orient="portrait"/>
          <w:cols w:equalWidth="0" w:num="1">
            <w:col w:w="11240"/>
          </w:cols>
          <w:pgMar w:left="320" w:top="1440" w:right="339" w:bottom="1440" w:gutter="0" w:footer="0" w:header="0"/>
        </w:sectPr>
      </w:pPr>
    </w:p>
    <w:bookmarkStart w:id="59" w:name="page60"/>
    <w:bookmarkEnd w:id="59"/>
    <w:p>
      <w:pPr>
        <w:spacing w:after="0" w:line="6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Revolving Lender</w:t>
      </w:r>
      <w:r>
        <w:rPr>
          <w:rFonts w:ascii="Arial" w:cs="Arial" w:eastAsia="Arial" w:hAnsi="Arial"/>
          <w:sz w:val="17"/>
          <w:szCs w:val="17"/>
          <w:color w:val="auto"/>
        </w:rPr>
        <w:t xml:space="preserve">” means, at any time, any bank or other financial institution or other Person (other than a natural Person) that agrees to provide any portion of any (a) Incremental Revolving Commitment Increase or Additional/Replacement Revolving Commitments pursuant to an Incremental Facility Amendment in accordance with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or (b) Credit Agreement Refinancing Indebtedness pursuant to a Refinancing</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Amendment in accordance with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Additional Revolving Lender shall be subject to the approval of the Administrative Agent, the Borrower and, if such Additional Revolving Lender is not a Revolving Lender or an Affiliate or Approved Fund of a Revolving Lender, each Issuing Bank (such approval in each case not to be unreasonably withheld or delayed).</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Term Lender</w:t>
      </w:r>
      <w:r>
        <w:rPr>
          <w:rFonts w:ascii="Arial" w:cs="Arial" w:eastAsia="Arial" w:hAnsi="Arial"/>
          <w:sz w:val="16"/>
          <w:szCs w:val="16"/>
          <w:color w:val="auto"/>
        </w:rPr>
        <w:t xml:space="preserve">” means, at any time, any bank or other financial institution or other Person (including any such bank or financial institution or Person that is a Lender at such time, but excluding any natural Person) that agrees to provide any portion of any (a) Incremental Term Loan pursuant to an Incremental Facility Amendment in accordance with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or (b) Credit Agreement Refinancing Indebtedness pursuant to a</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Refinancing Amendment in accordance with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Additional Term Lender (other than any Person that is a Lender, an Affiliate of a Lender or an Approved Fund of a Lender at such time or an Affiliated Lender or Affiliated Debt Fund) shall be subject to the approval of the Administrative Agent (such approval not to be unreasonably withheld or delayed) and the Borrower.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Additional/Replacement Revolving Commitment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185" w:lineRule="exact"/>
        <w:rPr>
          <w:sz w:val="20"/>
          <w:szCs w:val="20"/>
          <w:color w:val="auto"/>
        </w:rPr>
      </w:pPr>
    </w:p>
    <w:p>
      <w:pPr>
        <w:ind w:right="180" w:firstLine="648"/>
        <w:spacing w:after="0" w:line="248" w:lineRule="auto"/>
        <w:rPr>
          <w:sz w:val="20"/>
          <w:szCs w:val="20"/>
          <w:color w:val="auto"/>
        </w:rPr>
      </w:pPr>
      <w:r>
        <w:rPr>
          <w:rFonts w:ascii="Arial" w:cs="Arial" w:eastAsia="Arial" w:hAnsi="Arial"/>
          <w:sz w:val="16"/>
          <w:szCs w:val="16"/>
          <w:color w:val="0000FF"/>
          <w:highlight w:val="lightGray"/>
        </w:rPr>
        <w:t>“Adjusted Daily Simple SOFR” means an interest rate per annum equal to (a) solely with respect to the Term Loans, (i) the Daily Simple SOF</w:t>
      </w:r>
      <w:r>
        <w:rPr>
          <w:rFonts w:ascii="Arial" w:cs="Arial" w:eastAsia="Arial" w:hAnsi="Arial"/>
          <w:sz w:val="16"/>
          <w:szCs w:val="16"/>
          <w:u w:val="single" w:color="auto"/>
          <w:color w:val="0000FF"/>
          <w:highlight w:val="lightGray"/>
        </w:rPr>
        <w:t>R,</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plus (ii) 0.11448% and (b) otherwise, the Daily Simple SOFR; provided that, (x) with respect to the Revolving Credit Facility, if Adjusted Daily Simple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14616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146165" cy="128905"/>
                    </a:xfrm>
                    <a:prstGeom prst="rect">
                      <a:avLst/>
                    </a:prstGeom>
                    <a:noFill/>
                  </pic:spPr>
                </pic:pic>
              </a:graphicData>
            </a:graphic>
          </wp:anchor>
        </w:drawing>
      </w:r>
    </w:p>
    <w:p>
      <w:pPr>
        <w:ind w:right="20"/>
        <w:spacing w:after="0" w:line="234" w:lineRule="auto"/>
        <w:rPr>
          <w:sz w:val="20"/>
          <w:szCs w:val="20"/>
          <w:color w:val="auto"/>
        </w:rPr>
      </w:pPr>
      <w:r>
        <w:rPr>
          <w:rFonts w:ascii="Arial" w:cs="Arial" w:eastAsia="Arial" w:hAnsi="Arial"/>
          <w:sz w:val="16"/>
          <w:szCs w:val="16"/>
          <w:u w:val="single" w:color="auto"/>
          <w:color w:val="0000FF"/>
        </w:rPr>
        <w:t>SO</w:t>
      </w:r>
      <w:r>
        <w:rPr>
          <w:rFonts w:ascii="Arial" w:cs="Arial" w:eastAsia="Arial" w:hAnsi="Arial"/>
          <w:sz w:val="16"/>
          <w:szCs w:val="16"/>
          <w:color w:val="0000FF"/>
        </w:rPr>
        <w:t xml:space="preserve">FR as so determined would be less than 0.00% per annum, then Adjusted Daily Simple SOFR with respect to the Revolving Loans </w:t>
      </w:r>
      <w:r>
        <w:rPr>
          <w:rFonts w:ascii="Arial" w:cs="Arial" w:eastAsia="Arial" w:hAnsi="Arial"/>
          <w:sz w:val="16"/>
          <w:szCs w:val="16"/>
          <w:color w:val="008000"/>
        </w:rPr>
        <w:t>shall be deemed to</w:t>
      </w:r>
      <w:r>
        <w:rPr>
          <w:rFonts w:ascii="Arial" w:cs="Arial" w:eastAsia="Arial" w:hAnsi="Arial"/>
          <w:sz w:val="16"/>
          <w:szCs w:val="16"/>
          <w:color w:val="0000FF"/>
        </w:rPr>
        <w:t xml:space="preserve"> </w:t>
      </w:r>
      <w:r>
        <w:rPr>
          <w:rFonts w:ascii="Arial" w:cs="Arial" w:eastAsia="Arial" w:hAnsi="Arial"/>
          <w:sz w:val="16"/>
          <w:szCs w:val="16"/>
          <w:color w:val="008000"/>
        </w:rPr>
        <w:t xml:space="preserve">be </w:t>
      </w:r>
      <w:r>
        <w:rPr>
          <w:rFonts w:ascii="Arial" w:cs="Arial" w:eastAsia="Arial" w:hAnsi="Arial"/>
          <w:sz w:val="16"/>
          <w:szCs w:val="16"/>
          <w:color w:val="0000FF"/>
          <w:highlight w:val="lightGray"/>
        </w:rPr>
        <w:t>equal to 0.00% per annum for the purposes of this Agreement and (y) with respect to the Term Loans, if Adjusted Daily Simple SOFR is less th</w:t>
      </w:r>
      <w:r>
        <w:rPr>
          <w:rFonts w:ascii="Arial" w:cs="Arial" w:eastAsia="Arial" w:hAnsi="Arial"/>
          <w:sz w:val="16"/>
          <w:szCs w:val="16"/>
          <w:u w:val="single" w:color="auto"/>
          <w:color w:val="0000FF"/>
          <w:highlight w:val="lightGray"/>
        </w:rPr>
        <w:t>an 0.50%</w:t>
      </w:r>
      <w:r>
        <w:rPr>
          <w:rFonts w:ascii="Arial" w:cs="Arial" w:eastAsia="Arial" w:hAnsi="Arial"/>
          <w:sz w:val="16"/>
          <w:szCs w:val="16"/>
          <w:color w:val="008000"/>
        </w:rPr>
        <w:t xml:space="preserve"> </w:t>
      </w:r>
      <w:r>
        <w:rPr>
          <w:rFonts w:ascii="Arial" w:cs="Arial" w:eastAsia="Arial" w:hAnsi="Arial"/>
          <w:sz w:val="16"/>
          <w:szCs w:val="16"/>
          <w:u w:val="single" w:color="auto"/>
          <w:color w:val="0000FF"/>
          <w:highlight w:val="lightGray"/>
        </w:rPr>
        <w:t>per annum, then Adjusted Daily Simple SOFR with respect to the Term Loans shall be deemed to be 0.50% per annum. Each determination by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highlight w:val="lightGray"/>
        </w:rPr>
        <w:t>Administrative Agent of Adjusted Daily Simple SOFR shall be conclusive and binding for all purposes absent manifest error.</w:t>
      </w:r>
    </w:p>
    <w:p>
      <w:pPr>
        <w:spacing w:after="0" w:line="169" w:lineRule="exact"/>
        <w:rPr>
          <w:sz w:val="20"/>
          <w:szCs w:val="20"/>
          <w:color w:val="auto"/>
        </w:rPr>
      </w:pPr>
    </w:p>
    <w:p>
      <w:pPr>
        <w:ind w:right="200" w:firstLine="648"/>
        <w:spacing w:after="0" w:line="248" w:lineRule="auto"/>
        <w:rPr>
          <w:sz w:val="20"/>
          <w:szCs w:val="20"/>
          <w:color w:val="auto"/>
        </w:rPr>
      </w:pPr>
      <w:r>
        <w:rPr>
          <w:rFonts w:ascii="Arial" w:cs="Arial" w:eastAsia="Arial" w:hAnsi="Arial"/>
          <w:sz w:val="16"/>
          <w:szCs w:val="16"/>
          <w:color w:val="0000FF"/>
          <w:highlight w:val="lightGray"/>
        </w:rPr>
        <w:t>“Adjusted Term SOFR” means, for purposes of any calculation</w:t>
      </w:r>
      <w:r>
        <w:rPr>
          <w:rFonts w:ascii="Arial" w:cs="Arial" w:eastAsia="Arial" w:hAnsi="Arial"/>
          <w:sz w:val="16"/>
          <w:szCs w:val="16"/>
          <w:color w:val="008000"/>
        </w:rPr>
        <w:t>, the rate per annum equal to</w:t>
      </w:r>
      <w:r>
        <w:rPr>
          <w:rFonts w:ascii="Arial" w:cs="Arial" w:eastAsia="Arial" w:hAnsi="Arial"/>
          <w:sz w:val="16"/>
          <w:szCs w:val="16"/>
          <w:color w:val="0000FF"/>
          <w:highlight w:val="lightGray"/>
        </w:rPr>
        <w:t xml:space="preserve"> (a) with respect to the Term Loans, (i) Term SOFR, </w:t>
      </w:r>
      <w:r>
        <w:rPr>
          <w:rFonts w:ascii="Arial" w:cs="Arial" w:eastAsia="Arial" w:hAnsi="Arial"/>
          <w:sz w:val="16"/>
          <w:szCs w:val="16"/>
          <w:u w:val="single" w:color="auto"/>
          <w:color w:val="0000FF"/>
          <w:highlight w:val="lightGray"/>
        </w:rPr>
        <w:t>plus (ii)(A) for one-month Interest Periods, 0.11448%, (B) for three-month Interest Periods, 0.26161%, (C) for six-month Interest Periods, 0.42826% and</w:t>
      </w:r>
    </w:p>
    <w:p>
      <w:pPr>
        <w:ind w:right="180" w:firstLine="8"/>
        <w:spacing w:after="0" w:line="215" w:lineRule="auto"/>
        <w:tabs>
          <w:tab w:leader="none" w:pos="295" w:val="left"/>
        </w:tabs>
        <w:numPr>
          <w:ilvl w:val="0"/>
          <w:numId w:val="16"/>
        </w:numPr>
        <w:rPr>
          <w:rFonts w:ascii="Arial" w:cs="Arial" w:eastAsia="Arial" w:hAnsi="Arial"/>
          <w:sz w:val="18"/>
          <w:szCs w:val="18"/>
          <w:color w:val="0000FF"/>
          <w:highlight w:val="lightGray"/>
        </w:rPr>
      </w:pPr>
      <w:r>
        <w:rPr>
          <w:rFonts w:ascii="Arial" w:cs="Arial" w:eastAsia="Arial" w:hAnsi="Arial"/>
          <w:sz w:val="18"/>
          <w:szCs w:val="18"/>
          <w:color w:val="0000FF"/>
          <w:highlight w:val="lightGray"/>
        </w:rPr>
        <w:t>for twelve-month Interest Periods, 0.71513% and (b) otherwise, Term SOFR; provided that, (x) with respe</w:t>
      </w:r>
      <w:r>
        <w:rPr>
          <w:rFonts w:ascii="Arial" w:cs="Arial" w:eastAsia="Arial" w:hAnsi="Arial"/>
          <w:sz w:val="18"/>
          <w:szCs w:val="18"/>
          <w:u w:val="single" w:color="auto"/>
          <w:color w:val="0000FF"/>
          <w:highlight w:val="lightGray"/>
        </w:rPr>
        <w:t>ct to the Revolving Credit Fa</w:t>
      </w:r>
      <w:r>
        <w:rPr>
          <w:rFonts w:ascii="Arial" w:cs="Arial" w:eastAsia="Arial" w:hAnsi="Arial"/>
          <w:sz w:val="18"/>
          <w:szCs w:val="18"/>
          <w:color w:val="0000FF"/>
          <w:highlight w:val="lightGray"/>
        </w:rPr>
        <w:t xml:space="preserve">cility, if Adjusted Term SOFR is less than 0.00% per annum, then Adjusted Term SOFR with respect to the Revolving </w:t>
      </w:r>
      <w:r>
        <w:rPr>
          <w:rFonts w:ascii="Arial" w:cs="Arial" w:eastAsia="Arial" w:hAnsi="Arial"/>
          <w:sz w:val="18"/>
          <w:szCs w:val="18"/>
          <w:color w:val="008000"/>
        </w:rPr>
        <w:t>Loans shall be deemed to be</w:t>
      </w:r>
      <w:r>
        <w:rPr>
          <w:rFonts w:ascii="Arial" w:cs="Arial" w:eastAsia="Arial" w:hAnsi="Arial"/>
          <w:sz w:val="18"/>
          <w:szCs w:val="18"/>
          <w:color w:val="0000FF"/>
          <w:highlight w:val="lightGray"/>
        </w:rPr>
        <w:t xml:space="preserve"> 0.00% per </w:t>
      </w:r>
      <w:r>
        <w:rPr>
          <w:rFonts w:ascii="Arial" w:cs="Arial" w:eastAsia="Arial" w:hAnsi="Arial"/>
          <w:sz w:val="18"/>
          <w:szCs w:val="18"/>
          <w:u w:val="single" w:color="auto"/>
          <w:color w:val="0000FF"/>
          <w:highlight w:val="lightGray"/>
        </w:rPr>
        <w:t xml:space="preserve">annum and (y) with respect to the Term Loans, if Adjusted Term SOFR is less than 0.50% per annum, then Adjusted Term SOFR with respect to the Term </w:t>
      </w:r>
      <w:r>
        <w:rPr>
          <w:rFonts w:ascii="Arial" w:cs="Arial" w:eastAsia="Arial" w:hAnsi="Arial"/>
          <w:sz w:val="18"/>
          <w:szCs w:val="18"/>
          <w:color w:val="0000FF"/>
          <w:highlight w:val="lightGray"/>
        </w:rPr>
        <w:t>Loans shall be deemed to be 0.50% p</w:t>
      </w:r>
      <w:r>
        <w:rPr>
          <w:rFonts w:ascii="Arial" w:cs="Arial" w:eastAsia="Arial" w:hAnsi="Arial"/>
          <w:sz w:val="18"/>
          <w:szCs w:val="18"/>
          <w:u w:val="single" w:color="auto"/>
          <w:color w:val="0000FF"/>
          <w:highlight w:val="lightGray"/>
        </w:rPr>
        <w:t>er annum. Each determination by the Administrative Agent of Adjusted Term SOFR shall be conclusive and binding</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for all purposes absent manifest error.</w:t>
      </w:r>
    </w:p>
    <w:p>
      <w:pPr>
        <w:spacing w:after="0" w:line="16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Adjusted LIBO Rate</w:t>
      </w:r>
      <w:r>
        <w:rPr>
          <w:rFonts w:ascii="Arial" w:cs="Arial" w:eastAsia="Arial" w:hAnsi="Arial"/>
          <w:sz w:val="18"/>
          <w:szCs w:val="18"/>
          <w:color w:val="FF0000"/>
          <w:strike w:val="1"/>
        </w:rPr>
        <w:t xml:space="preserve">” means, with respect to any Eurocurrency Borrowing for any Interest Period, an interest rate per annum equal to (a) the LIBO Rate for such Interest Period </w:t>
      </w:r>
      <w:r>
        <w:rPr>
          <w:rFonts w:ascii="Arial" w:cs="Arial" w:eastAsia="Arial" w:hAnsi="Arial"/>
          <w:sz w:val="18"/>
          <w:szCs w:val="18"/>
          <w:u w:val="single" w:color="auto"/>
          <w:color w:val="FF0000"/>
          <w:strike w:val="1"/>
        </w:rPr>
        <w:t>multiplied by</w:t>
      </w:r>
      <w:r>
        <w:rPr>
          <w:rFonts w:ascii="Arial" w:cs="Arial" w:eastAsia="Arial" w:hAnsi="Arial"/>
          <w:sz w:val="18"/>
          <w:szCs w:val="18"/>
          <w:color w:val="FF0000"/>
          <w:strike w:val="1"/>
        </w:rPr>
        <w:t xml:space="preserve"> (b) the Statutory Reserve Rate.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Adjustment</w:t>
      </w:r>
      <w:r>
        <w:rPr>
          <w:rFonts w:ascii="Arial" w:cs="Arial" w:eastAsia="Arial" w:hAnsi="Arial"/>
          <w:sz w:val="18"/>
          <w:szCs w:val="18"/>
          <w:color w:val="FF0000"/>
          <w:strike w:val="1"/>
        </w:rPr>
        <w:t xml:space="preserve">” has the meaning assigned to such term in </w:t>
      </w:r>
      <w:r>
        <w:rPr>
          <w:rFonts w:ascii="Arial" w:cs="Arial" w:eastAsia="Arial" w:hAnsi="Arial"/>
          <w:sz w:val="18"/>
          <w:szCs w:val="18"/>
          <w:u w:val="single" w:color="auto"/>
          <w:color w:val="FF0000"/>
          <w:strike w:val="1"/>
        </w:rPr>
        <w:t>Section 2.14(b)</w:t>
      </w:r>
      <w:r>
        <w:rPr>
          <w:rFonts w:ascii="Arial" w:cs="Arial" w:eastAsia="Arial" w:hAnsi="Arial"/>
          <w:sz w:val="18"/>
          <w:szCs w:val="18"/>
          <w:color w:val="FF0000"/>
          <w:strike w:val="1"/>
        </w:rPr>
        <w:t>.</w:t>
      </w:r>
    </w:p>
    <w:p>
      <w:pPr>
        <w:spacing w:after="0" w:line="185"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Royal Bank of Canada, in its capacity as administrative agent hereunder and under the other Loan Documents, and its successors in such capacity as provided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 means the Administrative Agent’s address and, as appropriate, account as set forth in </w:t>
      </w:r>
      <w:r>
        <w:rPr>
          <w:rFonts w:ascii="Arial" w:cs="Arial" w:eastAsia="Arial" w:hAnsi="Arial"/>
          <w:sz w:val="18"/>
          <w:szCs w:val="18"/>
          <w:u w:val="single" w:color="auto"/>
          <w:color w:val="auto"/>
        </w:rPr>
        <w:t>Section 9.02</w:t>
      </w:r>
      <w:r>
        <w:rPr>
          <w:rFonts w:ascii="Arial" w:cs="Arial" w:eastAsia="Arial" w:hAnsi="Arial"/>
          <w:sz w:val="18"/>
          <w:szCs w:val="18"/>
          <w:color w:val="auto"/>
        </w:rPr>
        <w:t>, or such other address or account as the Administrative Agent may from time to time notify to the Borrower and the Lenders.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Class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2</w:t>
      </w:r>
    </w:p>
    <w:p>
      <w:pPr>
        <w:sectPr>
          <w:pgSz w:w="11900" w:h="16838" w:orient="portrait"/>
          <w:cols w:equalWidth="0" w:num="1">
            <w:col w:w="11240"/>
          </w:cols>
          <w:pgMar w:left="320" w:top="1440" w:right="339" w:bottom="1440" w:gutter="0" w:footer="0" w:header="0"/>
        </w:sectPr>
      </w:pPr>
    </w:p>
    <w:bookmarkStart w:id="60" w:name="page61"/>
    <w:bookmarkEnd w:id="60"/>
    <w:p>
      <w:pPr>
        <w:spacing w:after="0" w:line="6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Controls or is Controlled by or is under common Control with the Person specified. For purposes of this Agreement and the other Loan Documents, Jefferies LLC and its Affiliates shall be deemed to be Affiliates of Jefferies Finance LLC and its Affiliates.</w:t>
      </w:r>
    </w:p>
    <w:p>
      <w:pPr>
        <w:spacing w:after="0" w:line="17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Debt Fund</w:t>
      </w:r>
      <w:r>
        <w:rPr>
          <w:rFonts w:ascii="Arial" w:cs="Arial" w:eastAsia="Arial" w:hAnsi="Arial"/>
          <w:sz w:val="18"/>
          <w:szCs w:val="18"/>
          <w:color w:val="auto"/>
        </w:rPr>
        <w:t>” means an Affiliated Lender that is a bona fide debt fund primarily engaged in, or that advises funds or other investment vehicles that are engaged in, making, purchasing, holding or otherwise investing in commercial loans, bonds or similar extensions of credit or securities in the ordinary course. “Affiliated Debt Fund” shall include Silver Lake Alpine.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Affiliated Lender</w:t>
      </w:r>
      <w:r>
        <w:rPr>
          <w:rFonts w:ascii="Arial" w:cs="Arial" w:eastAsia="Arial" w:hAnsi="Arial"/>
          <w:sz w:val="17"/>
          <w:szCs w:val="17"/>
          <w:color w:val="auto"/>
        </w:rPr>
        <w:t>” means, at any time, any Lender that is an Affiliate of Holdings (other than the Borrower or any of its Subsidiaries) at such</w:t>
      </w:r>
    </w:p>
    <w:p>
      <w:pPr>
        <w:spacing w:after="0"/>
        <w:rPr>
          <w:sz w:val="20"/>
          <w:szCs w:val="20"/>
          <w:color w:val="auto"/>
        </w:rPr>
      </w:pPr>
      <w:r>
        <w:rPr>
          <w:rFonts w:ascii="Arial" w:cs="Arial" w:eastAsia="Arial" w:hAnsi="Arial"/>
          <w:sz w:val="18"/>
          <w:szCs w:val="18"/>
          <w:color w:val="auto"/>
        </w:rPr>
        <w:t>time.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Lender Assignment and Assumption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9.04(g)(5)</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Lender Cap</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9.04(g)(3)</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the Administrative Agent, the Collateral Agent, each Lead Arranger, each Joint Bookrunner and any successors and assigns in such capacity, and “</w:t>
      </w:r>
      <w:r>
        <w:rPr>
          <w:rFonts w:ascii="Arial" w:cs="Arial" w:eastAsia="Arial" w:hAnsi="Arial"/>
          <w:sz w:val="18"/>
          <w:szCs w:val="18"/>
          <w:u w:val="single" w:color="auto"/>
          <w:color w:val="auto"/>
        </w:rPr>
        <w:t>Agents</w:t>
      </w:r>
      <w:r>
        <w:rPr>
          <w:rFonts w:ascii="Arial" w:cs="Arial" w:eastAsia="Arial" w:hAnsi="Arial"/>
          <w:sz w:val="18"/>
          <w:szCs w:val="18"/>
          <w:color w:val="auto"/>
        </w:rPr>
        <w:t>” means two or more of them.</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Currencies</w:t>
      </w:r>
      <w:r>
        <w:rPr>
          <w:rFonts w:ascii="Arial" w:cs="Arial" w:eastAsia="Arial" w:hAnsi="Arial"/>
          <w:sz w:val="18"/>
          <w:szCs w:val="18"/>
          <w:color w:val="auto"/>
        </w:rPr>
        <w:t>” means dollars and each Alternative Currency.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9.04(g)(3)</w:t>
      </w:r>
      <w:r>
        <w:rPr>
          <w:rFonts w:ascii="Arial" w:cs="Arial" w:eastAsia="Arial" w:hAnsi="Arial"/>
          <w:sz w:val="18"/>
          <w:szCs w:val="18"/>
          <w:color w:val="auto"/>
        </w:rPr>
        <w:t xml:space="preserve"> .</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provided in the preamble hereto.</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9.14(b)</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w:t>
      </w:r>
      <w:r>
        <w:rPr>
          <w:rFonts w:ascii="Arial" w:cs="Arial" w:eastAsia="Arial" w:hAnsi="Arial"/>
          <w:sz w:val="16"/>
          <w:szCs w:val="16"/>
          <w:color w:val="auto"/>
        </w:rPr>
        <w:t>e R</w:t>
      </w:r>
      <w:r>
        <w:rPr>
          <w:rFonts w:ascii="Arial" w:cs="Arial" w:eastAsia="Arial" w:hAnsi="Arial"/>
          <w:sz w:val="16"/>
          <w:szCs w:val="16"/>
          <w:u w:val="single" w:color="auto"/>
          <w:color w:val="auto"/>
        </w:rPr>
        <w:t>ate</w:t>
      </w:r>
      <w:r>
        <w:rPr>
          <w:rFonts w:ascii="Arial" w:cs="Arial" w:eastAsia="Arial" w:hAnsi="Arial"/>
          <w:sz w:val="16"/>
          <w:szCs w:val="16"/>
          <w:color w:val="auto"/>
        </w:rPr>
        <w:t>” means</w:t>
      </w:r>
      <w:r>
        <w:rPr>
          <w:rFonts w:ascii="Arial" w:cs="Arial" w:eastAsia="Arial" w:hAnsi="Arial"/>
          <w:sz w:val="16"/>
          <w:szCs w:val="16"/>
          <w:color w:val="FF0000"/>
          <w:strike w:val="1"/>
        </w:rPr>
        <w:t>,</w:t>
      </w:r>
      <w:r>
        <w:rPr>
          <w:rFonts w:ascii="Arial" w:cs="Arial" w:eastAsia="Arial" w:hAnsi="Arial"/>
          <w:sz w:val="16"/>
          <w:szCs w:val="16"/>
          <w:color w:val="auto"/>
        </w:rPr>
        <w:t xml:space="preserve"> for any day</w:t>
      </w:r>
      <w:r>
        <w:rPr>
          <w:rFonts w:ascii="Arial" w:cs="Arial" w:eastAsia="Arial" w:hAnsi="Arial"/>
          <w:sz w:val="16"/>
          <w:szCs w:val="16"/>
          <w:color w:val="FF0000"/>
          <w:strike w:val="1"/>
        </w:rPr>
        <w:t>,</w:t>
      </w:r>
      <w:r>
        <w:rPr>
          <w:rFonts w:ascii="Arial" w:cs="Arial" w:eastAsia="Arial" w:hAnsi="Arial"/>
          <w:sz w:val="16"/>
          <w:szCs w:val="16"/>
          <w:color w:val="auto"/>
        </w:rPr>
        <w:t xml:space="preserve"> a </w:t>
      </w:r>
      <w:r>
        <w:rPr>
          <w:rFonts w:ascii="Arial" w:cs="Arial" w:eastAsia="Arial" w:hAnsi="Arial"/>
          <w:sz w:val="16"/>
          <w:szCs w:val="16"/>
          <w:u w:val="single" w:color="auto"/>
          <w:color w:val="0000FF"/>
          <w:highlight w:val="lightGray"/>
        </w:rPr>
        <w:t>fluctuating</w:t>
      </w:r>
      <w:r>
        <w:rPr>
          <w:rFonts w:ascii="Arial" w:cs="Arial" w:eastAsia="Arial" w:hAnsi="Arial"/>
          <w:sz w:val="16"/>
          <w:szCs w:val="16"/>
          <w:color w:val="auto"/>
        </w:rPr>
        <w:t xml:space="preserve"> rate per annum equal to the </w:t>
      </w:r>
      <w:r>
        <w:rPr>
          <w:rFonts w:ascii="Arial" w:cs="Arial" w:eastAsia="Arial" w:hAnsi="Arial"/>
          <w:sz w:val="16"/>
          <w:szCs w:val="16"/>
          <w:color w:val="FF0000"/>
          <w:strike w:val="1"/>
        </w:rPr>
        <w:t>greatest</w:t>
      </w:r>
      <w:r>
        <w:rPr>
          <w:rFonts w:ascii="Arial" w:cs="Arial" w:eastAsia="Arial" w:hAnsi="Arial"/>
          <w:sz w:val="16"/>
          <w:szCs w:val="16"/>
          <w:u w:val="single" w:color="auto"/>
          <w:color w:val="0000FF"/>
          <w:highlight w:val="lightGray"/>
        </w:rPr>
        <w:t>highest</w:t>
      </w:r>
      <w:r>
        <w:rPr>
          <w:rFonts w:ascii="Arial" w:cs="Arial" w:eastAsia="Arial" w:hAnsi="Arial"/>
          <w:sz w:val="16"/>
          <w:szCs w:val="16"/>
          <w:color w:val="auto"/>
        </w:rPr>
        <w:t xml:space="preserve"> of (a) </w:t>
      </w:r>
      <w:r>
        <w:rPr>
          <w:rFonts w:ascii="Arial" w:cs="Arial" w:eastAsia="Arial" w:hAnsi="Arial"/>
          <w:sz w:val="16"/>
          <w:szCs w:val="16"/>
          <w:u w:val="single" w:color="auto"/>
          <w:color w:val="0000FF"/>
          <w:highlight w:val="lightGray"/>
        </w:rPr>
        <w:t>the NYFRB</w:t>
      </w:r>
      <w:r>
        <w:rPr>
          <w:rFonts w:ascii="Arial" w:cs="Arial" w:eastAsia="Arial" w:hAnsi="Arial"/>
          <w:sz w:val="16"/>
          <w:szCs w:val="16"/>
          <w:color w:val="auto"/>
        </w:rPr>
        <w:t xml:space="preserve"> </w:t>
      </w:r>
      <w:r>
        <w:rPr>
          <w:rFonts w:ascii="Arial" w:cs="Arial" w:eastAsia="Arial" w:hAnsi="Arial"/>
          <w:sz w:val="16"/>
          <w:szCs w:val="16"/>
          <w:color w:val="0000FF"/>
          <w:highlight w:val="lightGray"/>
        </w:rPr>
        <w:t>Rate plus 1</w:t>
      </w:r>
      <w:r>
        <w:rPr>
          <w:rFonts w:ascii="Arial" w:cs="Arial" w:eastAsia="Arial" w:hAnsi="Arial"/>
          <w:sz w:val="16"/>
          <w:szCs w:val="16"/>
          <w:u w:val="single" w:color="auto"/>
          <w:color w:val="0000FF"/>
          <w:highlight w:val="lightGray"/>
        </w:rPr>
        <w:t>/2 of 1%, (b)</w:t>
      </w:r>
      <w:r>
        <w:rPr>
          <w:rFonts w:ascii="Arial" w:cs="Arial" w:eastAsia="Arial" w:hAnsi="Arial"/>
          <w:sz w:val="16"/>
          <w:szCs w:val="16"/>
          <w:color w:val="auto"/>
        </w:rPr>
        <w:t xml:space="preserve"> the Prime Rate in effect </w:t>
      </w:r>
      <w:r>
        <w:rPr>
          <w:rFonts w:ascii="Arial" w:cs="Arial" w:eastAsia="Arial" w:hAnsi="Arial"/>
          <w:sz w:val="16"/>
          <w:szCs w:val="16"/>
          <w:color w:val="FF0000"/>
          <w:strike w:val="1"/>
        </w:rPr>
        <w:t>on</w:t>
      </w:r>
      <w:r>
        <w:rPr>
          <w:rFonts w:ascii="Arial" w:cs="Arial" w:eastAsia="Arial" w:hAnsi="Arial"/>
          <w:sz w:val="16"/>
          <w:szCs w:val="16"/>
          <w:u w:val="single" w:color="auto"/>
          <w:color w:val="0000FF"/>
          <w:highlight w:val="lightGray"/>
        </w:rPr>
        <w:t>for</w:t>
      </w:r>
      <w:r>
        <w:rPr>
          <w:rFonts w:ascii="Arial" w:cs="Arial" w:eastAsia="Arial" w:hAnsi="Arial"/>
          <w:sz w:val="16"/>
          <w:szCs w:val="16"/>
          <w:color w:val="auto"/>
        </w:rPr>
        <w:t xml:space="preserve"> such day, (</w:t>
      </w:r>
      <w:r>
        <w:rPr>
          <w:rFonts w:ascii="Arial" w:cs="Arial" w:eastAsia="Arial" w:hAnsi="Arial"/>
          <w:sz w:val="16"/>
          <w:szCs w:val="16"/>
          <w:color w:val="FF0000"/>
          <w:strike w:val="1"/>
        </w:rPr>
        <w:t>b) the NYFRB Rate in effect on such day plus ½ of 1% and (</w:t>
      </w:r>
      <w:r>
        <w:rPr>
          <w:rFonts w:ascii="Arial" w:cs="Arial" w:eastAsia="Arial" w:hAnsi="Arial"/>
          <w:sz w:val="16"/>
          <w:szCs w:val="16"/>
          <w:color w:val="auto"/>
        </w:rPr>
        <w:t xml:space="preserve">c) the Adjusted </w:t>
      </w:r>
      <w:r>
        <w:rPr>
          <w:rFonts w:ascii="Arial" w:cs="Arial" w:eastAsia="Arial" w:hAnsi="Arial"/>
          <w:sz w:val="16"/>
          <w:szCs w:val="16"/>
          <w:color w:val="FF0000"/>
          <w:strike w:val="1"/>
        </w:rPr>
        <w:t>LIBO Rate</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for a one month</w:t>
      </w:r>
    </w:p>
    <w:p>
      <w:pPr>
        <w:jc w:val="both"/>
        <w:spacing w:after="0" w:line="234" w:lineRule="auto"/>
        <w:rPr>
          <w:sz w:val="20"/>
          <w:szCs w:val="20"/>
          <w:color w:val="auto"/>
        </w:rPr>
      </w:pPr>
      <w:r>
        <w:rPr>
          <w:rFonts w:ascii="Arial" w:cs="Arial" w:eastAsia="Arial" w:hAnsi="Arial"/>
          <w:sz w:val="16"/>
          <w:szCs w:val="16"/>
          <w:color w:val="auto"/>
        </w:rPr>
        <w:t xml:space="preserve">Interest Period </w:t>
      </w:r>
      <w:r>
        <w:rPr>
          <w:rFonts w:ascii="Arial" w:cs="Arial" w:eastAsia="Arial" w:hAnsi="Arial"/>
          <w:sz w:val="16"/>
          <w:szCs w:val="16"/>
          <w:color w:val="FF0000"/>
          <w:strike w:val="1"/>
        </w:rPr>
        <w:t>on</w:t>
      </w:r>
      <w:r>
        <w:rPr>
          <w:rFonts w:ascii="Arial" w:cs="Arial" w:eastAsia="Arial" w:hAnsi="Arial"/>
          <w:sz w:val="16"/>
          <w:szCs w:val="16"/>
          <w:u w:val="single" w:color="auto"/>
          <w:color w:val="0000FF"/>
          <w:highlight w:val="lightGray"/>
        </w:rPr>
        <w:t>as published two U.S.</w:t>
      </w:r>
      <w:r>
        <w:rPr>
          <w:rFonts w:ascii="Arial" w:cs="Arial" w:eastAsia="Arial" w:hAnsi="Arial"/>
          <w:sz w:val="16"/>
          <w:szCs w:val="16"/>
          <w:color w:val="auto"/>
        </w:rPr>
        <w:t xml:space="preserve"> </w:t>
      </w:r>
      <w:r>
        <w:rPr>
          <w:rFonts w:ascii="Arial" w:cs="Arial" w:eastAsia="Arial" w:hAnsi="Arial"/>
          <w:sz w:val="16"/>
          <w:szCs w:val="16"/>
          <w:color w:val="0000FF"/>
          <w:highlight w:val="lightGray"/>
        </w:rPr>
        <w:t>Government Securities Busin</w:t>
      </w:r>
      <w:r>
        <w:rPr>
          <w:rFonts w:ascii="Arial" w:cs="Arial" w:eastAsia="Arial" w:hAnsi="Arial"/>
          <w:sz w:val="16"/>
          <w:szCs w:val="16"/>
          <w:u w:val="single" w:color="auto"/>
          <w:color w:val="0000FF"/>
          <w:highlight w:val="lightGray"/>
        </w:rPr>
        <w:t>ess Days prior to</w:t>
      </w:r>
      <w:r>
        <w:rPr>
          <w:rFonts w:ascii="Arial" w:cs="Arial" w:eastAsia="Arial" w:hAnsi="Arial"/>
          <w:sz w:val="16"/>
          <w:szCs w:val="16"/>
          <w:color w:val="auto"/>
        </w:rPr>
        <w:t xml:space="preserve"> such day (or if such day is not a </w:t>
      </w:r>
      <w:r>
        <w:rPr>
          <w:rFonts w:ascii="Arial" w:cs="Arial" w:eastAsia="Arial" w:hAnsi="Arial"/>
          <w:sz w:val="16"/>
          <w:szCs w:val="16"/>
          <w:u w:val="single" w:color="auto"/>
          <w:color w:val="0000FF"/>
          <w:highlight w:val="lightGray"/>
        </w:rPr>
        <w:t>U.S. Government Securities</w:t>
      </w:r>
      <w:r>
        <w:rPr>
          <w:rFonts w:ascii="Arial" w:cs="Arial" w:eastAsia="Arial" w:hAnsi="Arial"/>
          <w:sz w:val="16"/>
          <w:szCs w:val="16"/>
          <w:color w:val="auto"/>
        </w:rPr>
        <w:t xml:space="preserve"> Business Day, the immediately preceding </w:t>
      </w:r>
      <w:r>
        <w:rPr>
          <w:rFonts w:ascii="Arial" w:cs="Arial" w:eastAsia="Arial" w:hAnsi="Arial"/>
          <w:sz w:val="16"/>
          <w:szCs w:val="16"/>
          <w:color w:val="0000FF"/>
          <w:highlight w:val="lightGray"/>
        </w:rPr>
        <w:t>U.S.</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Government Securities</w:t>
      </w:r>
      <w:r>
        <w:rPr>
          <w:rFonts w:ascii="Arial" w:cs="Arial" w:eastAsia="Arial" w:hAnsi="Arial"/>
          <w:sz w:val="16"/>
          <w:szCs w:val="16"/>
          <w:color w:val="auto"/>
        </w:rPr>
        <w:t xml:space="preserve"> Business Day) plus </w:t>
      </w:r>
      <w:r>
        <w:rPr>
          <w:rFonts w:ascii="Arial" w:cs="Arial" w:eastAsia="Arial" w:hAnsi="Arial"/>
          <w:sz w:val="16"/>
          <w:szCs w:val="16"/>
          <w:color w:val="FF0000"/>
          <w:strike w:val="1"/>
        </w:rPr>
        <w:t>1</w:t>
      </w:r>
      <w:r>
        <w:rPr>
          <w:rFonts w:ascii="Arial" w:cs="Arial" w:eastAsia="Arial" w:hAnsi="Arial"/>
          <w:sz w:val="16"/>
          <w:szCs w:val="16"/>
          <w:u w:val="single" w:color="auto"/>
          <w:color w:val="0000FF"/>
          <w:highlight w:val="lightGray"/>
        </w:rPr>
        <w:t>1.00% and (d) 1.00</w:t>
      </w:r>
      <w:r>
        <w:rPr>
          <w:rFonts w:ascii="Arial" w:cs="Arial" w:eastAsia="Arial" w:hAnsi="Arial"/>
          <w:sz w:val="16"/>
          <w:szCs w:val="16"/>
          <w:color w:val="auto"/>
        </w:rPr>
        <w:t xml:space="preserve">%; provided that for the purpose of this definition, the Adjusted </w:t>
      </w:r>
      <w:r>
        <w:rPr>
          <w:rFonts w:ascii="Arial" w:cs="Arial" w:eastAsia="Arial" w:hAnsi="Arial"/>
          <w:sz w:val="16"/>
          <w:szCs w:val="16"/>
          <w:color w:val="FF0000"/>
          <w:strike w:val="1"/>
        </w:rPr>
        <w:t>LIBO Rate</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for any day shall be based on the </w:t>
      </w:r>
      <w:r>
        <w:rPr>
          <w:rFonts w:ascii="Arial" w:cs="Arial" w:eastAsia="Arial" w:hAnsi="Arial"/>
          <w:sz w:val="16"/>
          <w:szCs w:val="16"/>
          <w:color w:val="FF0000"/>
          <w:strike w:val="1"/>
        </w:rPr>
        <w:t>LIBO Screen Rate (or if the LIBO Screen Rate is not available for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FF0000"/>
          <w:strike w:val="1"/>
        </w:rPr>
        <w:t>one month Interest Period, the LIBO Interpolated Rate)</w:t>
      </w:r>
      <w:r>
        <w:rPr>
          <w:rFonts w:ascii="Arial" w:cs="Arial" w:eastAsia="Arial" w:hAnsi="Arial"/>
          <w:sz w:val="16"/>
          <w:szCs w:val="16"/>
          <w:color w:val="0000FF"/>
          <w:highlight w:val="lightGray"/>
        </w:rPr>
        <w:t>Term SOFR Reference Rate</w:t>
      </w:r>
      <w:r>
        <w:rPr>
          <w:rFonts w:ascii="Arial" w:cs="Arial" w:eastAsia="Arial" w:hAnsi="Arial"/>
          <w:sz w:val="16"/>
          <w:szCs w:val="16"/>
          <w:color w:val="FF0000"/>
        </w:rPr>
        <w:t xml:space="preserve"> </w:t>
      </w:r>
      <w:r>
        <w:rPr>
          <w:rFonts w:ascii="Arial" w:cs="Arial" w:eastAsia="Arial" w:hAnsi="Arial"/>
          <w:sz w:val="16"/>
          <w:szCs w:val="16"/>
          <w:color w:val="000000"/>
        </w:rPr>
        <w:t>at approximately</w:t>
      </w:r>
      <w:r>
        <w:rPr>
          <w:rFonts w:ascii="Arial" w:cs="Arial" w:eastAsia="Arial" w:hAnsi="Arial"/>
          <w:sz w:val="16"/>
          <w:szCs w:val="16"/>
          <w:color w:val="FF0000"/>
        </w:rPr>
        <w:t xml:space="preserve"> </w:t>
      </w:r>
      <w:r>
        <w:rPr>
          <w:rFonts w:ascii="Arial" w:cs="Arial" w:eastAsia="Arial" w:hAnsi="Arial"/>
          <w:sz w:val="16"/>
          <w:szCs w:val="16"/>
          <w:color w:val="FF0000"/>
          <w:strike w:val="1"/>
        </w:rPr>
        <w:t>11:00 a.m. London</w:t>
      </w:r>
      <w:r>
        <w:rPr>
          <w:rFonts w:ascii="Arial" w:cs="Arial" w:eastAsia="Arial" w:hAnsi="Arial"/>
          <w:sz w:val="16"/>
          <w:szCs w:val="16"/>
          <w:color w:val="0000FF"/>
          <w:highlight w:val="lightGray"/>
        </w:rPr>
        <w:t>5:00 a.m. Chicago</w:t>
      </w:r>
      <w:r>
        <w:rPr>
          <w:rFonts w:ascii="Arial" w:cs="Arial" w:eastAsia="Arial" w:hAnsi="Arial"/>
          <w:sz w:val="16"/>
          <w:szCs w:val="16"/>
          <w:color w:val="FF0000"/>
        </w:rPr>
        <w:t xml:space="preserve"> </w:t>
      </w:r>
      <w:r>
        <w:rPr>
          <w:rFonts w:ascii="Arial" w:cs="Arial" w:eastAsia="Arial" w:hAnsi="Arial"/>
          <w:sz w:val="16"/>
          <w:szCs w:val="16"/>
          <w:color w:val="000000"/>
        </w:rPr>
        <w:t>time on such</w:t>
      </w:r>
      <w:r>
        <w:rPr>
          <w:rFonts w:ascii="Arial" w:cs="Arial" w:eastAsia="Arial" w:hAnsi="Arial"/>
          <w:sz w:val="16"/>
          <w:szCs w:val="16"/>
          <w:color w:val="FF0000"/>
        </w:rPr>
        <w:t xml:space="preserve"> </w:t>
      </w:r>
      <w:r>
        <w:rPr>
          <w:rFonts w:ascii="Arial" w:cs="Arial" w:eastAsia="Arial" w:hAnsi="Arial"/>
          <w:sz w:val="16"/>
          <w:szCs w:val="16"/>
          <w:color w:val="000000"/>
        </w:rPr>
        <w:t xml:space="preserve">day </w:t>
      </w:r>
      <w:r>
        <w:rPr>
          <w:rFonts w:ascii="Arial" w:cs="Arial" w:eastAsia="Arial" w:hAnsi="Arial"/>
          <w:sz w:val="16"/>
          <w:szCs w:val="16"/>
          <w:color w:val="0000FF"/>
        </w:rPr>
        <w:t>(or any amended public</w:t>
      </w:r>
      <w:r>
        <w:rPr>
          <w:rFonts w:ascii="Arial" w:cs="Arial" w:eastAsia="Arial" w:hAnsi="Arial"/>
          <w:sz w:val="16"/>
          <w:szCs w:val="16"/>
          <w:u w:val="single" w:color="auto"/>
          <w:color w:val="0000FF"/>
        </w:rPr>
        <w:t>ation time for the Term SOFR Reference Rate, as specified by the CME Term SOFR Administrator in the Term S</w:t>
      </w:r>
      <w:r>
        <w:rPr>
          <w:rFonts w:ascii="Arial" w:cs="Arial" w:eastAsia="Arial" w:hAnsi="Arial"/>
          <w:sz w:val="16"/>
          <w:szCs w:val="16"/>
          <w:color w:val="000000"/>
        </w:rPr>
        <w:t xml:space="preserve"> </w:t>
      </w:r>
      <w:r>
        <w:rPr>
          <w:rFonts w:ascii="Arial" w:cs="Arial" w:eastAsia="Arial" w:hAnsi="Arial"/>
          <w:sz w:val="16"/>
          <w:szCs w:val="16"/>
          <w:color w:val="0000FF"/>
        </w:rPr>
        <w:t>OFR</w:t>
      </w:r>
      <w:r>
        <w:rPr>
          <w:rFonts w:ascii="Arial" w:cs="Arial" w:eastAsia="Arial" w:hAnsi="Arial"/>
          <w:sz w:val="16"/>
          <w:szCs w:val="16"/>
          <w:color w:val="000000"/>
        </w:rPr>
        <w:t xml:space="preserve"> </w:t>
      </w:r>
      <w:r>
        <w:rPr>
          <w:rFonts w:ascii="Arial" w:cs="Arial" w:eastAsia="Arial" w:hAnsi="Arial"/>
          <w:sz w:val="16"/>
          <w:szCs w:val="16"/>
          <w:u w:val="single" w:color="auto"/>
          <w:color w:val="0000FF"/>
          <w:highlight w:val="lightGray"/>
        </w:rPr>
        <w:t>Reference Rate methodology)</w:t>
      </w:r>
      <w:r>
        <w:rPr>
          <w:rFonts w:ascii="Arial" w:cs="Arial" w:eastAsia="Arial" w:hAnsi="Arial"/>
          <w:sz w:val="16"/>
          <w:szCs w:val="16"/>
          <w:color w:val="000000"/>
        </w:rPr>
        <w:t>. Any change in the Alternate Base Rate due to a change in the Prime Rate, the NYFRB Rate or the Adjusted</w:t>
      </w:r>
      <w:r>
        <w:rPr>
          <w:rFonts w:ascii="Arial" w:cs="Arial" w:eastAsia="Arial" w:hAnsi="Arial"/>
          <w:sz w:val="16"/>
          <w:szCs w:val="16"/>
          <w:color w:val="0000FF"/>
          <w:highlight w:val="lightGray"/>
        </w:rPr>
        <w:t xml:space="preserve"> </w:t>
      </w:r>
      <w:r>
        <w:rPr>
          <w:rFonts w:ascii="Arial" w:cs="Arial" w:eastAsia="Arial" w:hAnsi="Arial"/>
          <w:sz w:val="16"/>
          <w:szCs w:val="16"/>
          <w:color w:val="FF0000"/>
          <w:strike w:val="1"/>
        </w:rPr>
        <w:t>LIBO Rate</w:t>
      </w:r>
      <w:r>
        <w:rPr>
          <w:rFonts w:ascii="Arial" w:cs="Arial" w:eastAsia="Arial" w:hAnsi="Arial"/>
          <w:sz w:val="16"/>
          <w:szCs w:val="16"/>
          <w:u w:val="single" w:color="auto"/>
          <w:color w:val="0000FF"/>
          <w:highlight w:val="lightGray"/>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-230505</wp:posOffset>
            </wp:positionV>
            <wp:extent cx="696976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969760" cy="12890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u w:val="single" w:color="auto"/>
          <w:color w:val="0000FF"/>
          <w:highlight w:val="lightGray"/>
        </w:rPr>
        <w:t>SOFR</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shall be effective from and including the effective date of such change in the Prime Rate, the NYFRB Rate or the Adjusted</w:t>
      </w:r>
      <w:r>
        <w:rPr>
          <w:rFonts w:ascii="Arial" w:cs="Arial" w:eastAsia="Arial" w:hAnsi="Arial"/>
          <w:sz w:val="16"/>
          <w:szCs w:val="16"/>
          <w:color w:val="0000FF"/>
          <w:highlight w:val="lightGray"/>
        </w:rPr>
        <w:t xml:space="preserve"> </w:t>
      </w:r>
      <w:r>
        <w:rPr>
          <w:rFonts w:ascii="Arial" w:cs="Arial" w:eastAsia="Arial" w:hAnsi="Arial"/>
          <w:sz w:val="16"/>
          <w:szCs w:val="16"/>
          <w:color w:val="FF0000"/>
          <w:strike w:val="1"/>
        </w:rPr>
        <w:t>LIBO Rate</w:t>
      </w:r>
      <w:r>
        <w:rPr>
          <w:rFonts w:ascii="Arial" w:cs="Arial" w:eastAsia="Arial" w:hAnsi="Arial"/>
          <w:sz w:val="16"/>
          <w:szCs w:val="16"/>
          <w:color w:val="0000FF"/>
          <w:highlight w:val="lightGray"/>
        </w:rPr>
        <w:t>Term SOFR</w:t>
      </w:r>
      <w:r>
        <w:rPr>
          <w:rFonts w:ascii="Arial" w:cs="Arial" w:eastAsia="Arial" w:hAnsi="Arial"/>
          <w:sz w:val="16"/>
          <w:szCs w:val="16"/>
          <w:color w:val="000000"/>
        </w:rPr>
        <w:t>,</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respectively. </w:t>
      </w:r>
      <w:r>
        <w:rPr>
          <w:rFonts w:ascii="Arial" w:cs="Arial" w:eastAsia="Arial" w:hAnsi="Arial"/>
          <w:sz w:val="16"/>
          <w:szCs w:val="16"/>
          <w:color w:val="0000FF"/>
          <w:highlight w:val="lightGray"/>
        </w:rPr>
        <w:t>If the Alternate Base Rate is being used as an alternate rate of inte</w:t>
      </w:r>
      <w:r>
        <w:rPr>
          <w:rFonts w:ascii="Arial" w:cs="Arial" w:eastAsia="Arial" w:hAnsi="Arial"/>
          <w:sz w:val="16"/>
          <w:szCs w:val="16"/>
          <w:u w:val="single" w:color="auto"/>
          <w:color w:val="0000FF"/>
          <w:highlight w:val="lightGray"/>
        </w:rPr>
        <w:t>rest pursuant to Section 2.14 (for</w:t>
      </w:r>
      <w:r>
        <w:rPr>
          <w:rFonts w:ascii="Arial" w:cs="Arial" w:eastAsia="Arial" w:hAnsi="Arial"/>
          <w:sz w:val="16"/>
          <w:szCs w:val="16"/>
          <w:color w:val="000000"/>
        </w:rPr>
        <w:t xml:space="preserve"> </w:t>
      </w:r>
      <w:r>
        <w:rPr>
          <w:rFonts w:ascii="Arial" w:cs="Arial" w:eastAsia="Arial" w:hAnsi="Arial"/>
          <w:sz w:val="16"/>
          <w:szCs w:val="16"/>
          <w:color w:val="0000FF"/>
          <w:highlight w:val="lightGray"/>
        </w:rPr>
        <w:t>the avoidance of doubt, only until the</w:t>
      </w:r>
      <w:r>
        <w:rPr>
          <w:rFonts w:ascii="Arial" w:cs="Arial" w:eastAsia="Arial" w:hAnsi="Arial"/>
          <w:sz w:val="16"/>
          <w:szCs w:val="16"/>
          <w:color w:val="000000"/>
        </w:rPr>
        <w:t xml:space="preserve"> </w:t>
      </w:r>
      <w:r>
        <w:rPr>
          <w:rFonts w:ascii="Arial" w:cs="Arial" w:eastAsia="Arial" w:hAnsi="Arial"/>
          <w:sz w:val="16"/>
          <w:szCs w:val="16"/>
          <w:u w:val="single" w:color="auto"/>
          <w:color w:val="0000FF"/>
          <w:highlight w:val="lightGray"/>
        </w:rPr>
        <w:t>Benchmark Replacement has been determined pursuant to Section 2.14(b)), then</w:t>
      </w:r>
      <w:r>
        <w:rPr>
          <w:rFonts w:ascii="Arial" w:cs="Arial" w:eastAsia="Arial" w:hAnsi="Arial"/>
          <w:sz w:val="16"/>
          <w:szCs w:val="16"/>
          <w:color w:val="0000FF"/>
          <w:highlight w:val="lightGray"/>
        </w:rPr>
        <w:t xml:space="preserve"> </w:t>
      </w:r>
      <w:r>
        <w:rPr>
          <w:rFonts w:ascii="Arial" w:cs="Arial" w:eastAsia="Arial" w:hAnsi="Arial"/>
          <w:sz w:val="16"/>
          <w:szCs w:val="16"/>
          <w:color w:val="008000"/>
        </w:rPr>
        <w:t>the Alternate Base Rate shall be</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the greater of clauses (a) and (b)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-7620</wp:posOffset>
            </wp:positionV>
            <wp:extent cx="15608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0000FF"/>
          <w:highlight w:val="lightGray"/>
        </w:rPr>
        <w:t xml:space="preserve">and shall be determined without reference to clause (c) above. For the avoidance of doubt, (x </w:t>
      </w:r>
      <w:r>
        <w:rPr>
          <w:rFonts w:ascii="Arial" w:cs="Arial" w:eastAsia="Arial" w:hAnsi="Arial"/>
          <w:sz w:val="16"/>
          <w:szCs w:val="16"/>
          <w:color w:val="008000"/>
        </w:rPr>
        <w:t>) with respect to the Revolving Credit Fac</w:t>
      </w:r>
      <w:r>
        <w:rPr>
          <w:rFonts w:ascii="Arial" w:cs="Arial" w:eastAsia="Arial" w:hAnsi="Arial"/>
          <w:sz w:val="16"/>
          <w:szCs w:val="16"/>
          <w:u w:val="single" w:color="auto"/>
          <w:color w:val="008000"/>
        </w:rPr>
        <w:t>ility,</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if the Alternate</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Base Rate is l</w:t>
      </w:r>
      <w:r>
        <w:rPr>
          <w:rFonts w:ascii="Arial" w:cs="Arial" w:eastAsia="Arial" w:hAnsi="Arial"/>
          <w:sz w:val="16"/>
          <w:szCs w:val="16"/>
          <w:color w:val="0000FF"/>
          <w:highlight w:val="lightGray"/>
        </w:rPr>
        <w:t>ess than 1.00% per annum, such rate with respect to the Revolving Loans shall be deemed to be 1.00% per annum and (y</w:t>
      </w:r>
      <w:r>
        <w:rPr>
          <w:rFonts w:ascii="Arial" w:cs="Arial" w:eastAsia="Arial" w:hAnsi="Arial"/>
          <w:sz w:val="16"/>
          <w:szCs w:val="16"/>
          <w:color w:val="008000"/>
        </w:rPr>
        <w:t>) with respect to the</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8000"/>
        </w:rPr>
        <w:t xml:space="preserve">Term Loans, </w:t>
      </w:r>
      <w:r>
        <w:rPr>
          <w:rFonts w:ascii="Arial" w:cs="Arial" w:eastAsia="Arial" w:hAnsi="Arial"/>
          <w:sz w:val="16"/>
          <w:szCs w:val="16"/>
          <w:u w:val="single" w:color="auto"/>
          <w:color w:val="0000FF"/>
          <w:highlight w:val="lightGray"/>
        </w:rPr>
        <w:t>if the Alternate Base Rate is less than 1.50% per annum, then such rate with respect to the Term Loans shall be deemed to be 1.50% per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highlight w:val="lightGray"/>
        </w:rPr>
        <w:t>annum.</w:t>
      </w:r>
    </w:p>
    <w:p>
      <w:pPr>
        <w:spacing w:after="0" w:line="16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xml:space="preserve">” means each currency (other than dollars) that is approved in accordance with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each Alternative Currency, such requested currency is an Eligible Currency.</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w:t>
      </w:r>
      <w:r>
        <w:rPr>
          <w:rFonts w:ascii="Arial" w:cs="Arial" w:eastAsia="Arial" w:hAnsi="Arial"/>
          <w:sz w:val="18"/>
          <w:szCs w:val="18"/>
          <w:color w:val="auto"/>
        </w:rPr>
        <w:t>” means Amendment No. 1, dated as of November 23, 2021, among Holdings, the Borrower, the Lenders party thereto and the Administrative Agent.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 means November 23, 2021, the date on which all conditions precedent set forth in Section 5 of Amendment No. 1 are satisfied.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Lead Arrangers</w:t>
      </w:r>
      <w:r>
        <w:rPr>
          <w:rFonts w:ascii="Arial" w:cs="Arial" w:eastAsia="Arial" w:hAnsi="Arial"/>
          <w:sz w:val="18"/>
          <w:szCs w:val="18"/>
          <w:color w:val="auto"/>
        </w:rPr>
        <w:t>” has the meaning provided in Amendment No.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3</w:t>
      </w:r>
    </w:p>
    <w:p>
      <w:pPr>
        <w:sectPr>
          <w:pgSz w:w="11900" w:h="16838" w:orient="portrait"/>
          <w:cols w:equalWidth="0" w:num="1">
            <w:col w:w="11240"/>
          </w:cols>
          <w:pgMar w:left="320" w:top="1440" w:right="339" w:bottom="1440" w:gutter="0" w:footer="0" w:header="0"/>
        </w:sectPr>
      </w:pPr>
    </w:p>
    <w:bookmarkStart w:id="61" w:name="page62"/>
    <w:bookmarkEnd w:id="61"/>
    <w:p>
      <w:pPr>
        <w:spacing w:after="0" w:line="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Amendment No. 1 Reaffirmation Agreement</w:t>
      </w:r>
      <w:r>
        <w:rPr>
          <w:rFonts w:ascii="Arial" w:cs="Arial" w:eastAsia="Arial" w:hAnsi="Arial"/>
          <w:sz w:val="17"/>
          <w:szCs w:val="17"/>
          <w:color w:val="auto"/>
        </w:rPr>
        <w:t>” means the Amendment No. 1 Reaffirmation Agreement, by and among the Administrative Agent, the Collateral Agent, Holdings, the Borrower and each of the Subsidiary Loan Parties, dated as of the Amendment No. 1 Effective Date.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highlight w:val="lightGray"/>
        </w:rPr>
        <w:t>“Amendment No. 2” means Amendment No. 2, dated as of June 26, 2023, among the Borrower and the Administrative Agent.</w:t>
      </w:r>
    </w:p>
    <w:p>
      <w:pPr>
        <w:spacing w:after="0" w:line="19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w:t>
      </w:r>
      <w:r>
        <w:rPr>
          <w:rFonts w:ascii="Arial" w:cs="Arial" w:eastAsia="Arial" w:hAnsi="Arial"/>
          <w:sz w:val="18"/>
          <w:szCs w:val="18"/>
          <w:color w:val="auto"/>
        </w:rPr>
        <w:t>” means, with respect to any payment to be made to the Administrative Agent hereunder, the account specified by the Administrative Agent from time to time for the purpose of receiving payments of such type.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Creditor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9.14(b)</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Discount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2.11(a)(ii)(C)</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Applicable Fronting Exposure</w:t>
      </w:r>
      <w:r>
        <w:rPr>
          <w:rFonts w:ascii="Arial" w:cs="Arial" w:eastAsia="Arial" w:hAnsi="Arial"/>
          <w:sz w:val="16"/>
          <w:szCs w:val="16"/>
          <w:color w:val="auto"/>
        </w:rPr>
        <w:t>” means, with respect to any Person that is an Issuing Bank at any time, the sum of (a) the Dollar Equivalent of the aggregate amount of all Letters of Credit issued by such Person in its capacity as an Issuing Bank (if applicable) that remains available for drawing at such</w:t>
      </w:r>
    </w:p>
    <w:p>
      <w:pPr>
        <w:jc w:val="both"/>
        <w:spacing w:after="0" w:line="226" w:lineRule="auto"/>
        <w:rPr>
          <w:sz w:val="20"/>
          <w:szCs w:val="20"/>
          <w:color w:val="auto"/>
        </w:rPr>
      </w:pPr>
      <w:r>
        <w:rPr>
          <w:rFonts w:ascii="Arial" w:cs="Arial" w:eastAsia="Arial" w:hAnsi="Arial"/>
          <w:sz w:val="18"/>
          <w:szCs w:val="18"/>
          <w:color w:val="auto"/>
        </w:rPr>
        <w:t>time and (b) the Dollar Equivalent of the aggregate amount of all LC Disbursements made by such Person in its capacity as an Issuing Bank (if applicable) that have not yet been reimbursed by or on behalf of the Borrower at such time.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means, at any time with respect to any Revolving Lender, the percentage (carried out to the ninth decimal place) of the</w:t>
      </w:r>
    </w:p>
    <w:p>
      <w:pPr>
        <w:spacing w:after="0" w:line="21"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 xml:space="preserve">aggregate Revolving Commitments represented by such Lender’s Revolving Commitment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any time any Revolving Lender shall be a Defaulting Lender, “Applicable Percentage” shall mean the percentage (carried out to the ninth decimal place) of the total Revolving Commitments (disregarding any such Defaulting Lender’s Revolving Commitment) represented by such Lender’s Revolving Commitment. If the</w:t>
      </w:r>
    </w:p>
    <w:p>
      <w:pPr>
        <w:jc w:val="both"/>
        <w:spacing w:after="0" w:line="218" w:lineRule="auto"/>
        <w:rPr>
          <w:sz w:val="20"/>
          <w:szCs w:val="20"/>
          <w:color w:val="auto"/>
        </w:rPr>
      </w:pPr>
      <w:r>
        <w:rPr>
          <w:rFonts w:ascii="Arial" w:cs="Arial" w:eastAsia="Arial" w:hAnsi="Arial"/>
          <w:sz w:val="18"/>
          <w:szCs w:val="18"/>
          <w:color w:val="auto"/>
        </w:rPr>
        <w:t>Revolving Commitments have terminated or expired, the Applicable Percentages shall be determined based upon the Revolving Commitments most recently in effect, giving effect to any assignments pursuant to this Agreement and to any Lender’s status as a Defaulting Lender at the time of determination.</w:t>
      </w:r>
    </w:p>
    <w:p>
      <w:pPr>
        <w:spacing w:after="0" w:line="17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Applicable Rate</w:t>
      </w:r>
      <w:r>
        <w:rPr>
          <w:rFonts w:ascii="Arial" w:cs="Arial" w:eastAsia="Arial" w:hAnsi="Arial"/>
          <w:sz w:val="16"/>
          <w:szCs w:val="16"/>
          <w:color w:val="auto"/>
        </w:rPr>
        <w:t xml:space="preserve">” means, for any day, (a) with respect to any Term Loan (1) 2.25% per annum, in the case of an ABR Loan, or (2) 3.25% per annum, in the case of a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Loan and (b) with respect to any Revolving Loan (1) 2.25% per annum, in the case of an ABR Loan, or</w:t>
      </w:r>
    </w:p>
    <w:p>
      <w:pPr>
        <w:spacing w:after="0" w:line="1" w:lineRule="exact"/>
        <w:rPr>
          <w:sz w:val="20"/>
          <w:szCs w:val="20"/>
          <w:color w:val="auto"/>
        </w:rPr>
      </w:pPr>
    </w:p>
    <w:p>
      <w:pPr>
        <w:ind w:firstLine="8"/>
        <w:spacing w:after="0" w:line="233"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3.25% per annum, in the case of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SOFR</w:t>
      </w:r>
      <w:r>
        <w:rPr>
          <w:rFonts w:ascii="Arial" w:cs="Arial" w:eastAsia="Arial" w:hAnsi="Arial"/>
          <w:sz w:val="18"/>
          <w:szCs w:val="18"/>
          <w:color w:val="auto"/>
        </w:rPr>
        <w:t xml:space="preserve">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from and after the delivery of the financial statements and related Compliance Certificate for the first full fiscal quarter of the Borrower completed after the Effective Date pursuant to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62" w:lineRule="exact"/>
        <w:rPr>
          <w:rFonts w:ascii="Arial" w:cs="Arial" w:eastAsia="Arial" w:hAnsi="Arial"/>
          <w:sz w:val="18"/>
          <w:szCs w:val="18"/>
          <w:color w:val="auto"/>
        </w:rPr>
      </w:pPr>
    </w:p>
    <w:p>
      <w:pPr>
        <w:ind w:firstLine="656"/>
        <w:spacing w:after="0" w:line="235" w:lineRule="auto"/>
        <w:tabs>
          <w:tab w:leader="none" w:pos="1016" w:val="left"/>
        </w:tabs>
        <w:numPr>
          <w:ilvl w:val="1"/>
          <w:numId w:val="17"/>
        </w:numPr>
        <w:rPr>
          <w:rFonts w:ascii="Arial" w:cs="Arial" w:eastAsia="Arial" w:hAnsi="Arial"/>
          <w:sz w:val="18"/>
          <w:szCs w:val="18"/>
          <w:color w:val="auto"/>
        </w:rPr>
      </w:pPr>
      <w:r>
        <w:rPr>
          <w:rFonts w:ascii="Arial" w:cs="Arial" w:eastAsia="Arial" w:hAnsi="Arial"/>
          <w:sz w:val="18"/>
          <w:szCs w:val="18"/>
          <w:color w:val="auto"/>
        </w:rPr>
        <w:t>with respect to clause (a) above, the Applicable Rate shall be based on the First Lien Leverage Ratio set forth in the most recent Compliance Certificate in accordance with the pricing grid below:</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360" w:type="dxa"/>
            <w:vAlign w:val="bottom"/>
            <w:tcBorders>
              <w:top w:val="single" w:sz="8" w:color="auto"/>
              <w:right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860" w:type="dxa"/>
            <w:vAlign w:val="bottom"/>
            <w:tcBorders>
              <w:top w:val="single" w:sz="8" w:color="auto"/>
            </w:tcBorders>
          </w:tcPr>
          <w:p>
            <w:pPr>
              <w:spacing w:after="0"/>
              <w:rPr>
                <w:sz w:val="3"/>
                <w:szCs w:val="3"/>
                <w:color w:val="auto"/>
              </w:rPr>
            </w:pPr>
          </w:p>
        </w:tc>
        <w:tc>
          <w:tcPr>
            <w:tcW w:w="940" w:type="dxa"/>
            <w:vAlign w:val="bottom"/>
            <w:tcBorders>
              <w:top w:val="single" w:sz="8" w:color="auto"/>
              <w:right w:val="single" w:sz="8" w:color="auto"/>
            </w:tcBorders>
          </w:tcPr>
          <w:p>
            <w:pPr>
              <w:spacing w:after="0"/>
              <w:rPr>
                <w:sz w:val="3"/>
                <w:szCs w:val="3"/>
                <w:color w:val="auto"/>
              </w:rPr>
            </w:pPr>
          </w:p>
        </w:tc>
        <w:tc>
          <w:tcPr>
            <w:tcW w:w="2420" w:type="dxa"/>
            <w:vAlign w:val="bottom"/>
            <w:tcBorders>
              <w:top w:val="single" w:sz="8" w:color="auto"/>
            </w:tcBorders>
          </w:tcPr>
          <w:p>
            <w:pPr>
              <w:spacing w:after="0"/>
              <w:rPr>
                <w:sz w:val="3"/>
                <w:szCs w:val="3"/>
                <w:color w:val="auto"/>
              </w:rPr>
            </w:pPr>
          </w:p>
        </w:tc>
        <w:tc>
          <w:tcPr>
            <w:tcW w:w="380" w:type="dxa"/>
            <w:vAlign w:val="bottom"/>
            <w:tcBorders>
              <w:top w:val="single" w:sz="8" w:color="auto"/>
              <w:right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42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w w:val="92"/>
              </w:rPr>
              <w:t>Level</w:t>
            </w:r>
          </w:p>
        </w:tc>
        <w:tc>
          <w:tcPr>
            <w:tcW w:w="23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w w:val="91"/>
              </w:rPr>
              <w:t>First Lien Leverage Ratio</w:t>
            </w:r>
          </w:p>
        </w:tc>
        <w:tc>
          <w:tcPr>
            <w:tcW w:w="940" w:type="dxa"/>
            <w:vAlign w:val="bottom"/>
            <w:tcBorders>
              <w:right w:val="single" w:sz="8" w:color="auto"/>
            </w:tcBorders>
          </w:tcPr>
          <w:p>
            <w:pPr>
              <w:spacing w:after="0"/>
              <w:rPr>
                <w:sz w:val="14"/>
                <w:szCs w:val="14"/>
                <w:color w:val="auto"/>
              </w:rPr>
            </w:pPr>
          </w:p>
        </w:tc>
        <w:tc>
          <w:tcPr>
            <w:tcW w:w="242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w w:val="92"/>
              </w:rPr>
              <w:t>ABR Term Loan Applicable Rate</w:t>
            </w:r>
          </w:p>
        </w:tc>
        <w:tc>
          <w:tcPr>
            <w:tcW w:w="380" w:type="dxa"/>
            <w:vAlign w:val="bottom"/>
            <w:tcBorders>
              <w:right w:val="single" w:sz="8" w:color="auto"/>
            </w:tcBorders>
          </w:tcPr>
          <w:p>
            <w:pPr>
              <w:spacing w:after="0"/>
              <w:rPr>
                <w:sz w:val="14"/>
                <w:szCs w:val="14"/>
                <w:color w:val="auto"/>
              </w:rPr>
            </w:pPr>
          </w:p>
        </w:tc>
        <w:tc>
          <w:tcPr>
            <w:tcW w:w="980" w:type="dxa"/>
            <w:vAlign w:val="bottom"/>
            <w:tcBorders>
              <w:bottom w:val="single" w:sz="8" w:color="FF0000"/>
            </w:tcBorders>
          </w:tcPr>
          <w:p>
            <w:pPr>
              <w:spacing w:after="0" w:line="163" w:lineRule="exact"/>
              <w:rPr>
                <w:sz w:val="20"/>
                <w:szCs w:val="20"/>
                <w:color w:val="auto"/>
              </w:rPr>
            </w:pPr>
            <w:r>
              <w:rPr>
                <w:rFonts w:ascii="Arial" w:cs="Arial" w:eastAsia="Arial" w:hAnsi="Arial"/>
                <w:sz w:val="18"/>
                <w:szCs w:val="18"/>
                <w:color w:val="FF0000"/>
                <w:strike w:val="1"/>
                <w:w w:val="89"/>
              </w:rPr>
              <w:t>Eurocurrency</w:t>
            </w:r>
          </w:p>
        </w:tc>
        <w:tc>
          <w:tcPr>
            <w:tcW w:w="20" w:type="dxa"/>
            <w:vAlign w:val="bottom"/>
            <w:tcBorders>
              <w:bottom w:val="single" w:sz="8" w:color="0000FF"/>
            </w:tcBorders>
          </w:tcPr>
          <w:p>
            <w:pPr>
              <w:spacing w:after="0"/>
              <w:rPr>
                <w:sz w:val="14"/>
                <w:szCs w:val="14"/>
                <w:color w:val="auto"/>
              </w:rPr>
            </w:pPr>
          </w:p>
        </w:tc>
        <w:tc>
          <w:tcPr>
            <w:tcW w:w="880" w:type="dxa"/>
            <w:vAlign w:val="bottom"/>
            <w:tcBorders>
              <w:bottom w:val="single" w:sz="8" w:color="0000FF"/>
            </w:tcBorders>
            <w:gridSpan w:val="2"/>
            <w:shd w:val="clear" w:color="auto" w:fill="DDDDDD"/>
          </w:tcPr>
          <w:p>
            <w:pPr>
              <w:spacing w:after="0" w:line="163" w:lineRule="exact"/>
              <w:rPr>
                <w:sz w:val="20"/>
                <w:szCs w:val="20"/>
                <w:color w:val="auto"/>
              </w:rPr>
            </w:pPr>
            <w:r>
              <w:rPr>
                <w:rFonts w:ascii="Arial" w:cs="Arial" w:eastAsia="Arial" w:hAnsi="Arial"/>
                <w:sz w:val="18"/>
                <w:szCs w:val="18"/>
                <w:color w:val="0000FF"/>
                <w:highlight w:val="lightGray"/>
                <w:strike w:val="1"/>
                <w:w w:val="88"/>
              </w:rPr>
              <w:t>Term SOFR</w:t>
            </w: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w w:val="89"/>
              </w:rPr>
              <w:t>Term Loan</w:t>
            </w:r>
          </w:p>
        </w:tc>
        <w:tc>
          <w:tcPr>
            <w:tcW w:w="40" w:type="dxa"/>
            <w:vAlign w:val="bottom"/>
            <w:tcBorders>
              <w:right w:val="single" w:sz="8" w:color="auto"/>
            </w:tcBorders>
          </w:tcPr>
          <w:p>
            <w:pPr>
              <w:spacing w:after="0"/>
              <w:rPr>
                <w:sz w:val="14"/>
                <w:szCs w:val="14"/>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shd w:val="clear" w:color="auto" w:fill="DDDDDD"/>
          </w:tcPr>
          <w:p>
            <w:pPr>
              <w:spacing w:after="0" w:line="20" w:lineRule="exact"/>
              <w:rPr>
                <w:sz w:val="1"/>
                <w:szCs w:val="1"/>
                <w:color w:val="auto"/>
              </w:rPr>
            </w:pPr>
          </w:p>
        </w:tc>
        <w:tc>
          <w:tcPr>
            <w:tcW w:w="700" w:type="dxa"/>
            <w:vAlign w:val="bottom"/>
            <w:shd w:val="clear" w:color="auto" w:fill="DDDDD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3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24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180" w:type="dxa"/>
            <w:vAlign w:val="bottom"/>
            <w:tcBorders>
              <w:bottom w:val="single" w:sz="8" w:color="auto"/>
            </w:tcBorders>
            <w:gridSpan w:val="3"/>
          </w:tcPr>
          <w:p>
            <w:pPr>
              <w:spacing w:after="0" w:line="136" w:lineRule="exact"/>
              <w:rPr>
                <w:sz w:val="20"/>
                <w:szCs w:val="20"/>
                <w:color w:val="auto"/>
              </w:rPr>
            </w:pPr>
            <w:r>
              <w:rPr>
                <w:rFonts w:ascii="Arial" w:cs="Arial" w:eastAsia="Arial" w:hAnsi="Arial"/>
                <w:sz w:val="15"/>
                <w:szCs w:val="15"/>
                <w:color w:val="auto"/>
                <w:strike w:val="1"/>
              </w:rPr>
              <w:t>Applicable Rate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r>
      <w:tr>
        <w:trPr>
          <w:trHeight w:val="236"/>
        </w:trPr>
        <w:tc>
          <w:tcPr>
            <w:tcW w:w="40" w:type="dxa"/>
            <w:vAlign w:val="bottom"/>
            <w:tcBorders>
              <w:left w:val="single" w:sz="8" w:color="auto"/>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r>
      <w:tr>
        <w:trPr>
          <w:trHeight w:val="230"/>
        </w:trPr>
        <w:tc>
          <w:tcPr>
            <w:tcW w:w="4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1</w:t>
            </w:r>
          </w:p>
        </w:tc>
        <w:tc>
          <w:tcPr>
            <w:tcW w:w="23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&gt; 2.75 to 1.00</w:t>
            </w: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2.25%</w:t>
            </w:r>
          </w:p>
        </w:tc>
        <w:tc>
          <w:tcPr>
            <w:tcW w:w="3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3.25%</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r>
      <w:tr>
        <w:trPr>
          <w:trHeight w:val="229"/>
        </w:trPr>
        <w:tc>
          <w:tcPr>
            <w:tcW w:w="4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2</w:t>
            </w:r>
          </w:p>
        </w:tc>
        <w:tc>
          <w:tcPr>
            <w:tcW w:w="23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 2.75 to 1.00</w:t>
            </w: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2.00%</w:t>
            </w:r>
          </w:p>
        </w:tc>
        <w:tc>
          <w:tcPr>
            <w:tcW w:w="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3.00%</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-650875</wp:posOffset>
            </wp:positionV>
            <wp:extent cx="5626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562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4</w:t>
      </w:r>
    </w:p>
    <w:p>
      <w:pPr>
        <w:sectPr>
          <w:pgSz w:w="11900" w:h="16838" w:orient="portrait"/>
          <w:cols w:equalWidth="0" w:num="1">
            <w:col w:w="11240"/>
          </w:cols>
          <w:pgMar w:left="320" w:top="1440" w:right="339" w:bottom="1440" w:gutter="0" w:footer="0" w:header="0"/>
        </w:sectPr>
      </w:pPr>
    </w:p>
    <w:bookmarkStart w:id="62" w:name="page63"/>
    <w:bookmarkEnd w:id="62"/>
    <w:p>
      <w:pPr>
        <w:spacing w:after="0" w:line="306" w:lineRule="exact"/>
        <w:rPr>
          <w:sz w:val="20"/>
          <w:szCs w:val="20"/>
          <w:color w:val="auto"/>
        </w:rPr>
      </w:pPr>
    </w:p>
    <w:p>
      <w:pPr>
        <w:ind w:firstLine="656"/>
        <w:spacing w:after="0" w:line="235" w:lineRule="auto"/>
        <w:tabs>
          <w:tab w:leader="none" w:pos="10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respect to clause (b) above, the Applicable Rate shall be based on the First Lien Leverage Ratio set forth in the most recent Compliance Certificate in accordance with the pricing grid below:</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360" w:type="dxa"/>
            <w:vAlign w:val="bottom"/>
            <w:tcBorders>
              <w:top w:val="single" w:sz="8" w:color="auto"/>
              <w:right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860" w:type="dxa"/>
            <w:vAlign w:val="bottom"/>
            <w:tcBorders>
              <w:top w:val="single" w:sz="8" w:color="auto"/>
            </w:tcBorders>
          </w:tcPr>
          <w:p>
            <w:pPr>
              <w:spacing w:after="0"/>
              <w:rPr>
                <w:sz w:val="3"/>
                <w:szCs w:val="3"/>
                <w:color w:val="auto"/>
              </w:rPr>
            </w:pPr>
          </w:p>
        </w:tc>
        <w:tc>
          <w:tcPr>
            <w:tcW w:w="940" w:type="dxa"/>
            <w:vAlign w:val="bottom"/>
            <w:tcBorders>
              <w:top w:val="single" w:sz="8" w:color="auto"/>
              <w:right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26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42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w w:val="92"/>
              </w:rPr>
              <w:t>Level</w:t>
            </w:r>
          </w:p>
        </w:tc>
        <w:tc>
          <w:tcPr>
            <w:tcW w:w="23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w w:val="91"/>
              </w:rPr>
              <w:t>First Lien Leverage Ratio</w:t>
            </w:r>
          </w:p>
        </w:tc>
        <w:tc>
          <w:tcPr>
            <w:tcW w:w="940" w:type="dxa"/>
            <w:vAlign w:val="bottom"/>
            <w:tcBorders>
              <w:right w:val="single" w:sz="8" w:color="auto"/>
            </w:tcBorders>
          </w:tcPr>
          <w:p>
            <w:pPr>
              <w:spacing w:after="0"/>
              <w:rPr>
                <w:sz w:val="14"/>
                <w:szCs w:val="14"/>
                <w:color w:val="auto"/>
              </w:rPr>
            </w:pPr>
          </w:p>
        </w:tc>
        <w:tc>
          <w:tcPr>
            <w:tcW w:w="500" w:type="dxa"/>
            <w:vAlign w:val="bottom"/>
            <w:tcBorders>
              <w:bottom w:val="single" w:sz="8" w:color="auto"/>
            </w:tcBorders>
            <w:gridSpan w:val="2"/>
          </w:tcPr>
          <w:p>
            <w:pPr>
              <w:spacing w:after="0" w:line="163" w:lineRule="exact"/>
              <w:rPr>
                <w:sz w:val="20"/>
                <w:szCs w:val="20"/>
                <w:color w:val="auto"/>
              </w:rPr>
            </w:pPr>
            <w:r>
              <w:rPr>
                <w:rFonts w:ascii="Arial" w:cs="Arial" w:eastAsia="Arial" w:hAnsi="Arial"/>
                <w:sz w:val="18"/>
                <w:szCs w:val="18"/>
                <w:color w:val="auto"/>
              </w:rPr>
              <w:t>ABR</w:t>
            </w:r>
          </w:p>
        </w:tc>
        <w:tc>
          <w:tcPr>
            <w:tcW w:w="226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8"/>
                <w:szCs w:val="18"/>
                <w:color w:val="auto"/>
                <w:w w:val="99"/>
              </w:rPr>
              <w:t>Revolving  Loan  Applicable</w:t>
            </w:r>
          </w:p>
        </w:tc>
        <w:tc>
          <w:tcPr>
            <w:tcW w:w="40" w:type="dxa"/>
            <w:vAlign w:val="bottom"/>
            <w:tcBorders>
              <w:right w:val="single" w:sz="8" w:color="auto"/>
            </w:tcBorders>
          </w:tcPr>
          <w:p>
            <w:pPr>
              <w:spacing w:after="0"/>
              <w:rPr>
                <w:sz w:val="14"/>
                <w:szCs w:val="14"/>
                <w:color w:val="auto"/>
              </w:rPr>
            </w:pPr>
          </w:p>
        </w:tc>
        <w:tc>
          <w:tcPr>
            <w:tcW w:w="980" w:type="dxa"/>
            <w:vAlign w:val="bottom"/>
            <w:tcBorders>
              <w:bottom w:val="single" w:sz="8" w:color="FF0000"/>
            </w:tcBorders>
          </w:tcPr>
          <w:p>
            <w:pPr>
              <w:spacing w:after="0" w:line="163" w:lineRule="exact"/>
              <w:rPr>
                <w:sz w:val="20"/>
                <w:szCs w:val="20"/>
                <w:color w:val="auto"/>
              </w:rPr>
            </w:pPr>
            <w:r>
              <w:rPr>
                <w:rFonts w:ascii="Arial" w:cs="Arial" w:eastAsia="Arial" w:hAnsi="Arial"/>
                <w:sz w:val="18"/>
                <w:szCs w:val="18"/>
                <w:color w:val="FF0000"/>
                <w:strike w:val="1"/>
                <w:w w:val="89"/>
              </w:rPr>
              <w:t>Eurocurrency</w:t>
            </w:r>
          </w:p>
        </w:tc>
        <w:tc>
          <w:tcPr>
            <w:tcW w:w="20" w:type="dxa"/>
            <w:vAlign w:val="bottom"/>
            <w:tcBorders>
              <w:bottom w:val="single" w:sz="8" w:color="0000FF"/>
            </w:tcBorders>
          </w:tcPr>
          <w:p>
            <w:pPr>
              <w:spacing w:after="0"/>
              <w:rPr>
                <w:sz w:val="14"/>
                <w:szCs w:val="14"/>
                <w:color w:val="auto"/>
              </w:rPr>
            </w:pPr>
          </w:p>
        </w:tc>
        <w:tc>
          <w:tcPr>
            <w:tcW w:w="900" w:type="dxa"/>
            <w:vAlign w:val="bottom"/>
            <w:tcBorders>
              <w:bottom w:val="single" w:sz="8" w:color="0000FF"/>
            </w:tcBorders>
            <w:gridSpan w:val="2"/>
            <w:shd w:val="clear" w:color="auto" w:fill="DDDDDD"/>
          </w:tcPr>
          <w:p>
            <w:pPr>
              <w:spacing w:after="0" w:line="163" w:lineRule="exact"/>
              <w:rPr>
                <w:sz w:val="20"/>
                <w:szCs w:val="20"/>
                <w:color w:val="auto"/>
              </w:rPr>
            </w:pPr>
            <w:r>
              <w:rPr>
                <w:rFonts w:ascii="Arial" w:cs="Arial" w:eastAsia="Arial" w:hAnsi="Arial"/>
                <w:sz w:val="18"/>
                <w:szCs w:val="18"/>
                <w:color w:val="0000FF"/>
                <w:highlight w:val="lightGray"/>
                <w:strike w:val="1"/>
                <w:w w:val="90"/>
              </w:rPr>
              <w:t>Term SOFR</w:t>
            </w:r>
          </w:p>
        </w:tc>
        <w:tc>
          <w:tcPr>
            <w:tcW w:w="20" w:type="dxa"/>
            <w:vAlign w:val="bottom"/>
            <w:tcBorders>
              <w:bottom w:val="single" w:sz="8" w:color="0000FF"/>
            </w:tcBorders>
          </w:tcPr>
          <w:p>
            <w:pPr>
              <w:spacing w:after="0"/>
              <w:rPr>
                <w:sz w:val="14"/>
                <w:szCs w:val="14"/>
                <w:color w:val="auto"/>
              </w:rPr>
            </w:pPr>
          </w:p>
        </w:tc>
        <w:tc>
          <w:tcPr>
            <w:tcW w:w="84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8"/>
                <w:szCs w:val="18"/>
                <w:color w:val="auto"/>
                <w:strike w:val="1"/>
                <w:w w:val="91"/>
              </w:rPr>
              <w:t>Revolving</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500" w:type="dxa"/>
            <w:vAlign w:val="bottom"/>
            <w:gridSpan w:val="2"/>
            <w:vMerge w:val="restart"/>
          </w:tcPr>
          <w:p>
            <w:pPr>
              <w:spacing w:after="0" w:line="169" w:lineRule="exact"/>
              <w:rPr>
                <w:sz w:val="20"/>
                <w:szCs w:val="20"/>
                <w:color w:val="auto"/>
              </w:rPr>
            </w:pPr>
            <w:r>
              <w:rPr>
                <w:rFonts w:ascii="Arial" w:cs="Arial" w:eastAsia="Arial" w:hAnsi="Arial"/>
                <w:sz w:val="18"/>
                <w:szCs w:val="18"/>
                <w:color w:val="auto"/>
              </w:rPr>
              <w:t>Rate</w:t>
            </w:r>
          </w:p>
        </w:tc>
        <w:tc>
          <w:tcPr>
            <w:tcW w:w="22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80" w:type="dxa"/>
            <w:vAlign w:val="bottom"/>
            <w:shd w:val="clear" w:color="auto" w:fill="DDDDDD"/>
          </w:tcPr>
          <w:p>
            <w:pPr>
              <w:spacing w:after="0" w:line="20" w:lineRule="exact"/>
              <w:rPr>
                <w:sz w:val="1"/>
                <w:szCs w:val="1"/>
                <w:color w:val="auto"/>
              </w:rPr>
            </w:pPr>
          </w:p>
        </w:tc>
        <w:tc>
          <w:tcPr>
            <w:tcW w:w="320" w:type="dxa"/>
            <w:vAlign w:val="bottom"/>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3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7"/>
                <w:szCs w:val="17"/>
                <w:color w:val="auto"/>
                <w:strike w:val="1"/>
                <w:w w:val="96"/>
              </w:rPr>
              <w:t>Loan Applicable Rate</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1</w:t>
            </w:r>
          </w:p>
        </w:tc>
        <w:tc>
          <w:tcPr>
            <w:tcW w:w="23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&gt; 2.75 to 1.00</w:t>
            </w: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2.25%</w:t>
            </w:r>
          </w:p>
        </w:tc>
        <w:tc>
          <w:tcPr>
            <w:tcW w:w="226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3.25%</w:t>
            </w: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2</w:t>
            </w:r>
          </w:p>
        </w:tc>
        <w:tc>
          <w:tcPr>
            <w:tcW w:w="23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 2.75 to 1.00</w:t>
            </w: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2.00%</w:t>
            </w:r>
          </w:p>
        </w:tc>
        <w:tc>
          <w:tcPr>
            <w:tcW w:w="22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3.00%</w:t>
            </w: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increase or decrease in the Applicable Rate resulting from a change in the First Lien Leverage Ratio shall become effective as of the first</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Business Day immediately following the date a Compliance Certificate is delivered pursuant to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option of the Administrative Agent (at the direction of the Required Lenders and upon notice to the Borrower of such determination), the highest pricing level shall apply as of the first Business Day after the date on which a Compliance Certificate was required to have been delivered but was not delivered, and shall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continue to so apply to and including the date immediately prior to the date on which such Compliance Certificate is so delivered (and thereafter the pricing level otherwise determined in accordance with this definition shall apply). Upon the request of the Administrative Agent or Required Lenders, as applicable, on and after receipt of a notice that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has occurred, the highest pricing level shall apply as of the</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date of such Event of Default (as reasonably determined by the Borrower) and shall continue to so apply to but excluding the date on which such Event of Default shall cease to be continuing (and thereafter, in each case, the pricing level otherwise determined in accordance with this definition shall apply).</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In the event that any financial statements under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or a Compliance Certificate is shown to be inaccurate at any time and such</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inaccuracy, if corrected, would have led to a higher Applicable Rate for any period (an “ </w:t>
      </w:r>
      <w:r>
        <w:rPr>
          <w:rFonts w:ascii="Arial" w:cs="Arial" w:eastAsia="Arial" w:hAnsi="Arial"/>
          <w:sz w:val="16"/>
          <w:szCs w:val="16"/>
          <w:u w:val="single" w:color="auto"/>
          <w:color w:val="auto"/>
        </w:rPr>
        <w:t>Applicable Period</w:t>
      </w:r>
      <w:r>
        <w:rPr>
          <w:rFonts w:ascii="Arial" w:cs="Arial" w:eastAsia="Arial" w:hAnsi="Arial"/>
          <w:sz w:val="16"/>
          <w:szCs w:val="16"/>
          <w:color w:val="auto"/>
        </w:rPr>
        <w:t>”) than the Applicable Rate applied for such Applicable Period, then (i) the Borrower shall promptly (and in no event later than five (5) Business Days thereafter) deliver to the Administrative Agent a correct Compliance Certificate for such Applicable Period, (ii) the Applicable Rate shall be determined by reference to the corrected Compliance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Certificate, and (iii) the Borrower shall pay to the Administrative Agent promptly upon written demand (and in no event later than five (5) Business Days after written demand) any additional interest owing as a result of such increased Applicable Rate for such Applicable Period, which payment shall be promptly applied by the Administrative Agent in accordance with the terms hereof. Notwithstanding anything to the contrary in this Agreement,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additional interest hereunder shall not be due and payable until written demand is made for such payment pursuant to this paragraph and accordingly, any nonpayment of such interest as a result of any such inaccuracy shall not constitute a Default (whether retroactively or otherwise), and no such amounts shall be deemed overdue (and no amounts shall accrue default interest pursuant to </w:t>
      </w:r>
      <w:r>
        <w:rPr>
          <w:rFonts w:ascii="Arial" w:cs="Arial" w:eastAsia="Arial" w:hAnsi="Arial"/>
          <w:sz w:val="16"/>
          <w:szCs w:val="16"/>
          <w:u w:val="single" w:color="auto"/>
          <w:color w:val="auto"/>
        </w:rPr>
        <w:t>Section 2.13(c)</w:t>
      </w:r>
      <w:r>
        <w:rPr>
          <w:rFonts w:ascii="Arial" w:cs="Arial" w:eastAsia="Arial" w:hAnsi="Arial"/>
          <w:sz w:val="16"/>
          <w:szCs w:val="16"/>
          <w:color w:val="auto"/>
        </w:rPr>
        <w:t>), at any time prior to the date that is five (5) Business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Days following such written demand. It is acknowledged and agreed that nothing in this definition will limit the rights of the Administrative Agent and the Lenders under the Loan Documents, including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herein.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assigned to such term in the definition of the term “Permitted Investments.”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Foreign Bank</w:t>
      </w:r>
      <w:r>
        <w:rPr>
          <w:rFonts w:ascii="Arial" w:cs="Arial" w:eastAsia="Arial" w:hAnsi="Arial"/>
          <w:sz w:val="18"/>
          <w:szCs w:val="18"/>
          <w:color w:val="auto"/>
        </w:rPr>
        <w:t>” has the meaning assigned to such term in the definition of the term “Permitted Investments.”</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Asset Sale Prepayment Event</w:t>
      </w:r>
      <w:r>
        <w:rPr>
          <w:rFonts w:ascii="Arial" w:cs="Arial" w:eastAsia="Arial" w:hAnsi="Arial"/>
          <w:sz w:val="17"/>
          <w:szCs w:val="17"/>
          <w:color w:val="auto"/>
        </w:rPr>
        <w:t>” has the meaning assigned to such term in clause (a) of the definition of the term “Prepayment Event.”</w:t>
      </w:r>
    </w:p>
    <w:p>
      <w:pPr>
        <w:spacing w:after="0" w:line="1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means an assignment and assumption entered into by a Lender and an Eligible Assignee (with the consent of any Person whose consent is required by </w:t>
      </w:r>
      <w:r>
        <w:rPr>
          <w:rFonts w:ascii="Arial" w:cs="Arial" w:eastAsia="Arial" w:hAnsi="Arial"/>
          <w:sz w:val="16"/>
          <w:szCs w:val="16"/>
          <w:u w:val="single" w:color="auto"/>
          <w:color w:val="auto"/>
        </w:rPr>
        <w:t>Section 9.04</w:t>
      </w:r>
      <w:r>
        <w:rPr>
          <w:rFonts w:ascii="Arial" w:cs="Arial" w:eastAsia="Arial" w:hAnsi="Arial"/>
          <w:sz w:val="16"/>
          <w:szCs w:val="16"/>
          <w:color w:val="auto"/>
        </w:rPr>
        <w:t>), or as otherwise required to be entered into under the terms of this Agreement, substantially in the form</w:t>
      </w:r>
    </w:p>
    <w:p>
      <w:pPr>
        <w:spacing w:after="0"/>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reasonably approved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5</w:t>
      </w:r>
    </w:p>
    <w:p>
      <w:pPr>
        <w:sectPr>
          <w:pgSz w:w="11900" w:h="16838" w:orient="portrait"/>
          <w:cols w:equalWidth="0" w:num="1">
            <w:col w:w="11240"/>
          </w:cols>
          <w:pgMar w:left="320" w:top="1440" w:right="339" w:bottom="1440" w:gutter="0" w:footer="0" w:header="0"/>
        </w:sectPr>
      </w:pPr>
    </w:p>
    <w:bookmarkStart w:id="63" w:name="page64"/>
    <w:bookmarkEnd w:id="63"/>
    <w:p>
      <w:pPr>
        <w:spacing w:after="0" w:line="6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Auction Agent</w:t>
      </w:r>
      <w:r>
        <w:rPr>
          <w:rFonts w:ascii="Arial" w:cs="Arial" w:eastAsia="Arial" w:hAnsi="Arial"/>
          <w:sz w:val="17"/>
          <w:szCs w:val="17"/>
          <w:color w:val="auto"/>
        </w:rPr>
        <w:t xml:space="preserve">” means (a) the Administrative Agent or (b) any other financial institution or advisor employed by Holdings or the Borrower (whether or not an Affiliate of the Administrative Agent) to act as an arranger in connection with any Discounted Term Loan Prepayment pursuant to </w:t>
      </w:r>
      <w:r>
        <w:rPr>
          <w:rFonts w:ascii="Arial" w:cs="Arial" w:eastAsia="Arial" w:hAnsi="Arial"/>
          <w:sz w:val="17"/>
          <w:szCs w:val="17"/>
          <w:u w:val="single" w:color="auto"/>
          <w:color w:val="auto"/>
        </w:rPr>
        <w:t>Section 2.11(a)(ii)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Holdings nor the Borrower shall designate the Administrative Agent as the Auction Agent without the written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consent of the Administrative Agent (it being understood that the Administrative Agent shall be under no obligation to agree to act as the Auction Agent).</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Audited Financial Statements</w:t>
      </w:r>
      <w:r>
        <w:rPr>
          <w:rFonts w:ascii="Arial" w:cs="Arial" w:eastAsia="Arial" w:hAnsi="Arial"/>
          <w:sz w:val="16"/>
          <w:szCs w:val="16"/>
          <w:color w:val="auto"/>
        </w:rPr>
        <w:t>” means the audited consolidated balance sheets of Parent and its consolidated subsidiaries as at the end of, and related statements of income and cash flows of Parent and its consolidated subsidiaries for, the fiscal years ended December 31, 2019 and December 31,</w:t>
      </w:r>
    </w:p>
    <w:p>
      <w:pPr>
        <w:spacing w:after="0"/>
        <w:rPr>
          <w:sz w:val="20"/>
          <w:szCs w:val="20"/>
          <w:color w:val="auto"/>
        </w:rPr>
      </w:pPr>
      <w:r>
        <w:rPr>
          <w:rFonts w:ascii="Arial" w:cs="Arial" w:eastAsia="Arial" w:hAnsi="Arial"/>
          <w:sz w:val="18"/>
          <w:szCs w:val="18"/>
          <w:color w:val="auto"/>
        </w:rPr>
        <w:t>2020.</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means, on any date of determination, a cumulative amount equal to (without duplication):</w:t>
      </w:r>
    </w:p>
    <w:p>
      <w:pPr>
        <w:spacing w:after="0" w:line="185" w:lineRule="exact"/>
        <w:rPr>
          <w:sz w:val="20"/>
          <w:szCs w:val="20"/>
          <w:color w:val="auto"/>
        </w:rPr>
      </w:pPr>
    </w:p>
    <w:p>
      <w:pPr>
        <w:ind w:left="660" w:firstLine="644"/>
        <w:spacing w:after="0" w:line="246" w:lineRule="auto"/>
        <w:tabs>
          <w:tab w:leader="none" w:pos="1786"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greater of (i) $65,000,000 and (ii) 50% of Consolidated EBITDA for the most recently ended Test Period as of such time determined on a Pro Forma Basis (such greater amount, the “</w:t>
      </w:r>
      <w:r>
        <w:rPr>
          <w:rFonts w:ascii="Arial" w:cs="Arial" w:eastAsia="Arial" w:hAnsi="Arial"/>
          <w:sz w:val="18"/>
          <w:szCs w:val="18"/>
          <w:u w:val="single" w:color="auto"/>
          <w:color w:val="auto"/>
        </w:rPr>
        <w:t>Starter Basket</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156" w:lineRule="exact"/>
        <w:rPr>
          <w:rFonts w:ascii="Arial" w:cs="Arial" w:eastAsia="Arial" w:hAnsi="Arial"/>
          <w:sz w:val="18"/>
          <w:szCs w:val="18"/>
          <w:color w:val="auto"/>
        </w:rPr>
      </w:pPr>
    </w:p>
    <w:p>
      <w:pPr>
        <w:jc w:val="both"/>
        <w:ind w:left="660" w:firstLine="644"/>
        <w:spacing w:after="0" w:line="238" w:lineRule="auto"/>
        <w:tabs>
          <w:tab w:leader="none" w:pos="1732"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greatest of (1) an amount equal to 50% of Consolidated Net Income for the period (treated as one accounting period) from the first day of the fiscal quarter of the Borrower commencing immediately before the Effective Date to the end of the most recent Test Period (which amount under this clause (1) shall not be less than zero for such period), (2) the Cumulative Retained Excess Cash Flow Amount (which amount under this clause (2) shall not be less than zero) and (3) an amount equal to the sum of (x) 100% of cumulative Consolidated EBITDA for each fiscal quarter of the Borrower commencing with the first fiscal quarter of the Borrower commencing immediately before the Effective Date through the most recent Test Period then last ended minus (ii) 1.5x cumulative Fixed Charges for the same period (which amount under this clause</w:t>
      </w:r>
    </w:p>
    <w:p>
      <w:pPr>
        <w:spacing w:after="0" w:line="1" w:lineRule="exact"/>
        <w:rPr>
          <w:rFonts w:ascii="Arial" w:cs="Arial" w:eastAsia="Arial" w:hAnsi="Arial"/>
          <w:sz w:val="16"/>
          <w:szCs w:val="16"/>
          <w:color w:val="auto"/>
        </w:rPr>
      </w:pPr>
    </w:p>
    <w:p>
      <w:pPr>
        <w:ind w:left="920" w:hanging="264"/>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shall not be less than zero for such period), </w:t>
      </w:r>
      <w:r>
        <w:rPr>
          <w:rFonts w:ascii="Arial" w:cs="Arial" w:eastAsia="Arial" w:hAnsi="Arial"/>
          <w:sz w:val="18"/>
          <w:szCs w:val="18"/>
          <w:u w:val="single" w:color="auto"/>
          <w:color w:val="auto"/>
        </w:rPr>
        <w:t>plus</w:t>
      </w:r>
    </w:p>
    <w:p>
      <w:pPr>
        <w:spacing w:after="0" w:line="168" w:lineRule="exact"/>
        <w:rPr>
          <w:rFonts w:ascii="Arial" w:cs="Arial" w:eastAsia="Arial" w:hAnsi="Arial"/>
          <w:sz w:val="18"/>
          <w:szCs w:val="18"/>
          <w:color w:val="auto"/>
        </w:rPr>
      </w:pPr>
    </w:p>
    <w:p>
      <w:pPr>
        <w:jc w:val="both"/>
        <w:ind w:left="660" w:firstLine="644"/>
        <w:spacing w:after="0" w:line="229" w:lineRule="auto"/>
        <w:tabs>
          <w:tab w:leader="none" w:pos="1736"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returns, profits, distributions and similar amounts received in cash or Permitted Investments and the Fair Market Value of any in-kind amounts received by the Borrower or any Restricted Subsidiary on Investments made using the Available Amount (not to exceed the amount of such Investments), </w:t>
      </w:r>
      <w:r>
        <w:rPr>
          <w:rFonts w:ascii="Arial" w:cs="Arial" w:eastAsia="Arial" w:hAnsi="Arial"/>
          <w:sz w:val="18"/>
          <w:szCs w:val="18"/>
          <w:u w:val="single" w:color="auto"/>
          <w:color w:val="auto"/>
        </w:rPr>
        <w:t>plus</w:t>
      </w:r>
    </w:p>
    <w:p>
      <w:pPr>
        <w:spacing w:after="0" w:line="163" w:lineRule="exact"/>
        <w:rPr>
          <w:rFonts w:ascii="Arial" w:cs="Arial" w:eastAsia="Arial" w:hAnsi="Arial"/>
          <w:sz w:val="18"/>
          <w:szCs w:val="18"/>
          <w:color w:val="auto"/>
        </w:rPr>
      </w:pPr>
    </w:p>
    <w:p>
      <w:pPr>
        <w:jc w:val="both"/>
        <w:ind w:left="660" w:firstLine="644"/>
        <w:spacing w:after="0" w:line="229" w:lineRule="auto"/>
        <w:tabs>
          <w:tab w:leader="none" w:pos="1727"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the Fair Market Value of Investments of the Borrower or any of the Restricted Subsidiaries in any Unrestricted Subsidiary that has been re-designated as a Restricted Subsidiary or that has been merged or consolidated with or into the Borrower or any of the Restricted Subsidiaries, </w:t>
      </w:r>
      <w:r>
        <w:rPr>
          <w:rFonts w:ascii="Arial" w:cs="Arial" w:eastAsia="Arial" w:hAnsi="Arial"/>
          <w:sz w:val="18"/>
          <w:szCs w:val="18"/>
          <w:u w:val="single" w:color="auto"/>
          <w:color w:val="auto"/>
        </w:rPr>
        <w:t>plus</w:t>
      </w:r>
    </w:p>
    <w:p>
      <w:pPr>
        <w:spacing w:after="0" w:line="163" w:lineRule="exact"/>
        <w:rPr>
          <w:rFonts w:ascii="Arial" w:cs="Arial" w:eastAsia="Arial" w:hAnsi="Arial"/>
          <w:sz w:val="18"/>
          <w:szCs w:val="18"/>
          <w:color w:val="auto"/>
        </w:rPr>
      </w:pPr>
    </w:p>
    <w:p>
      <w:pPr>
        <w:ind w:left="660" w:firstLine="644"/>
        <w:spacing w:after="0" w:line="246" w:lineRule="auto"/>
        <w:tabs>
          <w:tab w:leader="none" w:pos="1714"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the Net Proceeds of a sale or other Disposition of any Unrestricted Subsidiary (including the issuance or sale of Equity Interests of an Unrestricted Subsidiary) received by the Borrower or any Restricted Subsidiary, </w:t>
      </w:r>
      <w:r>
        <w:rPr>
          <w:rFonts w:ascii="Arial" w:cs="Arial" w:eastAsia="Arial" w:hAnsi="Arial"/>
          <w:sz w:val="18"/>
          <w:szCs w:val="18"/>
          <w:u w:val="single" w:color="auto"/>
          <w:color w:val="auto"/>
        </w:rPr>
        <w:t>plus</w:t>
      </w:r>
    </w:p>
    <w:p>
      <w:pPr>
        <w:spacing w:after="0" w:line="156" w:lineRule="exact"/>
        <w:rPr>
          <w:rFonts w:ascii="Arial" w:cs="Arial" w:eastAsia="Arial" w:hAnsi="Arial"/>
          <w:sz w:val="18"/>
          <w:szCs w:val="18"/>
          <w:color w:val="auto"/>
        </w:rPr>
      </w:pPr>
    </w:p>
    <w:p>
      <w:pPr>
        <w:ind w:left="660" w:firstLine="644"/>
        <w:spacing w:after="0" w:line="235" w:lineRule="auto"/>
        <w:tabs>
          <w:tab w:leader="none" w:pos="17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to the extent not included in Consolidated Net Income, dividends or other distributions or returns on capital received by the Borrower or any Restricted Subsidiary from an Unrestricted Subsidiary, </w:t>
      </w:r>
      <w:r>
        <w:rPr>
          <w:rFonts w:ascii="Arial" w:cs="Arial" w:eastAsia="Arial" w:hAnsi="Arial"/>
          <w:sz w:val="18"/>
          <w:szCs w:val="18"/>
          <w:u w:val="single" w:color="auto"/>
          <w:color w:val="auto"/>
        </w:rPr>
        <w:t>plus</w:t>
      </w:r>
    </w:p>
    <w:p>
      <w:pPr>
        <w:spacing w:after="0" w:line="175" w:lineRule="exact"/>
        <w:rPr>
          <w:rFonts w:ascii="Arial" w:cs="Arial" w:eastAsia="Arial" w:hAnsi="Arial"/>
          <w:sz w:val="18"/>
          <w:szCs w:val="18"/>
          <w:color w:val="auto"/>
        </w:rPr>
      </w:pPr>
    </w:p>
    <w:p>
      <w:pPr>
        <w:ind w:left="660" w:firstLine="644"/>
        <w:spacing w:after="0" w:line="235" w:lineRule="auto"/>
        <w:tabs>
          <w:tab w:leader="none" w:pos="179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aggregate amount of any Retained Declined Proceeds, Retained Asset Sale Proceeds, Retained ECF Proceeds and any Net Proceeds below the amount specified in the definition of “Asset Sale Prepayment Event” since the 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Amount Reference Period</w:t>
      </w:r>
      <w:r>
        <w:rPr>
          <w:rFonts w:ascii="Arial" w:cs="Arial" w:eastAsia="Arial" w:hAnsi="Arial"/>
          <w:sz w:val="16"/>
          <w:szCs w:val="16"/>
          <w:color w:val="auto"/>
        </w:rPr>
        <w:t>” means, with respect to any date of determination, the period commencing on January 1, 2022 and ending on</w:t>
      </w:r>
    </w:p>
    <w:p>
      <w:pPr>
        <w:spacing w:after="0" w:line="2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the last day of the most recent fiscal year ending thereafter for which financial statements are delivered to the Administrative Agent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5.01(a)</w:t>
      </w:r>
      <w:r>
        <w:rPr>
          <w:rFonts w:ascii="Arial" w:cs="Arial" w:eastAsia="Arial" w:hAnsi="Arial"/>
          <w:sz w:val="18"/>
          <w:szCs w:val="18"/>
          <w:color w:val="auto"/>
        </w:rPr>
        <w: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Cash</w:t>
      </w:r>
      <w:r>
        <w:rPr>
          <w:rFonts w:ascii="Arial" w:cs="Arial" w:eastAsia="Arial" w:hAnsi="Arial"/>
          <w:sz w:val="17"/>
          <w:szCs w:val="17"/>
          <w:color w:val="auto"/>
        </w:rPr>
        <w:t>” means, as of any date of determination, the aggregate amount of cash and Permitted Investments of the Borrower or any</w:t>
      </w:r>
    </w:p>
    <w:p>
      <w:pPr>
        <w:spacing w:after="0" w:line="10"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Restricted Subsidiary as of such date to the extent the use thereof for the application to payment of Indebtedness is not prohibited by law or any contract binding on the Borrower or any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6</w:t>
      </w:r>
    </w:p>
    <w:p>
      <w:pPr>
        <w:sectPr>
          <w:pgSz w:w="11900" w:h="16838" w:orient="portrait"/>
          <w:cols w:equalWidth="0" w:num="1">
            <w:col w:w="11240"/>
          </w:cols>
          <w:pgMar w:left="320" w:top="1440" w:right="339" w:bottom="1440" w:gutter="0" w:footer="0" w:header="0"/>
        </w:sectPr>
      </w:pPr>
    </w:p>
    <w:bookmarkStart w:id="64" w:name="page65"/>
    <w:bookmarkEnd w:id="64"/>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Equity Amount</w:t>
      </w:r>
      <w:r>
        <w:rPr>
          <w:rFonts w:ascii="Arial" w:cs="Arial" w:eastAsia="Arial" w:hAnsi="Arial"/>
          <w:sz w:val="18"/>
          <w:szCs w:val="18"/>
          <w:color w:val="auto"/>
        </w:rPr>
        <w:t>” means a cumulative amount equal to (without duplication):</w:t>
      </w:r>
    </w:p>
    <w:p>
      <w:pPr>
        <w:spacing w:after="0" w:line="185" w:lineRule="exact"/>
        <w:rPr>
          <w:sz w:val="20"/>
          <w:szCs w:val="20"/>
          <w:color w:val="auto"/>
        </w:rPr>
      </w:pPr>
    </w:p>
    <w:p>
      <w:pPr>
        <w:ind w:left="660" w:firstLine="644"/>
        <w:spacing w:after="0" w:line="235" w:lineRule="auto"/>
        <w:tabs>
          <w:tab w:leader="none" w:pos="17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Net Proceeds of new public or private issuances of Qualified Equity Interests in the Borrower or any parent of the Borrower which are contributed to (or received by) the Borrower after the Effective Date, </w:t>
      </w:r>
      <w:r>
        <w:rPr>
          <w:rFonts w:ascii="Arial" w:cs="Arial" w:eastAsia="Arial" w:hAnsi="Arial"/>
          <w:sz w:val="18"/>
          <w:szCs w:val="18"/>
          <w:u w:val="single" w:color="auto"/>
          <w:color w:val="auto"/>
        </w:rPr>
        <w:t>plus</w:t>
      </w:r>
    </w:p>
    <w:p>
      <w:pPr>
        <w:spacing w:after="0" w:line="175" w:lineRule="exact"/>
        <w:rPr>
          <w:rFonts w:ascii="Arial" w:cs="Arial" w:eastAsia="Arial" w:hAnsi="Arial"/>
          <w:sz w:val="18"/>
          <w:szCs w:val="18"/>
          <w:color w:val="auto"/>
        </w:rPr>
      </w:pPr>
    </w:p>
    <w:p>
      <w:pPr>
        <w:ind w:left="660" w:firstLine="644"/>
        <w:spacing w:after="0" w:line="235" w:lineRule="auto"/>
        <w:tabs>
          <w:tab w:leader="none" w:pos="17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capital contributions received by the Borrower after the Effective Date in cash or Permitted Investments (other than in respect of any Disqualified Equity Interest) and the Fair Market Value of any in-kind contributions after the Effective Date, </w:t>
      </w:r>
      <w:r>
        <w:rPr>
          <w:rFonts w:ascii="Arial" w:cs="Arial" w:eastAsia="Arial" w:hAnsi="Arial"/>
          <w:sz w:val="18"/>
          <w:szCs w:val="18"/>
          <w:u w:val="single" w:color="auto"/>
          <w:color w:val="auto"/>
        </w:rPr>
        <w:t>plus</w:t>
      </w:r>
    </w:p>
    <w:p>
      <w:pPr>
        <w:spacing w:after="0" w:line="161" w:lineRule="exact"/>
        <w:rPr>
          <w:rFonts w:ascii="Arial" w:cs="Arial" w:eastAsia="Arial" w:hAnsi="Arial"/>
          <w:sz w:val="18"/>
          <w:szCs w:val="18"/>
          <w:color w:val="auto"/>
        </w:rPr>
      </w:pPr>
    </w:p>
    <w:p>
      <w:pPr>
        <w:ind w:left="660" w:firstLine="644"/>
        <w:spacing w:after="0" w:line="274" w:lineRule="auto"/>
        <w:tabs>
          <w:tab w:leader="none" w:pos="175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the net cash proceeds received by the Borrower or any Restricted Subsidiary from Indebtedness and Disqualified Equity Interest issuances issued after the Effective Date and which have been exchanged or converted into Qualified Equity Interests, </w:t>
      </w:r>
      <w:r>
        <w:rPr>
          <w:rFonts w:ascii="Arial" w:cs="Arial" w:eastAsia="Arial" w:hAnsi="Arial"/>
          <w:sz w:val="17"/>
          <w:szCs w:val="17"/>
          <w:u w:val="single" w:color="auto"/>
          <w:color w:val="auto"/>
        </w:rPr>
        <w:t>plus</w:t>
      </w:r>
    </w:p>
    <w:p>
      <w:pPr>
        <w:spacing w:after="0" w:line="134" w:lineRule="exact"/>
        <w:rPr>
          <w:rFonts w:ascii="Arial" w:cs="Arial" w:eastAsia="Arial" w:hAnsi="Arial"/>
          <w:sz w:val="17"/>
          <w:szCs w:val="17"/>
          <w:color w:val="auto"/>
        </w:rPr>
      </w:pPr>
    </w:p>
    <w:p>
      <w:pPr>
        <w:jc w:val="both"/>
        <w:ind w:left="660" w:firstLine="644"/>
        <w:spacing w:after="0" w:line="229" w:lineRule="auto"/>
        <w:tabs>
          <w:tab w:leader="none" w:pos="17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returns, profits, distributions and similar amounts received in cash or Permitted Investments and the Fair Market Value of any in-kind amounts received by the Borrower and the Restricted Subsidiaries on Investments made using the Available Equity Amount (not to exceed the amount of such Investments);</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Available Equity Amount shall not include any Cure Amount, any amounts used to incur Indebtedness pursuant to Section 6.01(a)(xxiv), any amounts used to make Restricted Payments pursuant to </w:t>
      </w:r>
      <w:r>
        <w:rPr>
          <w:rFonts w:ascii="Arial" w:cs="Arial" w:eastAsia="Arial" w:hAnsi="Arial"/>
          <w:sz w:val="16"/>
          <w:szCs w:val="16"/>
          <w:u w:val="single" w:color="auto"/>
          <w:color w:val="auto"/>
        </w:rPr>
        <w:t>Section 6.08(a)(vi)(c)</w:t>
      </w:r>
      <w:r>
        <w:rPr>
          <w:rFonts w:ascii="Arial" w:cs="Arial" w:eastAsia="Arial" w:hAnsi="Arial"/>
          <w:sz w:val="16"/>
          <w:szCs w:val="16"/>
          <w:color w:val="auto"/>
        </w:rPr>
        <w:t xml:space="preserve"> or any amounts used to make Investments pursuant to </w:t>
      </w:r>
      <w:r>
        <w:rPr>
          <w:rFonts w:ascii="Arial" w:cs="Arial" w:eastAsia="Arial" w:hAnsi="Arial"/>
          <w:sz w:val="16"/>
          <w:szCs w:val="16"/>
          <w:u w:val="single" w:color="auto"/>
          <w:color w:val="auto"/>
        </w:rPr>
        <w:t>Section 6.04(q)</w:t>
      </w:r>
      <w:r>
        <w:rPr>
          <w:rFonts w:ascii="Arial" w:cs="Arial" w:eastAsia="Arial" w:hAnsi="Arial"/>
          <w:sz w:val="16"/>
          <w:szCs w:val="16"/>
          <w:color w:val="auto"/>
        </w:rPr>
        <w:t>.</w:t>
      </w:r>
    </w:p>
    <w:p>
      <w:pPr>
        <w:spacing w:after="0" w:line="137" w:lineRule="exact"/>
        <w:rPr>
          <w:sz w:val="20"/>
          <w:szCs w:val="20"/>
          <w:color w:val="auto"/>
        </w:rPr>
      </w:pPr>
    </w:p>
    <w:p>
      <w:pPr>
        <w:jc w:val="both"/>
        <w:ind w:firstLine="345"/>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RP Capacity Amount</w:t>
      </w:r>
      <w:r>
        <w:rPr>
          <w:rFonts w:ascii="Arial" w:cs="Arial" w:eastAsia="Arial" w:hAnsi="Arial"/>
          <w:sz w:val="16"/>
          <w:szCs w:val="16"/>
          <w:color w:val="auto"/>
        </w:rPr>
        <w:t xml:space="preserve">” means the amount of Restricted Payments and Restricted Debt Payments that may be made at the time of determination pursuant to </w:t>
      </w:r>
      <w:r>
        <w:rPr>
          <w:rFonts w:ascii="Arial" w:cs="Arial" w:eastAsia="Arial" w:hAnsi="Arial"/>
          <w:sz w:val="16"/>
          <w:szCs w:val="16"/>
          <w:u w:val="single" w:color="auto"/>
          <w:color w:val="auto"/>
        </w:rPr>
        <w:t>Sections 6.08(a)(vi)</w:t>
      </w:r>
      <w:r>
        <w:rPr>
          <w:rFonts w:ascii="Arial" w:cs="Arial" w:eastAsia="Arial" w:hAnsi="Arial"/>
          <w:sz w:val="16"/>
          <w:szCs w:val="16"/>
          <w:color w:val="auto"/>
        </w:rPr>
        <w:t xml:space="preserve"> ,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6.08(b)(iv)</w:t>
      </w:r>
      <w:r>
        <w:rPr>
          <w:rFonts w:ascii="Arial" w:cs="Arial" w:eastAsia="Arial" w:hAnsi="Arial"/>
          <w:sz w:val="16"/>
          <w:szCs w:val="16"/>
          <w:color w:val="auto"/>
        </w:rPr>
        <w:t xml:space="preserve"> (in each case without duplication), minus the sum of the amount of the Available RP Capacity Amount utilized by the Borrower or any Restricted Subsidiary to (a) make Investments pursuant to </w:t>
      </w:r>
      <w:r>
        <w:rPr>
          <w:rFonts w:ascii="Arial" w:cs="Arial" w:eastAsia="Arial" w:hAnsi="Arial"/>
          <w:sz w:val="16"/>
          <w:szCs w:val="16"/>
          <w:u w:val="single" w:color="auto"/>
          <w:color w:val="auto"/>
        </w:rPr>
        <w:t>Section 6.04(n)</w:t>
      </w:r>
      <w:r>
        <w:rPr>
          <w:rFonts w:ascii="Arial" w:cs="Arial" w:eastAsia="Arial" w:hAnsi="Arial"/>
          <w:sz w:val="16"/>
          <w:szCs w:val="16"/>
          <w:color w:val="auto"/>
        </w:rPr>
        <w:t xml:space="preserve"> and (b) incur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Indebtedness pursuant to </w:t>
      </w:r>
      <w:r>
        <w:rPr>
          <w:rFonts w:ascii="Arial" w:cs="Arial" w:eastAsia="Arial" w:hAnsi="Arial"/>
          <w:sz w:val="18"/>
          <w:szCs w:val="18"/>
          <w:u w:val="single" w:color="auto"/>
          <w:color w:val="auto"/>
        </w:rPr>
        <w:t>Section 6.01(a)(xxix)(A)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0000FF"/>
          <w:highlight w:val="lightGray"/>
        </w:rPr>
        <w:t xml:space="preserve">“Available Tenor” means, as of any date of determination and with respect to the then-current Benchmark, as applicable, any tenor for such </w:t>
      </w:r>
      <w:r>
        <w:rPr>
          <w:rFonts w:ascii="Arial" w:cs="Arial" w:eastAsia="Arial" w:hAnsi="Arial"/>
          <w:sz w:val="16"/>
          <w:szCs w:val="16"/>
          <w:u w:val="single" w:color="auto"/>
          <w:color w:val="0000FF"/>
          <w:highlight w:val="lightGray"/>
        </w:rPr>
        <w:t>Benchmark (or component thereof) or payment period for interest calculated with reference to such Benchmark (or component thereof), as applicable, that</w:t>
      </w:r>
    </w:p>
    <w:p>
      <w:pPr>
        <w:jc w:val="both"/>
        <w:spacing w:after="0" w:line="218" w:lineRule="auto"/>
        <w:rPr>
          <w:sz w:val="20"/>
          <w:szCs w:val="20"/>
          <w:color w:val="auto"/>
        </w:rPr>
      </w:pPr>
      <w:r>
        <w:rPr>
          <w:rFonts w:ascii="Arial" w:cs="Arial" w:eastAsia="Arial" w:hAnsi="Arial"/>
          <w:sz w:val="18"/>
          <w:szCs w:val="18"/>
          <w:color w:val="0000FF"/>
          <w:highlight w:val="lightGray"/>
        </w:rPr>
        <w:t>is or may be used for determining the length of an Interest Period for any term r</w:t>
      </w:r>
      <w:r>
        <w:rPr>
          <w:rFonts w:ascii="Arial" w:cs="Arial" w:eastAsia="Arial" w:hAnsi="Arial"/>
          <w:sz w:val="18"/>
          <w:szCs w:val="18"/>
          <w:u w:val="single" w:color="auto"/>
          <w:color w:val="0000FF"/>
          <w:highlight w:val="lightGray"/>
        </w:rPr>
        <w:t>ate or otherwise, for determi</w:t>
      </w:r>
      <w:r>
        <w:rPr>
          <w:rFonts w:ascii="Arial" w:cs="Arial" w:eastAsia="Arial" w:hAnsi="Arial"/>
          <w:sz w:val="18"/>
          <w:szCs w:val="18"/>
          <w:color w:val="0000FF"/>
          <w:highlight w:val="lightGray"/>
        </w:rPr>
        <w:t xml:space="preserve">ning any frequency of making payments of interest calculated pursuant to this Agreement as of such date and not including, </w:t>
      </w:r>
      <w:r>
        <w:rPr>
          <w:rFonts w:ascii="Arial" w:cs="Arial" w:eastAsia="Arial" w:hAnsi="Arial"/>
          <w:sz w:val="18"/>
          <w:szCs w:val="18"/>
          <w:color w:val="008000"/>
        </w:rPr>
        <w:t>for</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8000"/>
        </w:rPr>
        <w:t>the avoidance of doubt,</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any tenor for such Benchmark that is then-removed from the definition of “Interest Period” pursuant to clause (e) of Section 2.14.</w:t>
      </w:r>
    </w:p>
    <w:p>
      <w:pPr>
        <w:spacing w:after="0" w:line="17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xml:space="preserve"> ”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Legislation</w:t>
      </w:r>
      <w:r>
        <w:rPr>
          <w:rFonts w:ascii="Arial" w:cs="Arial" w:eastAsia="Arial" w:hAnsi="Arial"/>
          <w:sz w:val="17"/>
          <w:szCs w:val="17"/>
          <w:color w:val="auto"/>
        </w:rPr>
        <w:t>” means, with respect to (a) any EEA Member Country implementing Article 55 of Directive 2014/59/EU of the European</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banks, investment firms or other financial institutions or their affiliates (other than through liquidation, administration or other insolvency proceedings).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Basel III</w:t>
      </w:r>
      <w:r>
        <w:rPr>
          <w:rFonts w:ascii="Arial" w:cs="Arial" w:eastAsia="Arial" w:hAnsi="Arial"/>
          <w:sz w:val="16"/>
          <w:szCs w:val="16"/>
          <w:color w:val="auto"/>
        </w:rPr>
        <w:t>” means, collectively, those certain agreements on capital requirements, a leverage ratio and liquidity standards contained in “Basel III:</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 Global Regulatory Framework for More Resilient Banks and Banking Systems,” “Basel III: International Framework for Liquidity Risk Measurement,</w:t>
      </w:r>
    </w:p>
    <w:p>
      <w:pPr>
        <w:jc w:val="both"/>
        <w:spacing w:after="0" w:line="218" w:lineRule="auto"/>
        <w:rPr>
          <w:sz w:val="20"/>
          <w:szCs w:val="20"/>
          <w:color w:val="auto"/>
        </w:rPr>
      </w:pPr>
      <w:r>
        <w:rPr>
          <w:rFonts w:ascii="Arial" w:cs="Arial" w:eastAsia="Arial" w:hAnsi="Arial"/>
          <w:sz w:val="18"/>
          <w:szCs w:val="18"/>
          <w:color w:val="auto"/>
        </w:rPr>
        <w:t>Standards and Monitoring,” and “Guidance for National Authorities Operating the Countercyclical Capital Buffer,” each as published by the Basel Committee on Banking Supervision in December 2010 (as revised from time to time), and as implemented by a Lender’s primary banking regulatory authority.</w:t>
      </w:r>
    </w:p>
    <w:p>
      <w:pPr>
        <w:spacing w:after="0" w:line="17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0000FF"/>
          <w:highlight w:val="lightGray"/>
        </w:rPr>
        <w:t>“Benchmark” means, initially, the Term SOFR Reference Rate; provided that, if a Benchmark Transition Event have occurred with respect to any applicable then-current Benchmark, then “Benchmark” means t</w:t>
      </w:r>
      <w:r>
        <w:rPr>
          <w:rFonts w:ascii="Arial" w:cs="Arial" w:eastAsia="Arial" w:hAnsi="Arial"/>
          <w:sz w:val="18"/>
          <w:szCs w:val="18"/>
          <w:u w:val="single" w:color="auto"/>
          <w:color w:val="0000FF"/>
          <w:highlight w:val="lightGray"/>
        </w:rPr>
        <w:t>he applicable Benchmark Replacement to the extent that such Benchmark Replacement has</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replaced such prior Benchmark rate pursuant to Section 2.14(b).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7</w:t>
      </w:r>
    </w:p>
    <w:p>
      <w:pPr>
        <w:sectPr>
          <w:pgSz w:w="11900" w:h="16838" w:orient="portrait"/>
          <w:cols w:equalWidth="0" w:num="1">
            <w:col w:w="11240"/>
          </w:cols>
          <w:pgMar w:left="320" w:top="1440" w:right="339" w:bottom="1440" w:gutter="0" w:footer="0" w:header="0"/>
        </w:sectPr>
      </w:pPr>
    </w:p>
    <w:bookmarkStart w:id="65" w:name="page66"/>
    <w:bookmarkEnd w:id="65"/>
    <w:p>
      <w:pPr>
        <w:spacing w:after="0" w:line="59"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0000FF"/>
          <w:highlight w:val="lightGray"/>
        </w:rPr>
        <w:t>“Benchmark</w:t>
      </w:r>
      <w:r>
        <w:rPr>
          <w:rFonts w:ascii="Arial" w:cs="Arial" w:eastAsia="Arial" w:hAnsi="Arial"/>
          <w:sz w:val="17"/>
          <w:szCs w:val="17"/>
          <w:color w:val="0000FF"/>
          <w:highlight w:val="lightGray"/>
        </w:rPr>
        <w:t xml:space="preserve"> Replacement” means, for any Available Tenor, the first alternative set forth in the order below that can be </w:t>
      </w:r>
      <w:r>
        <w:rPr>
          <w:rFonts w:ascii="Arial" w:cs="Arial" w:eastAsia="Arial" w:hAnsi="Arial"/>
          <w:sz w:val="17"/>
          <w:szCs w:val="17"/>
          <w:u w:val="single" w:color="auto"/>
          <w:color w:val="008000"/>
        </w:rPr>
        <w:t>determined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-635</wp:posOffset>
            </wp:positionV>
            <wp:extent cx="2989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29895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8000"/>
        </w:rPr>
        <w:t xml:space="preserve">Administrative Agent </w:t>
      </w:r>
      <w:r>
        <w:rPr>
          <w:rFonts w:ascii="Arial" w:cs="Arial" w:eastAsia="Arial" w:hAnsi="Arial"/>
          <w:sz w:val="18"/>
          <w:szCs w:val="18"/>
          <w:u w:val="single" w:color="auto"/>
          <w:color w:val="0000FF"/>
          <w:highlight w:val="lightGray"/>
        </w:rPr>
        <w:t>for the applicable Benchmark Replacement Date:</w:t>
      </w:r>
    </w:p>
    <w:p>
      <w:pPr>
        <w:spacing w:after="0" w:line="169" w:lineRule="exact"/>
        <w:rPr>
          <w:sz w:val="20"/>
          <w:szCs w:val="20"/>
          <w:color w:val="auto"/>
        </w:rPr>
      </w:pPr>
    </w:p>
    <w:p>
      <w:pPr>
        <w:ind w:left="1540" w:hanging="236"/>
        <w:spacing w:after="0"/>
        <w:tabs>
          <w:tab w:leader="none" w:pos="1540" w:val="left"/>
        </w:tabs>
        <w:numPr>
          <w:ilvl w:val="0"/>
          <w:numId w:val="22"/>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Adjusted Daily Simple SOFR; or</w:t>
      </w:r>
    </w:p>
    <w:p>
      <w:pPr>
        <w:spacing w:after="0" w:line="198" w:lineRule="exact"/>
        <w:rPr>
          <w:rFonts w:ascii="Arial" w:cs="Arial" w:eastAsia="Arial" w:hAnsi="Arial"/>
          <w:sz w:val="18"/>
          <w:szCs w:val="18"/>
          <w:u w:val="single" w:color="auto"/>
          <w:color w:val="0000FF"/>
          <w:highlight w:val="lightGray"/>
        </w:rPr>
      </w:pPr>
    </w:p>
    <w:p>
      <w:pPr>
        <w:jc w:val="both"/>
        <w:ind w:left="660" w:firstLine="644"/>
        <w:spacing w:after="0" w:line="232" w:lineRule="auto"/>
        <w:tabs>
          <w:tab w:leader="none" w:pos="1572" w:val="left"/>
        </w:tabs>
        <w:numPr>
          <w:ilvl w:val="0"/>
          <w:numId w:val="22"/>
        </w:numPr>
        <w:rPr>
          <w:rFonts w:ascii="Arial" w:cs="Arial" w:eastAsia="Arial" w:hAnsi="Arial"/>
          <w:sz w:val="17"/>
          <w:szCs w:val="17"/>
          <w:color w:val="0000FF"/>
          <w:highlight w:val="lightGray"/>
        </w:rPr>
      </w:pPr>
      <w:r>
        <w:rPr>
          <w:rFonts w:ascii="Arial" w:cs="Arial" w:eastAsia="Arial" w:hAnsi="Arial"/>
          <w:sz w:val="17"/>
          <w:szCs w:val="17"/>
          <w:color w:val="0000FF"/>
          <w:highlight w:val="lightGray"/>
        </w:rPr>
        <w:t xml:space="preserve">the sum of: (i) the alternate benchmark rate that has been selected by </w:t>
      </w:r>
      <w:r>
        <w:rPr>
          <w:rFonts w:ascii="Arial" w:cs="Arial" w:eastAsia="Arial" w:hAnsi="Arial"/>
          <w:sz w:val="17"/>
          <w:szCs w:val="17"/>
          <w:color w:val="008000"/>
        </w:rPr>
        <w:t>the Administrative Agent and the Borrower</w:t>
      </w:r>
      <w:r>
        <w:rPr>
          <w:rFonts w:ascii="Arial" w:cs="Arial" w:eastAsia="Arial" w:hAnsi="Arial"/>
          <w:sz w:val="17"/>
          <w:szCs w:val="17"/>
          <w:color w:val="0000FF"/>
          <w:highlight w:val="lightGray"/>
        </w:rPr>
        <w:t xml:space="preserve"> as the replacement for such Benchmark for the applicable Corresponding Tenor giving due consideration to (A) any selection or recommendation of a replacement </w:t>
      </w:r>
      <w:r>
        <w:rPr>
          <w:rFonts w:ascii="Arial" w:cs="Arial" w:eastAsia="Arial" w:hAnsi="Arial"/>
          <w:sz w:val="17"/>
          <w:szCs w:val="17"/>
          <w:u w:val="single" w:color="auto"/>
          <w:color w:val="0000FF"/>
          <w:highlight w:val="lightGray"/>
        </w:rPr>
        <w:t xml:space="preserve">benchmark rate or the mechanism for determining such a rate by the Relevant Governmental Body or (B) any evolving or then-prevailing market </w:t>
      </w:r>
      <w:r>
        <w:rPr>
          <w:rFonts w:ascii="Arial" w:cs="Arial" w:eastAsia="Arial" w:hAnsi="Arial"/>
          <w:sz w:val="17"/>
          <w:szCs w:val="17"/>
          <w:color w:val="0000FF"/>
          <w:highlight w:val="lightGray"/>
        </w:rPr>
        <w:t>convention for determining a benchmark rate as a replacemen</w:t>
      </w:r>
      <w:r>
        <w:rPr>
          <w:rFonts w:ascii="Arial" w:cs="Arial" w:eastAsia="Arial" w:hAnsi="Arial"/>
          <w:sz w:val="17"/>
          <w:szCs w:val="17"/>
          <w:u w:val="single" w:color="auto"/>
          <w:color w:val="0000FF"/>
          <w:highlight w:val="lightGray"/>
        </w:rPr>
        <w:t>t for such Benchmark for syndicated credit facilities denominated in Dollars at such</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time and (ii) the related Benchmark Replacement Adjustment;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u w:val="single" w:color="auto"/>
          <w:color w:val="0000FF"/>
          <w:highlight w:val="lightGray"/>
        </w:rPr>
        <w:t xml:space="preserve">provided that the Benchmark Replacement as determined pursuant to clause (a) or (b) above shall not be less than (i) </w:t>
      </w:r>
      <w:r>
        <w:rPr>
          <w:rFonts w:ascii="Arial" w:cs="Arial" w:eastAsia="Arial" w:hAnsi="Arial"/>
          <w:sz w:val="18"/>
          <w:szCs w:val="18"/>
          <w:u w:val="single" w:color="auto"/>
          <w:color w:val="008000"/>
        </w:rPr>
        <w:t>with respect to Revolving</w:t>
      </w:r>
      <w:r>
        <w:rPr>
          <w:rFonts w:ascii="Arial" w:cs="Arial" w:eastAsia="Arial" w:hAnsi="Arial"/>
          <w:sz w:val="18"/>
          <w:szCs w:val="18"/>
          <w:u w:val="single" w:color="auto"/>
          <w:color w:val="0000FF"/>
          <w:highlight w:val="lightGray"/>
        </w:rPr>
        <w:t xml:space="preserve"> </w:t>
      </w:r>
      <w:r>
        <w:rPr>
          <w:rFonts w:ascii="Arial" w:cs="Arial" w:eastAsia="Arial" w:hAnsi="Arial"/>
          <w:sz w:val="18"/>
          <w:szCs w:val="18"/>
          <w:u w:val="single" w:color="auto"/>
          <w:color w:val="008000"/>
        </w:rPr>
        <w:t xml:space="preserve">Loans, </w:t>
      </w:r>
      <w:r>
        <w:rPr>
          <w:rFonts w:ascii="Arial" w:cs="Arial" w:eastAsia="Arial" w:hAnsi="Arial"/>
          <w:sz w:val="18"/>
          <w:szCs w:val="18"/>
          <w:u w:val="single" w:color="auto"/>
          <w:color w:val="0000FF"/>
          <w:highlight w:val="lightGray"/>
        </w:rPr>
        <w:t>0.00% per annum and (y) with respect to the Term Loans, 0.50% per annum.</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0000FF"/>
          <w:highlight w:val="lightGray"/>
        </w:rPr>
        <w:t xml:space="preserve">“Benchmark Replacement Adjustment” means, with respect to any replacement of any then-current Benchmark with an Unadjusted Benchmark </w:t>
      </w:r>
      <w:r>
        <w:rPr>
          <w:rFonts w:ascii="Arial" w:cs="Arial" w:eastAsia="Arial" w:hAnsi="Arial"/>
          <w:sz w:val="16"/>
          <w:szCs w:val="16"/>
          <w:u w:val="single" w:color="auto"/>
          <w:color w:val="0000FF"/>
          <w:highlight w:val="lightGray"/>
        </w:rPr>
        <w:t>Replacement for any applicable Interest Period and Available Tenor for any setting of such Unadjusted Benchmark Replacement, the spread adjustment</w:t>
      </w:r>
    </w:p>
    <w:p>
      <w:pPr>
        <w:jc w:val="both"/>
        <w:spacing w:after="0" w:line="221" w:lineRule="auto"/>
        <w:rPr>
          <w:sz w:val="20"/>
          <w:szCs w:val="20"/>
          <w:color w:val="auto"/>
        </w:rPr>
      </w:pPr>
      <w:r>
        <w:rPr>
          <w:rFonts w:ascii="Arial" w:cs="Arial" w:eastAsia="Arial" w:hAnsi="Arial"/>
          <w:sz w:val="17"/>
          <w:szCs w:val="17"/>
          <w:color w:val="0000FF"/>
          <w:highlight w:val="lightGray"/>
        </w:rPr>
        <w:t xml:space="preserve">(which may be a positive or negative value or zero), or method for calculating or determining such spread adjustment, that has been selected by the Administrative Agent and the Borrower for the applicable Corresponding Tenor giving due consideration to (a) any selection or recommendation of a </w:t>
      </w:r>
      <w:r>
        <w:rPr>
          <w:rFonts w:ascii="Arial" w:cs="Arial" w:eastAsia="Arial" w:hAnsi="Arial"/>
          <w:sz w:val="17"/>
          <w:szCs w:val="17"/>
          <w:u w:val="single" w:color="auto"/>
          <w:color w:val="0000FF"/>
          <w:highlight w:val="lightGray"/>
        </w:rPr>
        <w:t>spread adjustment, or method for calculating or determining such spread adjustment, for the replacement of such Benchmark with the applicable</w:t>
      </w:r>
    </w:p>
    <w:p>
      <w:pPr>
        <w:jc w:val="both"/>
        <w:spacing w:after="0" w:line="248" w:lineRule="auto"/>
        <w:rPr>
          <w:sz w:val="20"/>
          <w:szCs w:val="20"/>
          <w:color w:val="auto"/>
        </w:rPr>
      </w:pPr>
      <w:r>
        <w:rPr>
          <w:rFonts w:ascii="Arial" w:cs="Arial" w:eastAsia="Arial" w:hAnsi="Arial"/>
          <w:sz w:val="16"/>
          <w:szCs w:val="16"/>
          <w:color w:val="0000FF"/>
          <w:highlight w:val="lightGray"/>
        </w:rPr>
        <w:t xml:space="preserve">Unadjusted Benchmark Replacement </w:t>
      </w:r>
      <w:r>
        <w:rPr>
          <w:rFonts w:ascii="Arial" w:cs="Arial" w:eastAsia="Arial" w:hAnsi="Arial"/>
          <w:sz w:val="16"/>
          <w:szCs w:val="16"/>
          <w:color w:val="008000"/>
        </w:rPr>
        <w:t>by the Relevant Governmental Body</w:t>
      </w:r>
      <w:r>
        <w:rPr>
          <w:rFonts w:ascii="Arial" w:cs="Arial" w:eastAsia="Arial" w:hAnsi="Arial"/>
          <w:sz w:val="16"/>
          <w:szCs w:val="16"/>
          <w:color w:val="0000FF"/>
          <w:highlight w:val="lightGray"/>
        </w:rPr>
        <w:t xml:space="preserve"> on the applicable Benchmark Replacement Date and/or (b) any evolving or then-prevailing market convention for determining a spread adjustment, or method for calculating or determining such spread adjustment, for th</w:t>
      </w:r>
      <w:r>
        <w:rPr>
          <w:rFonts w:ascii="Arial" w:cs="Arial" w:eastAsia="Arial" w:hAnsi="Arial"/>
          <w:sz w:val="16"/>
          <w:szCs w:val="16"/>
          <w:u w:val="single" w:color="auto"/>
          <w:color w:val="0000FF"/>
          <w:highlight w:val="lightGray"/>
        </w:rPr>
        <w:t>e replacement of</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such Benchmark with the applicable Unadjusted Benchmark Replacement for dollar- denominated syndicated credit facilities at such time.</w:t>
      </w:r>
    </w:p>
    <w:p>
      <w:pPr>
        <w:spacing w:after="0" w:line="17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0000FF"/>
          <w:highlight w:val="lightGray"/>
        </w:rPr>
        <w:t xml:space="preserve">“Benchmark Replacement </w:t>
      </w:r>
      <w:r>
        <w:rPr>
          <w:rFonts w:ascii="Arial" w:cs="Arial" w:eastAsia="Arial" w:hAnsi="Arial"/>
          <w:sz w:val="16"/>
          <w:szCs w:val="16"/>
          <w:color w:val="008000"/>
        </w:rPr>
        <w:t>Conforming Changes” means, with respect to</w:t>
      </w:r>
      <w:r>
        <w:rPr>
          <w:rFonts w:ascii="Arial" w:cs="Arial" w:eastAsia="Arial" w:hAnsi="Arial"/>
          <w:sz w:val="16"/>
          <w:szCs w:val="16"/>
          <w:color w:val="0000FF"/>
          <w:highlight w:val="lightGray"/>
        </w:rPr>
        <w:t xml:space="preserve"> either the use or administration of Adjusted Term SOFR, Term SOFR or </w:t>
      </w:r>
      <w:r>
        <w:rPr>
          <w:rFonts w:ascii="Arial" w:cs="Arial" w:eastAsia="Arial" w:hAnsi="Arial"/>
          <w:sz w:val="16"/>
          <w:szCs w:val="16"/>
          <w:u w:val="single" w:color="auto"/>
          <w:color w:val="0000FF"/>
        </w:rPr>
        <w:t>the use, administration, ado</w:t>
      </w:r>
      <w:r>
        <w:rPr>
          <w:rFonts w:ascii="Arial" w:cs="Arial" w:eastAsia="Arial" w:hAnsi="Arial"/>
          <w:sz w:val="16"/>
          <w:szCs w:val="16"/>
          <w:color w:val="0000FF"/>
        </w:rPr>
        <w:t xml:space="preserve">ption or implementation of any Benchmark Replacement, any technical, administrative or operational changes (including </w:t>
      </w:r>
      <w:r>
        <w:rPr>
          <w:rFonts w:ascii="Arial" w:cs="Arial" w:eastAsia="Arial" w:hAnsi="Arial"/>
          <w:sz w:val="16"/>
          <w:szCs w:val="16"/>
          <w:u w:val="single" w:color="auto"/>
          <w:color w:val="008000"/>
        </w:rPr>
        <w:t xml:space="preserve">changes to the definition of </w:t>
      </w:r>
      <w:r>
        <w:rPr>
          <w:rFonts w:ascii="Arial" w:cs="Arial" w:eastAsia="Arial" w:hAnsi="Arial"/>
          <w:sz w:val="16"/>
          <w:szCs w:val="16"/>
          <w:u w:val="single" w:color="auto"/>
          <w:color w:val="0000FF"/>
          <w:highlight w:val="lightGray"/>
        </w:rPr>
        <w:t>“Alternate Base Rate,” the definition of “Business Day,” the definition of “U.S. Government Securities Business Day,”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0000FF"/>
          <w:highlight w:val="lightGray"/>
        </w:rPr>
        <w:t>definition of “Interest Period” or any similar or analogous definition</w:t>
      </w:r>
      <w:r>
        <w:rPr>
          <w:rFonts w:ascii="Arial" w:cs="Arial" w:eastAsia="Arial" w:hAnsi="Arial"/>
          <w:sz w:val="16"/>
          <w:szCs w:val="16"/>
          <w:color w:val="008000"/>
        </w:rPr>
        <w:t>, timing and frequency of determining rates and making payments of interest</w:t>
      </w:r>
      <w:r>
        <w:rPr>
          <w:rFonts w:ascii="Arial" w:cs="Arial" w:eastAsia="Arial" w:hAnsi="Arial"/>
          <w:sz w:val="16"/>
          <w:szCs w:val="16"/>
          <w:color w:val="0000FF"/>
          <w:highlight w:val="lightGray"/>
        </w:rPr>
        <w:t xml:space="preserve">, timing of borrowing </w:t>
      </w:r>
      <w:r>
        <w:rPr>
          <w:rFonts w:ascii="Arial" w:cs="Arial" w:eastAsia="Arial" w:hAnsi="Arial"/>
          <w:sz w:val="16"/>
          <w:szCs w:val="16"/>
          <w:u w:val="single" w:color="auto"/>
          <w:color w:val="0000FF"/>
          <w:highlight w:val="lightGray"/>
        </w:rPr>
        <w:t>requests or prepayment, conversion or continuation noti</w:t>
      </w:r>
      <w:r>
        <w:rPr>
          <w:rFonts w:ascii="Arial" w:cs="Arial" w:eastAsia="Arial" w:hAnsi="Arial"/>
          <w:sz w:val="16"/>
          <w:szCs w:val="16"/>
          <w:color w:val="0000FF"/>
          <w:highlight w:val="lightGray"/>
        </w:rPr>
        <w:t xml:space="preserve">ces, the applicability and length of lookback periods, the applicability of breakage </w:t>
      </w:r>
      <w:r>
        <w:rPr>
          <w:rFonts w:ascii="Arial" w:cs="Arial" w:eastAsia="Arial" w:hAnsi="Arial"/>
          <w:sz w:val="16"/>
          <w:szCs w:val="16"/>
          <w:u w:val="single" w:color="auto"/>
          <w:color w:val="0000FF"/>
          <w:highlight w:val="lightGray"/>
        </w:rPr>
        <w:t xml:space="preserve">provisions </w:t>
      </w:r>
      <w:r>
        <w:rPr>
          <w:rFonts w:ascii="Arial" w:cs="Arial" w:eastAsia="Arial" w:hAnsi="Arial"/>
          <w:sz w:val="16"/>
          <w:szCs w:val="16"/>
          <w:u w:val="single" w:color="auto"/>
          <w:color w:val="008000"/>
        </w:rPr>
        <w:t>and other technical, administrative or operational matters</w:t>
      </w:r>
      <w:r>
        <w:rPr>
          <w:rFonts w:ascii="Arial" w:cs="Arial" w:eastAsia="Arial" w:hAnsi="Arial"/>
          <w:sz w:val="16"/>
          <w:szCs w:val="16"/>
          <w:u w:val="single" w:color="auto"/>
          <w:color w:val="0000FF"/>
          <w:highlight w:val="lightGray"/>
        </w:rPr>
        <w:t>) that the Administrative Agent, in consultation with the Borrower, decides may be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u w:val="single" w:color="auto"/>
          <w:color w:val="0000FF"/>
          <w:highlight w:val="lightGray"/>
        </w:rPr>
        <w:t>appropriate</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8000"/>
        </w:rPr>
        <w:t>to reflect the adoption and implementation of</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any such rate or to permit the</w:t>
      </w:r>
      <w:r>
        <w:rPr>
          <w:rFonts w:ascii="Arial" w:cs="Arial" w:eastAsia="Arial" w:hAnsi="Arial"/>
          <w:sz w:val="16"/>
          <w:szCs w:val="16"/>
          <w:color w:val="0000FF"/>
          <w:highlight w:val="lightGray"/>
        </w:rPr>
        <w:t xml:space="preserve"> use and </w:t>
      </w:r>
      <w:r>
        <w:rPr>
          <w:rFonts w:ascii="Arial" w:cs="Arial" w:eastAsia="Arial" w:hAnsi="Arial"/>
          <w:sz w:val="16"/>
          <w:szCs w:val="16"/>
          <w:color w:val="008000"/>
        </w:rPr>
        <w:t>administra</w:t>
      </w:r>
      <w:r>
        <w:rPr>
          <w:rFonts w:ascii="Arial" w:cs="Arial" w:eastAsia="Arial" w:hAnsi="Arial"/>
          <w:sz w:val="16"/>
          <w:szCs w:val="16"/>
          <w:u w:val="single" w:color="auto"/>
          <w:color w:val="008000"/>
        </w:rPr>
        <w:t>tion thereof by the Administrative Agent in a</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8000"/>
        </w:rPr>
        <w:t>manner substantially consistent with mar</w:t>
      </w:r>
      <w:r>
        <w:rPr>
          <w:rFonts w:ascii="Arial" w:cs="Arial" w:eastAsia="Arial" w:hAnsi="Arial"/>
          <w:sz w:val="16"/>
          <w:szCs w:val="16"/>
          <w:color w:val="008000"/>
        </w:rPr>
        <w:t xml:space="preserve">ket practice (or, if the Administrative Agent </w:t>
      </w:r>
      <w:r>
        <w:rPr>
          <w:rFonts w:ascii="Arial" w:cs="Arial" w:eastAsia="Arial" w:hAnsi="Arial"/>
          <w:sz w:val="16"/>
          <w:szCs w:val="16"/>
          <w:color w:val="0000FF"/>
          <w:highlight w:val="lightGray"/>
        </w:rPr>
        <w:t>reas</w:t>
      </w:r>
      <w:r>
        <w:rPr>
          <w:rFonts w:ascii="Arial" w:cs="Arial" w:eastAsia="Arial" w:hAnsi="Arial"/>
          <w:sz w:val="16"/>
          <w:szCs w:val="16"/>
          <w:color w:val="008000"/>
        </w:rPr>
        <w:t xml:space="preserve"> </w:t>
      </w:r>
      <w:r>
        <w:rPr>
          <w:rFonts w:ascii="Arial" w:cs="Arial" w:eastAsia="Arial" w:hAnsi="Arial"/>
          <w:sz w:val="16"/>
          <w:szCs w:val="16"/>
          <w:u w:val="single" w:color="auto"/>
          <w:color w:val="0000FF"/>
          <w:highlight w:val="lightGray"/>
        </w:rPr>
        <w:t>onably decides</w:t>
      </w:r>
      <w:r>
        <w:rPr>
          <w:rFonts w:ascii="Arial" w:cs="Arial" w:eastAsia="Arial" w:hAnsi="Arial"/>
          <w:sz w:val="16"/>
          <w:szCs w:val="16"/>
          <w:color w:val="008000"/>
        </w:rPr>
        <w:t xml:space="preserve"> </w:t>
      </w:r>
      <w:r>
        <w:rPr>
          <w:rFonts w:ascii="Arial" w:cs="Arial" w:eastAsia="Arial" w:hAnsi="Arial"/>
          <w:sz w:val="16"/>
          <w:szCs w:val="16"/>
          <w:u w:val="single" w:color="auto"/>
          <w:color w:val="008000"/>
        </w:rPr>
        <w:t>that adoption of any portion of</w:t>
      </w:r>
      <w:r>
        <w:rPr>
          <w:rFonts w:ascii="Arial" w:cs="Arial" w:eastAsia="Arial" w:hAnsi="Arial"/>
          <w:sz w:val="16"/>
          <w:szCs w:val="16"/>
          <w:color w:val="008000"/>
        </w:rPr>
        <w:t xml:space="preserve"> such market </w:t>
      </w:r>
      <w:r>
        <w:rPr>
          <w:rFonts w:ascii="Arial" w:cs="Arial" w:eastAsia="Arial" w:hAnsi="Arial"/>
          <w:sz w:val="16"/>
          <w:szCs w:val="16"/>
          <w:u w:val="single" w:color="auto"/>
          <w:color w:val="008000"/>
        </w:rPr>
        <w:t xml:space="preserve">practice is not administratively feasible or </w:t>
      </w:r>
      <w:r>
        <w:rPr>
          <w:rFonts w:ascii="Arial" w:cs="Arial" w:eastAsia="Arial" w:hAnsi="Arial"/>
          <w:sz w:val="16"/>
          <w:szCs w:val="16"/>
          <w:u w:val="single" w:color="auto"/>
          <w:color w:val="0000FF"/>
          <w:highlight w:val="lightGray"/>
        </w:rPr>
        <w:t>if the Administrative Agent reasonably determines</w:t>
      </w:r>
      <w:r>
        <w:rPr>
          <w:rFonts w:ascii="Arial" w:cs="Arial" w:eastAsia="Arial" w:hAnsi="Arial"/>
          <w:sz w:val="16"/>
          <w:szCs w:val="16"/>
          <w:u w:val="single" w:color="auto"/>
          <w:color w:val="008000"/>
        </w:rPr>
        <w:t xml:space="preserve"> that no market practice for the administration of </w:t>
      </w:r>
      <w:r>
        <w:rPr>
          <w:rFonts w:ascii="Arial" w:cs="Arial" w:eastAsia="Arial" w:hAnsi="Arial"/>
          <w:sz w:val="16"/>
          <w:szCs w:val="16"/>
          <w:u w:val="single" w:color="auto"/>
          <w:color w:val="0000FF"/>
          <w:highlight w:val="lightGray"/>
        </w:rPr>
        <w:t>any such rate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008000"/>
        </w:rPr>
        <w:t>exists, in such other manner of administration as the Administrative Agent</w:t>
      </w:r>
      <w:r>
        <w:rPr>
          <w:rFonts w:ascii="Arial" w:cs="Arial" w:eastAsia="Arial" w:hAnsi="Arial"/>
          <w:sz w:val="18"/>
          <w:szCs w:val="18"/>
          <w:color w:val="0000FF"/>
          <w:highlight w:val="lightGray"/>
        </w:rPr>
        <w:t>, in c</w:t>
      </w:r>
      <w:r>
        <w:rPr>
          <w:rFonts w:ascii="Arial" w:cs="Arial" w:eastAsia="Arial" w:hAnsi="Arial"/>
          <w:sz w:val="18"/>
          <w:szCs w:val="18"/>
          <w:u w:val="single" w:color="auto"/>
          <w:color w:val="0000FF"/>
          <w:highlight w:val="lightGray"/>
        </w:rPr>
        <w:t>onsultation with the Borrower, decides is reasonably necessary in</w:t>
      </w:r>
      <w:r>
        <w:rPr>
          <w:rFonts w:ascii="Arial" w:cs="Arial" w:eastAsia="Arial" w:hAnsi="Arial"/>
          <w:sz w:val="18"/>
          <w:szCs w:val="18"/>
          <w:color w:val="008000"/>
        </w:rPr>
        <w:t xml:space="preserve"> </w:t>
      </w:r>
      <w:r>
        <w:rPr>
          <w:rFonts w:ascii="Arial" w:cs="Arial" w:eastAsia="Arial" w:hAnsi="Arial"/>
          <w:sz w:val="18"/>
          <w:szCs w:val="18"/>
          <w:u w:val="single" w:color="auto"/>
          <w:color w:val="0000FF"/>
          <w:highlight w:val="lightGray"/>
        </w:rPr>
        <w:t>connection with the administration of this Agreement and the other Loan Documents).</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u w:val="single" w:color="auto"/>
          <w:color w:val="0000FF"/>
          <w:highlight w:val="lightGray"/>
        </w:rPr>
        <w:t>“Benchmark Replacement Date” means, with respect to any Benchmark, the earliest to occur of the following events with respect to the then-current Benchmark:</w:t>
      </w:r>
    </w:p>
    <w:p>
      <w:pPr>
        <w:spacing w:after="0" w:line="156" w:lineRule="exact"/>
        <w:rPr>
          <w:sz w:val="20"/>
          <w:szCs w:val="20"/>
          <w:color w:val="auto"/>
        </w:rPr>
      </w:pPr>
    </w:p>
    <w:p>
      <w:pPr>
        <w:jc w:val="both"/>
        <w:ind w:left="660" w:firstLine="644"/>
        <w:spacing w:after="0" w:line="267" w:lineRule="auto"/>
        <w:tabs>
          <w:tab w:leader="none" w:pos="1710" w:val="left"/>
        </w:tabs>
        <w:numPr>
          <w:ilvl w:val="0"/>
          <w:numId w:val="23"/>
        </w:numPr>
        <w:rPr>
          <w:rFonts w:ascii="Arial" w:cs="Arial" w:eastAsia="Arial" w:hAnsi="Arial"/>
          <w:sz w:val="16"/>
          <w:szCs w:val="16"/>
          <w:color w:val="0000FF"/>
          <w:highlight w:val="lightGray"/>
        </w:rPr>
      </w:pPr>
      <w:r>
        <w:rPr>
          <w:rFonts w:ascii="Arial" w:cs="Arial" w:eastAsia="Arial" w:hAnsi="Arial"/>
          <w:sz w:val="16"/>
          <w:szCs w:val="16"/>
          <w:color w:val="0000FF"/>
          <w:highlight w:val="lightGray"/>
        </w:rPr>
        <w:t xml:space="preserve">in the case of clause (a) or (b) of the definition of “Benchmark Transition Event”, the later of (i) the date of the public statement or </w:t>
      </w:r>
      <w:r>
        <w:rPr>
          <w:rFonts w:ascii="Arial" w:cs="Arial" w:eastAsia="Arial" w:hAnsi="Arial"/>
          <w:sz w:val="16"/>
          <w:szCs w:val="16"/>
          <w:u w:val="single" w:color="auto"/>
          <w:color w:val="0000FF"/>
          <w:highlight w:val="lightGray"/>
        </w:rPr>
        <w:t>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41" w:lineRule="exact"/>
        <w:rPr>
          <w:rFonts w:ascii="Arial" w:cs="Arial" w:eastAsia="Arial" w:hAnsi="Arial"/>
          <w:sz w:val="16"/>
          <w:szCs w:val="16"/>
          <w:color w:val="0000FF"/>
          <w:highlight w:val="lightGray"/>
        </w:rPr>
      </w:pPr>
    </w:p>
    <w:p>
      <w:pPr>
        <w:jc w:val="both"/>
        <w:ind w:left="660" w:firstLine="644"/>
        <w:spacing w:after="0" w:line="219" w:lineRule="auto"/>
        <w:tabs>
          <w:tab w:leader="none" w:pos="1812" w:val="left"/>
        </w:tabs>
        <w:numPr>
          <w:ilvl w:val="0"/>
          <w:numId w:val="23"/>
        </w:numPr>
        <w:rPr>
          <w:rFonts w:ascii="Arial" w:cs="Arial" w:eastAsia="Arial" w:hAnsi="Arial"/>
          <w:sz w:val="18"/>
          <w:szCs w:val="18"/>
          <w:color w:val="0000FF"/>
          <w:highlight w:val="lightGray"/>
        </w:rPr>
      </w:pPr>
      <w:r>
        <w:rPr>
          <w:rFonts w:ascii="Arial" w:cs="Arial" w:eastAsia="Arial" w:hAnsi="Arial"/>
          <w:sz w:val="18"/>
          <w:szCs w:val="18"/>
          <w:color w:val="0000FF"/>
          <w:highlight w:val="lightGray"/>
        </w:rPr>
        <w:t xml:space="preserve">in the case of clause (c) of the definition of “Benchmark Transition Event,” the first date on which such Benchmark (or the </w:t>
      </w:r>
      <w:r>
        <w:rPr>
          <w:rFonts w:ascii="Arial" w:cs="Arial" w:eastAsia="Arial" w:hAnsi="Arial"/>
          <w:sz w:val="18"/>
          <w:szCs w:val="18"/>
          <w:u w:val="single" w:color="auto"/>
          <w:color w:val="0000FF"/>
          <w:highlight w:val="lightGray"/>
        </w:rPr>
        <w:t>published component used in the calculation thereof) has been determined and announced by the regulatory supervisor for the administrator of such B</w:t>
      </w:r>
      <w:r>
        <w:rPr>
          <w:rFonts w:ascii="Arial" w:cs="Arial" w:eastAsia="Arial" w:hAnsi="Arial"/>
          <w:sz w:val="18"/>
          <w:szCs w:val="18"/>
          <w:color w:val="0000FF"/>
          <w:highlight w:val="lightGray"/>
        </w:rPr>
        <w:t xml:space="preserve">enchmark (or such component thereof) to be non-representative; provided that such non-representativeness will be </w:t>
      </w:r>
      <w:r>
        <w:rPr>
          <w:rFonts w:ascii="Arial" w:cs="Arial" w:eastAsia="Arial" w:hAnsi="Arial"/>
          <w:sz w:val="18"/>
          <w:szCs w:val="18"/>
          <w:color w:val="008000"/>
        </w:rPr>
        <w:t>determined by reference</w:t>
      </w:r>
      <w:r>
        <w:rPr>
          <w:rFonts w:ascii="Arial" w:cs="Arial" w:eastAsia="Arial" w:hAnsi="Arial"/>
          <w:sz w:val="18"/>
          <w:szCs w:val="18"/>
          <w:color w:val="0000FF"/>
          <w:highlight w:val="lightGray"/>
        </w:rPr>
        <w:t xml:space="preserve"> </w:t>
      </w:r>
      <w:r>
        <w:rPr>
          <w:rFonts w:ascii="Arial" w:cs="Arial" w:eastAsia="Arial" w:hAnsi="Arial"/>
          <w:sz w:val="18"/>
          <w:szCs w:val="18"/>
          <w:color w:val="008000"/>
        </w:rPr>
        <w:t xml:space="preserve">to the </w:t>
      </w:r>
      <w:r>
        <w:rPr>
          <w:rFonts w:ascii="Arial" w:cs="Arial" w:eastAsia="Arial" w:hAnsi="Arial"/>
          <w:sz w:val="18"/>
          <w:szCs w:val="18"/>
          <w:color w:val="0000FF"/>
          <w:highlight w:val="lightGray"/>
        </w:rPr>
        <w:t>most recent statement or publication ref</w:t>
      </w:r>
      <w:r>
        <w:rPr>
          <w:rFonts w:ascii="Arial" w:cs="Arial" w:eastAsia="Arial" w:hAnsi="Arial"/>
          <w:sz w:val="18"/>
          <w:szCs w:val="18"/>
          <w:u w:val="single" w:color="auto"/>
          <w:color w:val="0000FF"/>
          <w:highlight w:val="lightGray"/>
        </w:rPr>
        <w:t>erenced in such clause (c) and even if any Available Tenor of such Benchmark (or such component</w:t>
      </w:r>
      <w:r>
        <w:rPr>
          <w:rFonts w:ascii="Arial" w:cs="Arial" w:eastAsia="Arial" w:hAnsi="Arial"/>
          <w:sz w:val="18"/>
          <w:szCs w:val="18"/>
          <w:color w:val="008000"/>
        </w:rPr>
        <w:t xml:space="preserve"> </w:t>
      </w:r>
      <w:r>
        <w:rPr>
          <w:rFonts w:ascii="Arial" w:cs="Arial" w:eastAsia="Arial" w:hAnsi="Arial"/>
          <w:sz w:val="18"/>
          <w:szCs w:val="18"/>
          <w:u w:val="single" w:color="auto"/>
          <w:color w:val="0000FF"/>
          <w:highlight w:val="lightGray"/>
        </w:rPr>
        <w:t>thereof) continues to be provided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8</w:t>
      </w:r>
    </w:p>
    <w:p>
      <w:pPr>
        <w:sectPr>
          <w:pgSz w:w="11900" w:h="16838" w:orient="portrait"/>
          <w:cols w:equalWidth="0" w:num="1">
            <w:col w:w="11240"/>
          </w:cols>
          <w:pgMar w:left="320" w:top="1440" w:right="339" w:bottom="1440" w:gutter="0" w:footer="0" w:header="0"/>
        </w:sectPr>
      </w:pPr>
    </w:p>
    <w:bookmarkStart w:id="66" w:name="page67"/>
    <w:bookmarkEnd w:id="66"/>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0000FF"/>
          <w:highlight w:val="lightGray"/>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w:t>
      </w:r>
      <w:r>
        <w:rPr>
          <w:rFonts w:ascii="Arial" w:cs="Arial" w:eastAsia="Arial" w:hAnsi="Arial"/>
          <w:sz w:val="16"/>
          <w:szCs w:val="16"/>
          <w:u w:val="single" w:color="auto"/>
          <w:color w:val="0000FF"/>
          <w:highlight w:val="lightGray"/>
        </w:rPr>
        <w:t>determination and (ii) the “Benchmark Replacement Date” will be deemed to have occurred in the case of clause (a) or (b) with respect to any Benchmark</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0000FF"/>
          <w:highlight w:val="lightGray"/>
        </w:rPr>
        <w:t>upon the occurrence of the applicable event or eve</w:t>
      </w:r>
      <w:r>
        <w:rPr>
          <w:rFonts w:ascii="Arial" w:cs="Arial" w:eastAsia="Arial" w:hAnsi="Arial"/>
          <w:sz w:val="18"/>
          <w:szCs w:val="18"/>
          <w:u w:val="single" w:color="auto"/>
          <w:color w:val="0000FF"/>
          <w:highlight w:val="lightGray"/>
        </w:rPr>
        <w:t>nts set forth therein with respect to all then-current Available Tenors of such Benchmark (or the</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published component used in the calculation thereof).</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u w:val="single" w:color="auto"/>
          <w:color w:val="0000FF"/>
          <w:highlight w:val="lightGray"/>
        </w:rPr>
        <w:t>“Benchmark Transition Event” means, with respect to the then-current Benchmark, the occurrence of one or more of the following events with respect to such Benchmark:</w:t>
      </w:r>
    </w:p>
    <w:p>
      <w:pPr>
        <w:spacing w:after="0" w:line="156" w:lineRule="exact"/>
        <w:rPr>
          <w:sz w:val="20"/>
          <w:szCs w:val="20"/>
          <w:color w:val="auto"/>
        </w:rPr>
      </w:pPr>
    </w:p>
    <w:p>
      <w:pPr>
        <w:jc w:val="both"/>
        <w:ind w:left="660" w:firstLine="644"/>
        <w:spacing w:after="0" w:line="236" w:lineRule="auto"/>
        <w:tabs>
          <w:tab w:leader="none" w:pos="1826" w:val="left"/>
        </w:tabs>
        <w:numPr>
          <w:ilvl w:val="0"/>
          <w:numId w:val="24"/>
        </w:numPr>
        <w:rPr>
          <w:rFonts w:ascii="Arial" w:cs="Arial" w:eastAsia="Arial" w:hAnsi="Arial"/>
          <w:sz w:val="17"/>
          <w:szCs w:val="17"/>
          <w:color w:val="0000FF"/>
          <w:highlight w:val="lightGray"/>
        </w:rPr>
      </w:pPr>
      <w:r>
        <w:rPr>
          <w:rFonts w:ascii="Arial" w:cs="Arial" w:eastAsia="Arial" w:hAnsi="Arial"/>
          <w:sz w:val="17"/>
          <w:szCs w:val="17"/>
          <w:color w:val="0000FF"/>
          <w:highlight w:val="lightGray"/>
        </w:rPr>
        <w:t xml:space="preserve">a public statement or publication of information by or on behalf of the administrator of such Benchmark (or the published </w:t>
      </w:r>
      <w:r>
        <w:rPr>
          <w:rFonts w:ascii="Arial" w:cs="Arial" w:eastAsia="Arial" w:hAnsi="Arial"/>
          <w:sz w:val="17"/>
          <w:szCs w:val="17"/>
          <w:u w:val="single" w:color="auto"/>
          <w:color w:val="0000FF"/>
          <w:highlight w:val="lightGray"/>
        </w:rPr>
        <w:t xml:space="preserve">component used in the calculation thereof) announcing that such administrator has ceased or will cease to provide all Available Tenors of such </w:t>
      </w:r>
      <w:r>
        <w:rPr>
          <w:rFonts w:ascii="Arial" w:cs="Arial" w:eastAsia="Arial" w:hAnsi="Arial"/>
          <w:sz w:val="17"/>
          <w:szCs w:val="17"/>
          <w:u w:val="single" w:color="auto"/>
          <w:color w:val="0000FF"/>
        </w:rPr>
        <w:t>Benchmark (or such compo</w:t>
      </w:r>
      <w:r>
        <w:rPr>
          <w:rFonts w:ascii="Arial" w:cs="Arial" w:eastAsia="Arial" w:hAnsi="Arial"/>
          <w:sz w:val="17"/>
          <w:szCs w:val="17"/>
          <w:color w:val="0000FF"/>
        </w:rPr>
        <w:t>nent thereof), permanently or indefinitely</w:t>
      </w:r>
      <w:r>
        <w:rPr>
          <w:rFonts w:ascii="Arial" w:cs="Arial" w:eastAsia="Arial" w:hAnsi="Arial"/>
          <w:sz w:val="17"/>
          <w:szCs w:val="17"/>
          <w:color w:val="008000"/>
        </w:rPr>
        <w:t>; provided that, at the time of such statement</w:t>
      </w:r>
      <w:r>
        <w:rPr>
          <w:rFonts w:ascii="Arial" w:cs="Arial" w:eastAsia="Arial" w:hAnsi="Arial"/>
          <w:sz w:val="17"/>
          <w:szCs w:val="17"/>
          <w:color w:val="0000FF"/>
        </w:rPr>
        <w:t xml:space="preserve"> </w:t>
      </w:r>
      <w:r>
        <w:rPr>
          <w:rFonts w:ascii="Arial" w:cs="Arial" w:eastAsia="Arial" w:hAnsi="Arial"/>
          <w:sz w:val="17"/>
          <w:szCs w:val="17"/>
          <w:color w:val="0000FF"/>
          <w:highlight w:val="lightGray"/>
        </w:rPr>
        <w:t>or</w:t>
      </w:r>
      <w:r>
        <w:rPr>
          <w:rFonts w:ascii="Arial" w:cs="Arial" w:eastAsia="Arial" w:hAnsi="Arial"/>
          <w:sz w:val="17"/>
          <w:szCs w:val="17"/>
          <w:color w:val="0000FF"/>
        </w:rPr>
        <w:t xml:space="preserve"> </w:t>
      </w:r>
      <w:r>
        <w:rPr>
          <w:rFonts w:ascii="Arial" w:cs="Arial" w:eastAsia="Arial" w:hAnsi="Arial"/>
          <w:sz w:val="17"/>
          <w:szCs w:val="17"/>
          <w:u w:val="single" w:color="auto"/>
          <w:color w:val="0000FF"/>
          <w:highlight w:val="lightGray"/>
        </w:rPr>
        <w:t>publication</w:t>
      </w:r>
      <w:r>
        <w:rPr>
          <w:rFonts w:ascii="Arial" w:cs="Arial" w:eastAsia="Arial" w:hAnsi="Arial"/>
          <w:sz w:val="17"/>
          <w:szCs w:val="17"/>
          <w:u w:val="single" w:color="auto"/>
          <w:color w:val="008000"/>
        </w:rPr>
        <w:t>, there is no</w:t>
      </w:r>
      <w:r>
        <w:rPr>
          <w:rFonts w:ascii="Arial" w:cs="Arial" w:eastAsia="Arial" w:hAnsi="Arial"/>
          <w:sz w:val="17"/>
          <w:szCs w:val="17"/>
          <w:color w:val="0000FF"/>
        </w:rPr>
        <w:t xml:space="preserve"> </w:t>
      </w:r>
      <w:r>
        <w:rPr>
          <w:rFonts w:ascii="Arial" w:cs="Arial" w:eastAsia="Arial" w:hAnsi="Arial"/>
          <w:sz w:val="17"/>
          <w:szCs w:val="17"/>
          <w:u w:val="single" w:color="auto"/>
          <w:color w:val="008000"/>
        </w:rPr>
        <w:t xml:space="preserve">successor administrator that </w:t>
      </w:r>
      <w:r>
        <w:rPr>
          <w:rFonts w:ascii="Arial" w:cs="Arial" w:eastAsia="Arial" w:hAnsi="Arial"/>
          <w:sz w:val="17"/>
          <w:szCs w:val="17"/>
          <w:u w:val="single" w:color="auto"/>
          <w:color w:val="0000FF"/>
          <w:highlight w:val="lightGray"/>
        </w:rPr>
        <w:t>will continue to provide any Available Tenor of such Benchmark (or such component thereof);</w:t>
      </w:r>
    </w:p>
    <w:p>
      <w:pPr>
        <w:spacing w:after="0" w:line="162" w:lineRule="exact"/>
        <w:rPr>
          <w:rFonts w:ascii="Arial" w:cs="Arial" w:eastAsia="Arial" w:hAnsi="Arial"/>
          <w:sz w:val="17"/>
          <w:szCs w:val="17"/>
          <w:color w:val="0000FF"/>
          <w:highlight w:val="lightGray"/>
        </w:rPr>
      </w:pPr>
    </w:p>
    <w:p>
      <w:pPr>
        <w:jc w:val="both"/>
        <w:ind w:left="660" w:firstLine="644"/>
        <w:spacing w:after="0" w:line="217" w:lineRule="auto"/>
        <w:tabs>
          <w:tab w:leader="none" w:pos="1797" w:val="left"/>
        </w:tabs>
        <w:numPr>
          <w:ilvl w:val="0"/>
          <w:numId w:val="24"/>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 xml:space="preserve">a public statement or publication of information by the regulatory supervisor for the administrator of such Benchmark (or the </w:t>
      </w:r>
      <w:r>
        <w:rPr>
          <w:rFonts w:ascii="Arial" w:cs="Arial" w:eastAsia="Arial" w:hAnsi="Arial"/>
          <w:sz w:val="18"/>
          <w:szCs w:val="18"/>
          <w:color w:val="0000FF"/>
          <w:highlight w:val="lightGray"/>
        </w:rPr>
        <w:t xml:space="preserve">published component used in the calculation thereof), the Federal Reserve Board, the NYFRB, the CME Term SOFR Administrator, an insolvency official with jurisdiction over the administrator for such Benchmark (or such component), a resolution authority with jurisdiction over the </w:t>
      </w:r>
      <w:r>
        <w:rPr>
          <w:rFonts w:ascii="Arial" w:cs="Arial" w:eastAsia="Arial" w:hAnsi="Arial"/>
          <w:sz w:val="18"/>
          <w:szCs w:val="18"/>
          <w:u w:val="single" w:color="auto"/>
          <w:color w:val="0000FF"/>
          <w:highlight w:val="lightGray"/>
        </w:rPr>
        <w:t xml:space="preserve">administrator for such Benchmark (or such component) or a court or an entity with similar insolvency or resolution authority over the </w:t>
      </w:r>
      <w:r>
        <w:rPr>
          <w:rFonts w:ascii="Arial" w:cs="Arial" w:eastAsia="Arial" w:hAnsi="Arial"/>
          <w:sz w:val="18"/>
          <w:szCs w:val="18"/>
          <w:color w:val="0000FF"/>
          <w:highlight w:val="lightGray"/>
        </w:rPr>
        <w:t xml:space="preserve">administrator for such Benchmark (or such component), which states that the administrator of such Benchmark (or such component) has ceased or will cease to provide all Available Tenors of such Benchmark (or such component thereof) permanently or indefinitely; provided that, at the time </w:t>
      </w:r>
      <w:r>
        <w:rPr>
          <w:rFonts w:ascii="Arial" w:cs="Arial" w:eastAsia="Arial" w:hAnsi="Arial"/>
          <w:sz w:val="18"/>
          <w:szCs w:val="18"/>
          <w:u w:val="single" w:color="auto"/>
          <w:color w:val="0000FF"/>
          <w:highlight w:val="lightGray"/>
        </w:rPr>
        <w:t>of such statement or publication, there is no successor administrator that will continue to provide any Available Tenor of such Benchmark (or such component thereof); or</w:t>
      </w:r>
    </w:p>
    <w:p>
      <w:pPr>
        <w:spacing w:after="0" w:line="163" w:lineRule="exact"/>
        <w:rPr>
          <w:rFonts w:ascii="Arial" w:cs="Arial" w:eastAsia="Arial" w:hAnsi="Arial"/>
          <w:sz w:val="18"/>
          <w:szCs w:val="18"/>
          <w:u w:val="single" w:color="auto"/>
          <w:color w:val="0000FF"/>
          <w:highlight w:val="lightGray"/>
        </w:rPr>
      </w:pPr>
    </w:p>
    <w:p>
      <w:pPr>
        <w:jc w:val="both"/>
        <w:ind w:left="660" w:firstLine="644"/>
        <w:spacing w:after="0" w:line="229" w:lineRule="auto"/>
        <w:tabs>
          <w:tab w:leader="none" w:pos="1788" w:val="left"/>
        </w:tabs>
        <w:numPr>
          <w:ilvl w:val="0"/>
          <w:numId w:val="24"/>
        </w:numPr>
        <w:rPr>
          <w:rFonts w:ascii="Arial" w:cs="Arial" w:eastAsia="Arial" w:hAnsi="Arial"/>
          <w:sz w:val="18"/>
          <w:szCs w:val="18"/>
          <w:color w:val="0000FF"/>
          <w:highlight w:val="lightGray"/>
        </w:rPr>
      </w:pPr>
      <w:r>
        <w:rPr>
          <w:rFonts w:ascii="Arial" w:cs="Arial" w:eastAsia="Arial" w:hAnsi="Arial"/>
          <w:sz w:val="18"/>
          <w:szCs w:val="18"/>
          <w:color w:val="0000FF"/>
          <w:highlight w:val="lightGray"/>
        </w:rPr>
        <w:t xml:space="preserve">a public statement or publication of information by the regulatory supervisor for the administrator of such Benchmark (or the </w:t>
      </w:r>
      <w:r>
        <w:rPr>
          <w:rFonts w:ascii="Arial" w:cs="Arial" w:eastAsia="Arial" w:hAnsi="Arial"/>
          <w:sz w:val="18"/>
          <w:szCs w:val="18"/>
          <w:u w:val="single" w:color="auto"/>
          <w:color w:val="0000FF"/>
          <w:highlight w:val="lightGray"/>
        </w:rPr>
        <w:t>published component used in the calculation thereof) announcing that all Available Tenors of such Benchmark (or such component thereof) are not, or as of a specified future date will not be,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-1781175</wp:posOffset>
            </wp:positionV>
            <wp:extent cx="3274695"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274695" cy="128905"/>
                    </a:xfrm>
                    <a:prstGeom prst="rect">
                      <a:avLst/>
                    </a:prstGeom>
                    <a:noFill/>
                  </pic:spPr>
                </pic:pic>
              </a:graphicData>
            </a:graphic>
          </wp:anchor>
        </w:drawing>
      </w:r>
    </w:p>
    <w:p>
      <w:pPr>
        <w:spacing w:after="0" w:line="14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0000FF"/>
          <w:highlight w:val="lightGray"/>
        </w:rPr>
        <w:t xml:space="preserve">For the avoidance of doubt, a “Benchmark Transition Event” will be deemed to have occurred with respect to any Benchmark if a public statement </w:t>
      </w:r>
      <w:r>
        <w:rPr>
          <w:rFonts w:ascii="Arial" w:cs="Arial" w:eastAsia="Arial" w:hAnsi="Arial"/>
          <w:sz w:val="16"/>
          <w:szCs w:val="16"/>
          <w:u w:val="single" w:color="auto"/>
          <w:color w:val="0000FF"/>
          <w:highlight w:val="lightGray"/>
        </w:rPr>
        <w:t>or publication of information set forth above has occurred with respect to each then-current Available Tenor of such Benchmark (or the published</w:t>
      </w:r>
    </w:p>
    <w:p>
      <w:pPr>
        <w:spacing w:after="0"/>
        <w:rPr>
          <w:sz w:val="20"/>
          <w:szCs w:val="20"/>
          <w:color w:val="auto"/>
        </w:rPr>
      </w:pPr>
      <w:r>
        <w:rPr>
          <w:rFonts w:ascii="Arial" w:cs="Arial" w:eastAsia="Arial" w:hAnsi="Arial"/>
          <w:sz w:val="18"/>
          <w:szCs w:val="18"/>
          <w:u w:val="single" w:color="auto"/>
          <w:color w:val="0000FF"/>
          <w:highlight w:val="lightGray"/>
        </w:rPr>
        <w:t>component used in the calculation thereof).</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0000FF"/>
          <w:highlight w:val="lightGray"/>
        </w:rPr>
        <w:t>“Benchmark Unavailability Period</w:t>
      </w:r>
      <w:r>
        <w:rPr>
          <w:rFonts w:ascii="Arial" w:cs="Arial" w:eastAsia="Arial" w:hAnsi="Arial"/>
          <w:sz w:val="16"/>
          <w:szCs w:val="16"/>
          <w:color w:val="008000"/>
        </w:rPr>
        <w:t>” means, with respect to any</w:t>
      </w:r>
      <w:r>
        <w:rPr>
          <w:rFonts w:ascii="Arial" w:cs="Arial" w:eastAsia="Arial" w:hAnsi="Arial"/>
          <w:sz w:val="16"/>
          <w:szCs w:val="16"/>
          <w:color w:val="0000FF"/>
          <w:highlight w:val="lightGray"/>
        </w:rPr>
        <w:t xml:space="preserve"> then-current Benchmark, the period (if any) (a) beginning at the time that a </w:t>
      </w:r>
      <w:r>
        <w:rPr>
          <w:rFonts w:ascii="Arial" w:cs="Arial" w:eastAsia="Arial" w:hAnsi="Arial"/>
          <w:sz w:val="16"/>
          <w:szCs w:val="16"/>
          <w:u w:val="single" w:color="auto"/>
          <w:color w:val="0000FF"/>
          <w:highlight w:val="lightGray"/>
        </w:rPr>
        <w:t>Benchmark Replacement Date pursuant to clauses (a) or (b) of that definition has occurred if, at such time, no Benchmark Replacement has replaced such</w:t>
      </w:r>
    </w:p>
    <w:p>
      <w:pPr>
        <w:jc w:val="both"/>
        <w:spacing w:after="0" w:line="218" w:lineRule="auto"/>
        <w:rPr>
          <w:sz w:val="20"/>
          <w:szCs w:val="20"/>
          <w:color w:val="auto"/>
        </w:rPr>
      </w:pPr>
      <w:r>
        <w:rPr>
          <w:rFonts w:ascii="Arial" w:cs="Arial" w:eastAsia="Arial" w:hAnsi="Arial"/>
          <w:sz w:val="18"/>
          <w:szCs w:val="18"/>
          <w:color w:val="0000FF"/>
          <w:highlight w:val="lightGray"/>
        </w:rPr>
        <w:t>then-current Benchmark for all purposes hereunder and under any Loan Document in accordance with Section 2.14(b) and (b) ending at the time that a Benchm</w:t>
      </w:r>
      <w:r>
        <w:rPr>
          <w:rFonts w:ascii="Arial" w:cs="Arial" w:eastAsia="Arial" w:hAnsi="Arial"/>
          <w:sz w:val="18"/>
          <w:szCs w:val="18"/>
          <w:u w:val="single" w:color="auto"/>
          <w:color w:val="0000FF"/>
          <w:highlight w:val="lightGray"/>
        </w:rPr>
        <w:t>ark Replacement has replaced such then-current Benchmark for all purposes hereunder and under any Loan Document in accordance with Section</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2.14(b).</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any of (a) an “employee benefit plan” (as defined in ERISA) that is subject to Title I of ERISA, (b) a “plan” as defined in</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Section 4975 of the Code or (c) any Person whose assets include (for purposes of ERISA Section 3(42) or otherwise for purposes of Title I of ERISA or Section 4975 of the Code) the assets of any such “employee benefit plan” or “plan”.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with respect to any Person, (a) in the case of any corporation, the board of directors of such Person or any committee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functional equivalent of the foregoing. In addition, the term “director” means a director or functional equivalent thereof with respect to the relevant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9</w:t>
      </w:r>
    </w:p>
    <w:p>
      <w:pPr>
        <w:sectPr>
          <w:pgSz w:w="11900" w:h="16838" w:orient="portrait"/>
          <w:cols w:equalWidth="0" w:num="1">
            <w:col w:w="11240"/>
          </w:cols>
          <w:pgMar w:left="320" w:top="1440" w:right="339" w:bottom="1440" w:gutter="0" w:footer="0" w:header="0"/>
        </w:sectPr>
      </w:pPr>
    </w:p>
    <w:bookmarkStart w:id="67" w:name="page68"/>
    <w:bookmarkEnd w:id="67"/>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Federal Reserve System of the United States of America.</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introductory paragraph hereto.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Offer of Specified Discount Prepayment</w:t>
      </w:r>
      <w:r>
        <w:rPr>
          <w:rFonts w:ascii="Arial" w:cs="Arial" w:eastAsia="Arial" w:hAnsi="Arial"/>
          <w:sz w:val="18"/>
          <w:szCs w:val="18"/>
          <w:color w:val="auto"/>
        </w:rPr>
        <w:t xml:space="preserve">” means the offer by the Borrower to make a voluntary prepayment of Term Loans at a specified discount to par pursuant to </w:t>
      </w:r>
      <w:r>
        <w:rPr>
          <w:rFonts w:ascii="Arial" w:cs="Arial" w:eastAsia="Arial" w:hAnsi="Arial"/>
          <w:sz w:val="18"/>
          <w:szCs w:val="18"/>
          <w:u w:val="single" w:color="auto"/>
          <w:color w:val="auto"/>
        </w:rPr>
        <w:t>Section 2.11(a)(ii)(B)</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Solicitation of Discount Range Prepayment Offers</w:t>
      </w:r>
      <w:r>
        <w:rPr>
          <w:rFonts w:ascii="Arial" w:cs="Arial" w:eastAsia="Arial" w:hAnsi="Arial"/>
          <w:sz w:val="17"/>
          <w:szCs w:val="17"/>
          <w:color w:val="auto"/>
        </w:rPr>
        <w:t xml:space="preserve">” means the solicitation by the Borrower of offers for, and the corresponding acceptance by a Term Lender of, a voluntary prepayment of Term Loans at a specified range at a discount to par pursuant to </w:t>
      </w:r>
      <w:r>
        <w:rPr>
          <w:rFonts w:ascii="Arial" w:cs="Arial" w:eastAsia="Arial" w:hAnsi="Arial"/>
          <w:sz w:val="17"/>
          <w:szCs w:val="17"/>
          <w:u w:val="single" w:color="auto"/>
          <w:color w:val="auto"/>
        </w:rPr>
        <w:t>Section 2.11(a)(ii)(C)</w:t>
      </w:r>
      <w:r>
        <w:rPr>
          <w:rFonts w:ascii="Arial" w:cs="Arial" w:eastAsia="Arial" w:hAnsi="Arial"/>
          <w:sz w:val="17"/>
          <w:szCs w:val="17"/>
          <w:color w:val="auto"/>
        </w:rPr>
        <w:t>.</w:t>
      </w:r>
    </w:p>
    <w:p>
      <w:pPr>
        <w:spacing w:after="0" w:line="13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Solicitation of Discounted Prepayment Offers</w:t>
      </w:r>
      <w:r>
        <w:rPr>
          <w:rFonts w:ascii="Arial" w:cs="Arial" w:eastAsia="Arial" w:hAnsi="Arial"/>
          <w:sz w:val="18"/>
          <w:szCs w:val="18"/>
          <w:color w:val="auto"/>
        </w:rPr>
        <w:t xml:space="preserve">” means the solicitation by the Borrower of offers for, and the subsequent acceptance, if any, by a Term Lender of, a voluntary prepayment of Term Loans at a discount to par pursuant to </w:t>
      </w:r>
      <w:r>
        <w:rPr>
          <w:rFonts w:ascii="Arial" w:cs="Arial" w:eastAsia="Arial" w:hAnsi="Arial"/>
          <w:sz w:val="18"/>
          <w:szCs w:val="18"/>
          <w:u w:val="single" w:color="auto"/>
          <w:color w:val="auto"/>
        </w:rPr>
        <w:t>Section 2.11(a)(ii)(D)</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w:t>
      </w:r>
      <w:r>
        <w:rPr>
          <w:rFonts w:ascii="Arial" w:cs="Arial" w:eastAsia="Arial" w:hAnsi="Arial"/>
          <w:sz w:val="18"/>
          <w:szCs w:val="18"/>
          <w:color w:val="auto"/>
        </w:rPr>
        <w:t xml:space="preserve">rowing” means Loans of the same Class and Type, made, converted or continued on the same date in the same currency and, in the case of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SOFR</w:t>
      </w:r>
      <w:r>
        <w:rPr>
          <w:rFonts w:ascii="Arial" w:cs="Arial" w:eastAsia="Arial" w:hAnsi="Arial"/>
          <w:sz w:val="18"/>
          <w:szCs w:val="18"/>
          <w:color w:val="FF0000"/>
        </w:rPr>
        <w:t xml:space="preserve"> </w:t>
      </w:r>
      <w:r>
        <w:rPr>
          <w:rFonts w:ascii="Arial" w:cs="Arial" w:eastAsia="Arial" w:hAnsi="Arial"/>
          <w:sz w:val="18"/>
          <w:szCs w:val="18"/>
          <w:color w:val="000000"/>
        </w:rPr>
        <w:t>Loans, as to which a single Interest Period is in effect.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Minimum</w:t>
      </w:r>
      <w:r>
        <w:rPr>
          <w:rFonts w:ascii="Arial" w:cs="Arial" w:eastAsia="Arial" w:hAnsi="Arial"/>
          <w:sz w:val="18"/>
          <w:szCs w:val="18"/>
          <w:color w:val="auto"/>
        </w:rPr>
        <w:t>” means $500,000.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Multiple</w:t>
      </w:r>
      <w:r>
        <w:rPr>
          <w:rFonts w:ascii="Arial" w:cs="Arial" w:eastAsia="Arial" w:hAnsi="Arial"/>
          <w:sz w:val="18"/>
          <w:szCs w:val="18"/>
          <w:color w:val="auto"/>
        </w:rPr>
        <w:t>” means $100,000.</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Request</w:t>
      </w:r>
      <w:r>
        <w:rPr>
          <w:rFonts w:ascii="Arial" w:cs="Arial" w:eastAsia="Arial" w:hAnsi="Arial"/>
          <w:sz w:val="16"/>
          <w:szCs w:val="16"/>
          <w:color w:val="auto"/>
        </w:rPr>
        <w:t xml:space="preserve">” means a request by the Borrower for a Borrowing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and substantially in the form of </w:t>
      </w:r>
      <w:r>
        <w:rPr>
          <w:rFonts w:ascii="Arial" w:cs="Arial" w:eastAsia="Arial" w:hAnsi="Arial"/>
          <w:sz w:val="16"/>
          <w:szCs w:val="16"/>
          <w:u w:val="single" w:color="auto"/>
          <w:color w:val="auto"/>
        </w:rPr>
        <w:t>Exhibit Q</w:t>
      </w:r>
      <w:r>
        <w:rPr>
          <w:rFonts w:ascii="Arial" w:cs="Arial" w:eastAsia="Arial" w:hAnsi="Arial"/>
          <w:sz w:val="16"/>
          <w:szCs w:val="16"/>
          <w:color w:val="auto"/>
        </w:rPr>
        <w:t xml:space="preserve"> or such other form as may be reasonably approved by the Administrative Agent (including any form on an electronic platform or electronic transmission</w:t>
      </w:r>
    </w:p>
    <w:p>
      <w:pPr>
        <w:spacing w:after="0"/>
        <w:rPr>
          <w:sz w:val="20"/>
          <w:szCs w:val="20"/>
          <w:color w:val="auto"/>
        </w:rPr>
      </w:pPr>
      <w:r>
        <w:rPr>
          <w:rFonts w:ascii="Arial" w:cs="Arial" w:eastAsia="Arial" w:hAnsi="Arial"/>
          <w:sz w:val="18"/>
          <w:szCs w:val="18"/>
          <w:color w:val="auto"/>
        </w:rPr>
        <w:t>system as shall be approved by the Administrative Agent), appropriately completed and signed by a Responsible Officer of the Borrower.</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that is not a Saturday, Sunday or other day on which commercial banks in New York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color w:val="FF0000"/>
          <w:strike w:val="1"/>
        </w:rPr>
        <w:t>when used in connection with a Eurocurrency Loan the term “Business Day” shall also exclude any day that is not a</w:t>
      </w:r>
    </w:p>
    <w:p>
      <w:pPr>
        <w:jc w:val="both"/>
        <w:spacing w:after="0" w:line="218" w:lineRule="auto"/>
        <w:rPr>
          <w:sz w:val="20"/>
          <w:szCs w:val="20"/>
          <w:color w:val="auto"/>
        </w:rPr>
      </w:pPr>
      <w:r>
        <w:rPr>
          <w:rFonts w:ascii="Arial" w:cs="Arial" w:eastAsia="Arial" w:hAnsi="Arial"/>
          <w:sz w:val="18"/>
          <w:szCs w:val="18"/>
          <w:color w:val="FF0000"/>
          <w:strike w:val="1"/>
        </w:rPr>
        <w:t>London Banking</w:t>
      </w:r>
      <w:r>
        <w:rPr>
          <w:rFonts w:ascii="Arial" w:cs="Arial" w:eastAsia="Arial" w:hAnsi="Arial"/>
          <w:sz w:val="18"/>
          <w:szCs w:val="18"/>
          <w:color w:val="0000FF"/>
          <w:highlight w:val="lightGray"/>
        </w:rPr>
        <w:t>in addition to the foregoing, a Business Day shall be, in relation to Loans referencing Adjusted Term SOFR and any interest rate settings,</w:t>
      </w:r>
      <w:r>
        <w:rPr>
          <w:rFonts w:ascii="Arial" w:cs="Arial" w:eastAsia="Arial" w:hAnsi="Arial"/>
          <w:sz w:val="18"/>
          <w:szCs w:val="18"/>
          <w:color w:val="FF0000"/>
        </w:rPr>
        <w:t xml:space="preserve"> </w:t>
      </w:r>
      <w:r>
        <w:rPr>
          <w:rFonts w:ascii="Arial" w:cs="Arial" w:eastAsia="Arial" w:hAnsi="Arial"/>
          <w:sz w:val="18"/>
          <w:szCs w:val="18"/>
          <w:color w:val="0000FF"/>
          <w:highlight w:val="lightGray"/>
        </w:rPr>
        <w:t>fundings, disbursements, settlements or payments of any such Loans referencing Adj</w:t>
      </w:r>
      <w:r>
        <w:rPr>
          <w:rFonts w:ascii="Arial" w:cs="Arial" w:eastAsia="Arial" w:hAnsi="Arial"/>
          <w:sz w:val="18"/>
          <w:szCs w:val="18"/>
          <w:u w:val="single" w:color="auto"/>
          <w:color w:val="0000FF"/>
          <w:highlight w:val="lightGray"/>
        </w:rPr>
        <w:t>usted Term SOFR or any other dealings of such Loans referencing</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Adjusted Term SOFR, any such day that is only a U.S. Government Securities Business</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Day.</w:t>
      </w:r>
    </w:p>
    <w:p>
      <w:pPr>
        <w:spacing w:after="0" w:line="20" w:lineRule="exact"/>
        <w:rPr>
          <w:sz w:val="20"/>
          <w:szCs w:val="20"/>
          <w:color w:val="auto"/>
        </w:rPr>
      </w:pPr>
    </w:p>
    <w:p>
      <w:pPr>
        <w:spacing w:after="0" w:line="15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means, for any period, the additions to property, plant and equipment and other capital expenditures of the Borrower and the Restricted Subsidiaries that are (or should be) set forth in a consolidated statement of cash flows of Holdings for such period prepared in accordance with GAAP, including customer acquisition costs and incentive payments, conversion costs, contract acquisition costs and website development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website content development costs.</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w:t>
      </w:r>
      <w:r>
        <w:rPr>
          <w:rFonts w:ascii="Arial" w:cs="Arial" w:eastAsia="Arial" w:hAnsi="Arial"/>
          <w:sz w:val="16"/>
          <w:szCs w:val="16"/>
          <w:color w:val="auto"/>
        </w:rPr>
        <w:t>” means an obligation that is a Capitalized Lease; and the amount of Indebtedness represented thereby at any time shall be the amount of the liability in respect thereof that would at that time be required to be capitalized on a balance sheet in accordance with GAAP (for the</w:t>
      </w:r>
    </w:p>
    <w:p>
      <w:pPr>
        <w:jc w:val="both"/>
        <w:spacing w:after="0" w:line="226" w:lineRule="auto"/>
        <w:rPr>
          <w:sz w:val="20"/>
          <w:szCs w:val="20"/>
          <w:color w:val="auto"/>
        </w:rPr>
      </w:pPr>
      <w:r>
        <w:rPr>
          <w:rFonts w:ascii="Arial" w:cs="Arial" w:eastAsia="Arial" w:hAnsi="Arial"/>
          <w:sz w:val="18"/>
          <w:szCs w:val="18"/>
          <w:color w:val="auto"/>
        </w:rPr>
        <w:t xml:space="preserve">avoidance of doubt, subject to </w:t>
      </w:r>
      <w:r>
        <w:rPr>
          <w:rFonts w:ascii="Arial" w:cs="Arial" w:eastAsia="Arial" w:hAnsi="Arial"/>
          <w:sz w:val="18"/>
          <w:szCs w:val="18"/>
          <w:u w:val="single" w:color="auto"/>
          <w:color w:val="auto"/>
        </w:rPr>
        <w:t>Section 1.04(g)</w:t>
      </w:r>
      <w:r>
        <w:rPr>
          <w:rFonts w:ascii="Arial" w:cs="Arial" w:eastAsia="Arial" w:hAnsi="Arial"/>
          <w:sz w:val="18"/>
          <w:szCs w:val="18"/>
          <w:color w:val="auto"/>
        </w:rPr>
        <w:t>). It is understood and agreed that Capital Lease Obligations shall be deemed not to include Non-Finance Lease Obligations for purposes of the Loan Documents.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Leases</w:t>
      </w:r>
      <w:r>
        <w:rPr>
          <w:rFonts w:ascii="Arial" w:cs="Arial" w:eastAsia="Arial" w:hAnsi="Arial"/>
          <w:sz w:val="16"/>
          <w:szCs w:val="16"/>
          <w:color w:val="auto"/>
        </w:rPr>
        <w:t>” means, as applied to any Person, any lease of any property (whether real, personal or mixed) by that Person as lessee that, in</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conformity with GAAP (for the avoidance of doubt, subject to </w:t>
      </w:r>
      <w:r>
        <w:rPr>
          <w:rFonts w:ascii="Arial" w:cs="Arial" w:eastAsia="Arial" w:hAnsi="Arial"/>
          <w:sz w:val="18"/>
          <w:szCs w:val="18"/>
          <w:u w:val="single" w:color="auto"/>
          <w:color w:val="auto"/>
        </w:rPr>
        <w:t>Section 1.04(g)</w:t>
      </w:r>
      <w:r>
        <w:rPr>
          <w:rFonts w:ascii="Arial" w:cs="Arial" w:eastAsia="Arial" w:hAnsi="Arial"/>
          <w:sz w:val="18"/>
          <w:szCs w:val="18"/>
          <w:color w:val="auto"/>
        </w:rPr>
        <w:t>), is or is required to be accounted for as a capital lease or finance lease on the balance sheet of that Person.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Software Expenditures</w:t>
      </w:r>
      <w:r>
        <w:rPr>
          <w:rFonts w:ascii="Arial" w:cs="Arial" w:eastAsia="Arial" w:hAnsi="Arial"/>
          <w:sz w:val="16"/>
          <w:szCs w:val="16"/>
          <w:color w:val="auto"/>
        </w:rPr>
        <w:t>” means, for any period, the aggregate of all expenditures (whether paid in cash or accrued as liabilities) by the</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Borrower and the Restricted Subsidiaries during such period in respect of purchased software or internally developed software and software enhancements that, in conformity with GAAP, are or are required to be reflected as capitalized costs on the consolidated balance sheet of the Borrower and the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10</w:t>
      </w:r>
    </w:p>
    <w:p>
      <w:pPr>
        <w:sectPr>
          <w:pgSz w:w="11900" w:h="16838" w:orient="portrait"/>
          <w:cols w:equalWidth="0" w:num="1">
            <w:col w:w="11240"/>
          </w:cols>
          <w:pgMar w:left="320" w:top="1440" w:right="339" w:bottom="1440" w:gutter="0" w:footer="0" w:header="0"/>
        </w:sectPr>
      </w:pPr>
    </w:p>
    <w:bookmarkStart w:id="68" w:name="page69"/>
    <w:bookmarkEnd w:id="68"/>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to pledge and deposit with or deliver to the Collateral Agent, for the benefit of one or more of the Issuing Banks or Revolving Lenders, as collateral for LC Exposure or obligations of the Revolving Lenders to fund participations in respect of LC Exposure, cash or deposit account balances under the sole dominion and control of the Collateral Agent or, if the Collateral Agent and the applicable Issuing Bank shall agree in their</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sole discretion, other credit support, in each case pursuant to documentation in form and substance reasonably satisfactory to the Collateral Agent and each applicable Issuing Bank. “</w:t>
      </w:r>
      <w:r>
        <w:rPr>
          <w:rFonts w:ascii="Arial" w:cs="Arial" w:eastAsia="Arial" w:hAnsi="Arial"/>
          <w:sz w:val="18"/>
          <w:szCs w:val="18"/>
          <w:u w:val="single" w:color="auto"/>
          <w:color w:val="auto"/>
        </w:rPr>
        <w:t>Cash Collateral</w:t>
      </w:r>
      <w:r>
        <w:rPr>
          <w:rFonts w:ascii="Arial" w:cs="Arial" w:eastAsia="Arial" w:hAnsi="Arial"/>
          <w:sz w:val="18"/>
          <w:szCs w:val="18"/>
          <w:color w:val="auto"/>
        </w:rPr>
        <w:t>” and “</w:t>
      </w:r>
      <w:r>
        <w:rPr>
          <w:rFonts w:ascii="Arial" w:cs="Arial" w:eastAsia="Arial" w:hAnsi="Arial"/>
          <w:sz w:val="18"/>
          <w:szCs w:val="18"/>
          <w:u w:val="single" w:color="auto"/>
          <w:color w:val="auto"/>
        </w:rPr>
        <w:t>Cash Collateralization</w:t>
      </w:r>
      <w:r>
        <w:rPr>
          <w:rFonts w:ascii="Arial" w:cs="Arial" w:eastAsia="Arial" w:hAnsi="Arial"/>
          <w:sz w:val="18"/>
          <w:szCs w:val="18"/>
          <w:color w:val="auto"/>
        </w:rPr>
        <w:t>” shall have meanings correlative to the foregoing and shall include the proceeds of such cash collateral and other credit support.</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Obligations</w:t>
      </w:r>
      <w:r>
        <w:rPr>
          <w:rFonts w:ascii="Arial" w:cs="Arial" w:eastAsia="Arial" w:hAnsi="Arial"/>
          <w:sz w:val="16"/>
          <w:szCs w:val="16"/>
          <w:color w:val="auto"/>
        </w:rPr>
        <w:t>” means obligations of Holdings, the Borrower or any Restricted Subsidiary in respect of (a) any overdraft and related liabilities arising from treasury, depository, cash pooling arrangements and cash management or treasury services or any automated clearing house transfers of funds, (b) netting services, employee credit or purchase card programs and similar arrangements, (c) letters of credit and (d) other services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related, ancillary or complementary to the foregoing (including Cash Management Services).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Services</w:t>
      </w:r>
      <w:r>
        <w:rPr>
          <w:rFonts w:ascii="Arial" w:cs="Arial" w:eastAsia="Arial" w:hAnsi="Arial"/>
          <w:sz w:val="17"/>
          <w:szCs w:val="17"/>
          <w:color w:val="auto"/>
        </w:rPr>
        <w:t>” has the meaning assigned to such term in the definition of the term “Secured Cash Management Obligations.”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Casualty Event</w:t>
      </w:r>
      <w:r>
        <w:rPr>
          <w:rFonts w:ascii="Arial" w:cs="Arial" w:eastAsia="Arial" w:hAnsi="Arial"/>
          <w:sz w:val="17"/>
          <w:szCs w:val="17"/>
          <w:color w:val="auto"/>
        </w:rPr>
        <w:t>” means any event that gives rise to the receipt by the Borrower or any Restricted Subsidiary of any insurance proceeds or</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condemnation awards in respect of any loss of or damage to any equipment, fixed assets or real property (including any improvements thereon) of the Borrower or any other Loan Party to replace or repair such equipment, fixed assets or real property.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 957 of the Code.</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 the failure of Holdings, directly or indirectly through wholly-owned subsidiaries that are Guarantors (including, for the avoidance of doubt, through wholly-owned subsidiaries that are subsidiaries of the Borrower), to own all of the Equity Interests in the Borrower or (b) the acquisition of beneficial ownership by any Person or group, other than the Permitted Holders (or any holding company parent of Holdings owned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directly or indirectly by the Permitted Holders), of Equity Interests representing 40% or more of the aggregate votes entitled to vote for the election of directors of Holdings having a majority of the aggregate votes on the Board of Directors of Holdings and the aggregate number of votes for the election of such directors of the Equity Interests beneficially owned by such Person or group is greater than the aggregate number of votes for the election of such</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directors represented by the Equity Interests beneficially owned by the Permitted Holders, unless the Permitted Holders otherwise have the right (pursuant to contract, proxy or otherwise), directly or indirectly, to designate, nominate or appoint (and do so designate, nominate or appoint) directors of Holdings having a majority of the aggregate votes on the Board of Directors of Holdings.</w:t>
      </w:r>
    </w:p>
    <w:p>
      <w:pPr>
        <w:spacing w:after="0" w:line="17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For purposes of this definition, including other defined terms used herein in connection with this definition and notwithstanding anything to the contrary in this definition or any provision of Section 13d-3 of the Exchange Act, (i) “beneficial ownership” shall be as defined in Rules 13(d)-3 and 13(d)-5 under the Exchange Act as in effect on the date hereof, (ii) the phrase Person or group is within the meaning of Section 13(d) or 14(d) of the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Exchange Act, but excluding any employee benefit plan of such Person or group or its subsidiaries and any Person acting in its capacity as trustee, agent or other fiduciary or administrator of any such plan, (iii) if any group includes one or more Permitted Holders, the issued and outstanding Equity Interests of Holdings, directly or indirectly owned by the Permitted Holders that are part of such group shall not be treated as being beneficially owned by such group</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or any other member of such group for purposes of clause (b) of this definition, (iv) a Person or group shall not be deemed to beneficially own Equity Interests to be acquired by such Person or group pursuant to a stock or asset purchase agreement, merger agreement, option agreement, warrant agreement or similar agreement (or voting or option or similar agreement related thereto) until the consummation of the acquisition of the Equity Interests in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connection with the transactions contemplated by such agreement and (v) a Person or group (other than Permitted Holders) will not be deemed to beneficially own the Equity Interests of another Person as a result of its ownership of Equity Interests or other securities of such other Person’s parent (or related contractual rights) unless it owns 50% or more of the total voting power of the Equity Interests entitled to vote for the election of directors of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Person’s parent having a majority of the aggregate votes on the Board of Directors of such Person’s parent.</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 means (a) the adoption of any rule, regulation, treaty or other law after the date of this Agreement, (b) any change in any rule, regulation, treaty or other law or in the administration, interpretation or application thereof by any Governmental Authority after the date of this Agreement</w:t>
      </w:r>
    </w:p>
    <w:p>
      <w:pPr>
        <w:jc w:val="both"/>
        <w:spacing w:after="0" w:line="218" w:lineRule="auto"/>
        <w:rPr>
          <w:sz w:val="20"/>
          <w:szCs w:val="20"/>
          <w:color w:val="auto"/>
        </w:rPr>
      </w:pPr>
      <w:r>
        <w:rPr>
          <w:rFonts w:ascii="Arial" w:cs="Arial" w:eastAsia="Arial" w:hAnsi="Arial"/>
          <w:sz w:val="18"/>
          <w:szCs w:val="18"/>
          <w:color w:val="auto"/>
        </w:rPr>
        <w:t xml:space="preserve">or (c) the making or issuance of any request, guideline or directive (whether or not having the force of law) of any Governmental Authority made or issued after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 any requests, rules, guidelines or directives under the Dodd-Frank Wall Street Reform and Consumer Protection 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11</w:t>
      </w:r>
    </w:p>
    <w:p>
      <w:pPr>
        <w:sectPr>
          <w:pgSz w:w="11900" w:h="16838" w:orient="portrait"/>
          <w:cols w:equalWidth="0" w:num="1">
            <w:col w:w="11240"/>
          </w:cols>
          <w:pgMar w:left="320" w:top="1440" w:right="339" w:bottom="1440" w:gutter="0" w:footer="0" w:header="0"/>
        </w:sectPr>
      </w:pPr>
    </w:p>
    <w:bookmarkStart w:id="69" w:name="page70"/>
    <w:bookmarkEnd w:id="69"/>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2010 or issued in connection therewith and (ii) any requests, rules, guidelines or directives promulgated by the Bank for International Settlements, the Basel Committee on Banking Supervision (or any successor or similar authority) or the United States or foreign regulatory authorities, in each case pursuant to Basel III, in each case shall be deemed to be a “Change in Law,” to the extent enacted, adopted, promulgated or issued after the date of this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Agreement, but only to the extent such rules, regulations, or published interpretations or directives are applied to the Borrower and its Subsidiaries by the Administrative Agent or any Lender in substantially the same manner as applied to other similarly situated borrowers under comparable syndicated credit facilities, including, without limitation, for purposes of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w:t>
      </w:r>
      <w:r>
        <w:rPr>
          <w:rFonts w:ascii="Arial" w:cs="Arial" w:eastAsia="Arial" w:hAnsi="Arial"/>
          <w:sz w:val="17"/>
          <w:szCs w:val="17"/>
          <w:color w:val="auto"/>
        </w:rPr>
        <w:t>” when used in reference to (a) any Loan or Borrowing, refers to whether such Loan, or the Loans comprising such Borrowing, are Revolving Loans, Incremental Revolving Loans, Other Revolving Loans, Term Loans, Incremental Term Loans, or Other Term Loans, (b) any Commitment, refers to whether such Commitment is a Revolving Commitment, Other Revolving Commitment, Additional/Replacement Revolving</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Commitment, Term Commitment, commitment in respect of Incremental Term Loans or Other Term Commitment and (c) any Lender, refers to whether such Lender has a Loan or Commitment with respect to a particular Class of Loans or Commitments. Other Term Commitments, Other Term Loans, Other Revolving Commitments (and the Other Revolving Loans made pursuant thereto), Additional/Replacement Revolving Commitments, commitments in</w:t>
      </w:r>
    </w:p>
    <w:p>
      <w:pPr>
        <w:spacing w:after="0" w:line="231" w:lineRule="auto"/>
        <w:rPr>
          <w:sz w:val="20"/>
          <w:szCs w:val="20"/>
          <w:color w:val="auto"/>
        </w:rPr>
      </w:pPr>
      <w:r>
        <w:rPr>
          <w:rFonts w:ascii="Arial" w:cs="Arial" w:eastAsia="Arial" w:hAnsi="Arial"/>
          <w:sz w:val="16"/>
          <w:szCs w:val="16"/>
          <w:color w:val="auto"/>
        </w:rPr>
        <w:t>respect of Incremental Term Loans and Incremental Term Loans that have different terms and conditions shall be construed to be in different Classes.</w:t>
      </w:r>
    </w:p>
    <w:p>
      <w:pPr>
        <w:spacing w:after="0"/>
        <w:rPr>
          <w:sz w:val="20"/>
          <w:szCs w:val="20"/>
          <w:color w:val="auto"/>
        </w:rPr>
      </w:pPr>
      <w:r>
        <w:rPr>
          <w:rFonts w:ascii="Arial" w:cs="Arial" w:eastAsia="Arial" w:hAnsi="Arial"/>
          <w:sz w:val="17"/>
          <w:szCs w:val="17"/>
          <w:color w:val="auto"/>
        </w:rPr>
        <w:t>Notwithstanding anything herein to the contrary, the First Additional Term Loans shall be deemed to be of the same Class as the Initial Term Loans.</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u w:val="single" w:color="auto"/>
          <w:color w:val="0000FF"/>
          <w:highlight w:val="lightGray"/>
        </w:rPr>
        <w:t>“CME Term SOFR Administrator” means CME Group Benchmark Administration Limited as administrator of the forward-looking term Secured Overnight Financing Rate (SOFR) (or a successor administrator).</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assets, whether real or personal, tangible or intangible, on which Liens are purported to be granted pursuant to the Security Documents as security for the Secured Obligations.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has the meaning assigned in the Collateral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Agreement</w:t>
      </w:r>
      <w:r>
        <w:rPr>
          <w:rFonts w:ascii="Arial" w:cs="Arial" w:eastAsia="Arial" w:hAnsi="Arial"/>
          <w:sz w:val="16"/>
          <w:szCs w:val="16"/>
          <w:color w:val="auto"/>
        </w:rPr>
        <w:t>” means the Collateral Agreement among the Borrower, each other Loan Party and the Collateral Agent, substantially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 means, at any time, the requirement that:</w:t>
      </w:r>
    </w:p>
    <w:p>
      <w:pPr>
        <w:spacing w:after="0" w:line="185" w:lineRule="exact"/>
        <w:rPr>
          <w:sz w:val="20"/>
          <w:szCs w:val="20"/>
          <w:color w:val="auto"/>
        </w:rPr>
      </w:pPr>
    </w:p>
    <w:p>
      <w:pPr>
        <w:jc w:val="both"/>
        <w:ind w:left="660" w:firstLine="644"/>
        <w:spacing w:after="0" w:line="243" w:lineRule="auto"/>
        <w:tabs>
          <w:tab w:leader="none" w:pos="1819"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(i) from Holdings, the Borrower and each Domestic Subsidiary (other than an Excluded Subsidiary) either (x) a counterpart of the Guarantee Agreement duly executed and delivered on behalf of such Person or (y) in the case of any Person that becomes a Loan Party after the Effective Date (including by ceasing to be an Excluded Subsidiary), a supplement to the Guarantee Agreement, in the form specified therein, duly executed and delivered on behalf of such Person and (ii) from Holdings, the Borrower and each Subsidiary Loan Party either (x) a counterpart of the Collateral Agreement duly executed and delivered on behalf of such Person or (y) in the case of any Person that becomes a Loan Party after the Effective Date (including by ceasing to be an Excluded Subsidiary), a supplement to the Collateral Agreement, in the form specified therein, duly executed and delivered on behalf of such Person, in each case under this clause (a) together with, in the case of any such Loan Documents executed and delivered after the Effective Date, documents of the type referred to in </w:t>
      </w:r>
      <w:r>
        <w:rPr>
          <w:rFonts w:ascii="Arial" w:cs="Arial" w:eastAsia="Arial" w:hAnsi="Arial"/>
          <w:sz w:val="16"/>
          <w:szCs w:val="16"/>
          <w:u w:val="single" w:color="auto"/>
          <w:color w:val="auto"/>
        </w:rPr>
        <w:t>Section 4.01(c)</w:t>
      </w:r>
      <w:r>
        <w:rPr>
          <w:rFonts w:ascii="Arial" w:cs="Arial" w:eastAsia="Arial" w:hAnsi="Arial"/>
          <w:sz w:val="16"/>
          <w:szCs w:val="16"/>
          <w:color w:val="auto"/>
        </w:rPr>
        <w:t xml:space="preserve">, and, to the extent reasonably requested by the Collateral Agent, opinions of the type referred to in </w:t>
      </w:r>
      <w:r>
        <w:rPr>
          <w:rFonts w:ascii="Arial" w:cs="Arial" w:eastAsia="Arial" w:hAnsi="Arial"/>
          <w:sz w:val="16"/>
          <w:szCs w:val="16"/>
          <w:u w:val="single" w:color="auto"/>
          <w:color w:val="auto"/>
        </w:rPr>
        <w:t>Section 4.01(b)</w:t>
      </w:r>
      <w:r>
        <w:rPr>
          <w:rFonts w:ascii="Arial" w:cs="Arial" w:eastAsia="Arial" w:hAnsi="Arial"/>
          <w:sz w:val="16"/>
          <w:szCs w:val="16"/>
          <w:color w:val="auto"/>
        </w:rPr>
        <w:t>;</w:t>
      </w:r>
    </w:p>
    <w:p>
      <w:pPr>
        <w:spacing w:after="0" w:line="159" w:lineRule="exact"/>
        <w:rPr>
          <w:rFonts w:ascii="Arial" w:cs="Arial" w:eastAsia="Arial" w:hAnsi="Arial"/>
          <w:sz w:val="16"/>
          <w:szCs w:val="16"/>
          <w:color w:val="auto"/>
        </w:rPr>
      </w:pPr>
    </w:p>
    <w:p>
      <w:pPr>
        <w:jc w:val="both"/>
        <w:ind w:left="660" w:firstLine="644"/>
        <w:spacing w:after="0" w:line="223" w:lineRule="auto"/>
        <w:tabs>
          <w:tab w:leader="none" w:pos="18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outstanding Equity Interests of the Borrower and the Restricted Subsidiaries (other than any Equity Interests constituting Excluded Assets) owned by or on behalf of any Loan Party shall have been pledged pursuant to the Collateral Agreement (and the Collateral Agent shall have received certificates or other instruments representing all such Equity Interests (if any), together with undated stock powers or other instruments of transfer with respect thereto endorsed in blank);</w:t>
      </w:r>
    </w:p>
    <w:p>
      <w:pPr>
        <w:spacing w:after="0" w:line="175" w:lineRule="exact"/>
        <w:rPr>
          <w:rFonts w:ascii="Arial" w:cs="Arial" w:eastAsia="Arial" w:hAnsi="Arial"/>
          <w:sz w:val="18"/>
          <w:szCs w:val="18"/>
          <w:color w:val="auto"/>
        </w:rPr>
      </w:pPr>
    </w:p>
    <w:p>
      <w:pPr>
        <w:jc w:val="both"/>
        <w:ind w:left="660" w:firstLine="644"/>
        <w:spacing w:after="0" w:line="236" w:lineRule="auto"/>
        <w:tabs>
          <w:tab w:leader="none" w:pos="16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any Indebtedness for borrowed money of Holdings, the Borrower or any Subsidiary in a principal amount of $10,000,000 or more is owing by such obligor to any Loan Party and such Indebtedness is evidenced by a promissory note, such promissory note shall have been pledged pursuant to the Collateral Agreement (and, to the extent required by the Collateral Agreement, the Collateral Agent shall have received all such promissory notes, together with undated instruments of transfer with respect thereto endorsed in blank);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12</w:t>
      </w:r>
    </w:p>
    <w:p>
      <w:pPr>
        <w:sectPr>
          <w:pgSz w:w="11900" w:h="16838" w:orient="portrait"/>
          <w:cols w:equalWidth="0" w:num="1">
            <w:col w:w="11240"/>
          </w:cols>
          <w:pgMar w:left="320" w:top="1440" w:right="339" w:bottom="1440" w:gutter="0" w:footer="0" w:header="0"/>
        </w:sectPr>
      </w:pPr>
    </w:p>
    <w:bookmarkStart w:id="70" w:name="page71"/>
    <w:bookmarkEnd w:id="70"/>
    <w:p>
      <w:pPr>
        <w:spacing w:after="0" w:line="63" w:lineRule="exact"/>
        <w:rPr>
          <w:sz w:val="20"/>
          <w:szCs w:val="20"/>
          <w:color w:val="auto"/>
        </w:rPr>
      </w:pPr>
    </w:p>
    <w:p>
      <w:pPr>
        <w:jc w:val="both"/>
        <w:ind w:left="660" w:firstLine="644"/>
        <w:spacing w:after="0" w:line="219" w:lineRule="auto"/>
        <w:tabs>
          <w:tab w:leader="none" w:pos="17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certificates, agreements, documents and instruments, including Uniform Commercial Code financing statements, required by the Security Documents, Requirements of Law and reasonably requested by the Collateral Agent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or delivered to the Collateral Agent for filing, registration or recording.</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 provisions of this definition or anything in this Agreement or any other Loan Document to the contrary, (a) the foregoing</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provisions of this definition shall not require the creation or perfection of pledges of or security interests in, or the obtaining of title insurance, surveys, legal opinions or other deliverables with respect to, particular assets of the Loan Parties, or the provision of Guarantees by any Subsidiary, if, and for so long as and to the extent that the Administrative Agent and the Borrower reasonably agree in writing that the cost of creating or perfecting such pledges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security interests in such assets, or obtaining such title insurance, surveys, legal opinions or other deliverables in respect of such assets, or providing such Guarantees (taking into account any adverse Tax consequences to Holdings and its Subsidiaries (including the imposition of withholding or other material Taxes)), shall be excessive in relation to the benefits to be obtained by the Lenders therefrom, (b) Liens required to be granted from time to time pursuant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term “Collateral and Guarantee Requirement” shall be subject to exceptions and limitations set forth in the Security Documents as in effect on the Effective Date, (c) in no event shall control agreements or other control or similar arrangements be required with respect to deposit accounts, securities accounts, commodities accounts or other assets specifically requiring perfection by control agreements (other than certificated securities), (d) no perfection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actions shall be required with respect to Vehicles and other assets subject to certificates of title, (e) no perfection actions shall be required with respect to commercial tort claims with a value less than $10,000,000 individually, and other than the filing of UCC financing statements no perfection shall be required with respect to promissory notes evidencing debt for borrowed money in a principal amount of less than $10,000,000 individually, (f) no actions in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any non-U.S. jurisdiction or required by the laws of any non-U.S. jurisdiction shall be required to be taken to create any security interests in assets located or titled outside of the United States (including any Equity Interests of Foreign Subsidiaries and any foreign Intellectual Property) or to perfect or make enforceable any security interests in any such assets (it being understood that there shall be no security agreements or pledge agreements governed under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laws of any non-U.S. jurisdiction), (g) no actions shall be required to perfect a security interest in letter of credit rights (other than the filing of UCC financing statements), (h) no Loan Party shall be required to deliver or obtain any landlord lien waivers, estoppel certificates or collateral access agreements or letters, (i) no Loan Party shall be required to deliver or obtain a mortgage in respect of fee-owned or leased real property, (j) no actions shall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be required to enter into any source code escrow arrangement or register any intellectual property and (k) in no event shall the Collateral include any Excluded Assets. The Collateral Agent may grant extensions of time or waivers for the creation and perfection of security interests in or the obtaining of title insurance, surveys, legal opinions or other deliverables with respect to particular assets or the provision of any Guarantee by any Subsidiary (including</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extensions beyond the Effective Date or in connection with assets acquired, or Subsidiaries formed or acquired, after the Effective Date) where it determines that such action cannot be accomplished without undue effort or expense by the time or times at which it would otherwise be required to be accomplished by this Agreement or the Security Documents.</w:t>
      </w:r>
    </w:p>
    <w:p>
      <w:pPr>
        <w:spacing w:after="0" w:line="17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any Lender, its Revolving Commitment, its Additional/Replacement Revolving Commitment, Other Revolving Commitment of any Class, Term Commitment of any Class, commitment in respect of Incremental Term Loans and Other Term Commitment of any Class or any combination thereof (as the context requires).</w:t>
      </w:r>
    </w:p>
    <w:p>
      <w:pPr>
        <w:spacing w:after="0" w:line="176" w:lineRule="exact"/>
        <w:rPr>
          <w:sz w:val="20"/>
          <w:szCs w:val="20"/>
          <w:color w:val="auto"/>
        </w:rPr>
      </w:pPr>
    </w:p>
    <w:p>
      <w:pPr>
        <w:ind w:left="660" w:right="40"/>
        <w:spacing w:after="0" w:line="4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(7 U.S.C. § 1 et seq.), as amended from time to time, and any successor statute.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of a Financial Officer required to be delivered pursuant to </w:t>
      </w:r>
      <w:r>
        <w:rPr>
          <w:rFonts w:ascii="Arial" w:cs="Arial" w:eastAsia="Arial" w:hAnsi="Arial"/>
          <w:sz w:val="18"/>
          <w:szCs w:val="18"/>
          <w:u w:val="single" w:color="auto"/>
          <w:color w:val="auto"/>
        </w:rPr>
        <w:t>Section 5.01(d)</w:t>
      </w:r>
      <w:r>
        <w:rPr>
          <w:rFonts w:ascii="Arial" w:cs="Arial" w:eastAsia="Arial" w:hAnsi="Arial"/>
          <w:sz w:val="18"/>
          <w:szCs w:val="18"/>
          <w:color w:val="auto"/>
        </w:rPr>
        <w:t>. “</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w:t>
      </w:r>
    </w:p>
    <w:p>
      <w:pPr>
        <w:ind w:left="660" w:firstLine="644"/>
        <w:spacing w:after="0" w:line="235" w:lineRule="auto"/>
        <w:tabs>
          <w:tab w:leader="none" w:pos="16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without duplication and to the extent already deducted (and not added back) in arriving at such Consolidated Net Income, the sum of the following amounts for such period:</w:t>
      </w:r>
    </w:p>
    <w:p>
      <w:pPr>
        <w:spacing w:after="0" w:line="161" w:lineRule="exact"/>
        <w:rPr>
          <w:rFonts w:ascii="Arial" w:cs="Arial" w:eastAsia="Arial" w:hAnsi="Arial"/>
          <w:sz w:val="18"/>
          <w:szCs w:val="18"/>
          <w:color w:val="auto"/>
        </w:rPr>
      </w:pPr>
    </w:p>
    <w:p>
      <w:pPr>
        <w:jc w:val="both"/>
        <w:ind w:left="1300" w:firstLine="241"/>
        <w:spacing w:after="0" w:line="245" w:lineRule="auto"/>
        <w:tabs>
          <w:tab w:leader="none" w:pos="1945" w:val="left"/>
        </w:tabs>
        <w:numPr>
          <w:ilvl w:val="1"/>
          <w:numId w:val="27"/>
        </w:numPr>
        <w:rPr>
          <w:rFonts w:ascii="Arial" w:cs="Arial" w:eastAsia="Arial" w:hAnsi="Arial"/>
          <w:sz w:val="17"/>
          <w:szCs w:val="17"/>
          <w:color w:val="auto"/>
        </w:rPr>
      </w:pPr>
      <w:r>
        <w:rPr>
          <w:rFonts w:ascii="Arial" w:cs="Arial" w:eastAsia="Arial" w:hAnsi="Arial"/>
          <w:sz w:val="17"/>
          <w:szCs w:val="17"/>
          <w:color w:val="auto"/>
        </w:rPr>
        <w:t>total interest expense and, to the extent not reflected in such total interest expense, any losses on hedging obligations or other derivative instruments entered into for the purpose of hedging interest rate risk, net of interest income and gains on such hedging obligations or such derivative instruments, and bank and letter of credit fees and costs of surety bonds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13</w:t>
      </w:r>
    </w:p>
    <w:p>
      <w:pPr>
        <w:sectPr>
          <w:pgSz w:w="11900" w:h="16838" w:orient="portrait"/>
          <w:cols w:equalWidth="0" w:num="1">
            <w:col w:w="11240"/>
          </w:cols>
          <w:pgMar w:left="320" w:top="1440" w:right="339" w:bottom="1440" w:gutter="0" w:footer="0" w:header="0"/>
        </w:sectPr>
      </w:pPr>
    </w:p>
    <w:bookmarkStart w:id="71" w:name="page72"/>
    <w:bookmarkEnd w:id="71"/>
    <w:p>
      <w:pPr>
        <w:spacing w:after="0" w:line="63" w:lineRule="exact"/>
        <w:rPr>
          <w:sz w:val="20"/>
          <w:szCs w:val="20"/>
          <w:color w:val="auto"/>
        </w:rPr>
      </w:pPr>
    </w:p>
    <w:p>
      <w:pPr>
        <w:ind w:left="180"/>
        <w:spacing w:after="0" w:line="235" w:lineRule="auto"/>
        <w:rPr>
          <w:sz w:val="20"/>
          <w:szCs w:val="20"/>
          <w:color w:val="auto"/>
        </w:rPr>
      </w:pPr>
      <w:r>
        <w:rPr>
          <w:rFonts w:ascii="Arial" w:cs="Arial" w:eastAsia="Arial" w:hAnsi="Arial"/>
          <w:sz w:val="18"/>
          <w:szCs w:val="18"/>
          <w:color w:val="auto"/>
        </w:rPr>
        <w:t>connection with financing activities, together with items excluded from the definition of “Consolidated Interest Expense” pursuant to clauses (i) through (xiv) thereof,</w:t>
      </w:r>
    </w:p>
    <w:p>
      <w:pPr>
        <w:spacing w:after="0" w:line="162" w:lineRule="exact"/>
        <w:rPr>
          <w:sz w:val="20"/>
          <w:szCs w:val="20"/>
          <w:color w:val="auto"/>
        </w:rPr>
      </w:pPr>
    </w:p>
    <w:p>
      <w:pPr>
        <w:jc w:val="both"/>
        <w:ind w:left="180" w:firstLine="237"/>
        <w:spacing w:after="0" w:line="222" w:lineRule="auto"/>
        <w:tabs>
          <w:tab w:leader="none" w:pos="8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profits, revenue or capital, including federal, foreign, state, local and provincial income, franchise, excise, value added and similar taxes based on income, profits, revenue, gross receipts or capital and foreign withholding taxes paid or accrued during such period (including in respect of repatriated funds) including penalties and interest related to such taxes or arising from any tax examinations and (without duplication) any payments to a Parent Entity pursuant to </w:t>
      </w:r>
      <w:r>
        <w:rPr>
          <w:rFonts w:ascii="Arial" w:cs="Arial" w:eastAsia="Arial" w:hAnsi="Arial"/>
          <w:sz w:val="18"/>
          <w:szCs w:val="18"/>
          <w:u w:val="single" w:color="auto"/>
          <w:color w:val="auto"/>
        </w:rPr>
        <w:t>Section 6.08(a)(xviii)</w:t>
      </w:r>
      <w:r>
        <w:rPr>
          <w:rFonts w:ascii="Arial" w:cs="Arial" w:eastAsia="Arial" w:hAnsi="Arial"/>
          <w:sz w:val="18"/>
          <w:szCs w:val="18"/>
          <w:color w:val="auto"/>
        </w:rPr>
        <w:t xml:space="preserve"> in respect of taxes,</w:t>
      </w:r>
    </w:p>
    <w:p>
      <w:pPr>
        <w:spacing w:after="0" w:line="163" w:lineRule="exact"/>
        <w:rPr>
          <w:rFonts w:ascii="Arial" w:cs="Arial" w:eastAsia="Arial" w:hAnsi="Arial"/>
          <w:sz w:val="18"/>
          <w:szCs w:val="18"/>
          <w:color w:val="auto"/>
        </w:rPr>
      </w:pPr>
    </w:p>
    <w:p>
      <w:pPr>
        <w:jc w:val="both"/>
        <w:ind w:left="180" w:firstLine="318"/>
        <w:spacing w:after="0" w:line="229" w:lineRule="auto"/>
        <w:tabs>
          <w:tab w:leader="none" w:pos="1078" w:val="left"/>
        </w:tabs>
        <w:numPr>
          <w:ilvl w:val="3"/>
          <w:numId w:val="28"/>
        </w:numPr>
        <w:rPr>
          <w:rFonts w:ascii="Arial" w:cs="Arial" w:eastAsia="Arial" w:hAnsi="Arial"/>
          <w:sz w:val="18"/>
          <w:szCs w:val="18"/>
          <w:color w:val="auto"/>
        </w:rPr>
      </w:pPr>
      <w:r>
        <w:rPr>
          <w:rFonts w:ascii="Arial" w:cs="Arial" w:eastAsia="Arial" w:hAnsi="Arial"/>
          <w:sz w:val="18"/>
          <w:szCs w:val="18"/>
          <w:color w:val="auto"/>
        </w:rPr>
        <w:t>depreciation and amortization (including amortization of Capitalized Software Expenditures, customer acquisition costs, conversion costs, contract acquisition costs, internal labor costs, incentive payments and amortization of deferred financing fees and accelerated and other deferred financing costs, OID or other capitalized costs),</w:t>
      </w:r>
    </w:p>
    <w:p>
      <w:pPr>
        <w:spacing w:after="0" w:line="163" w:lineRule="exact"/>
        <w:rPr>
          <w:rFonts w:ascii="Arial" w:cs="Arial" w:eastAsia="Arial" w:hAnsi="Arial"/>
          <w:sz w:val="18"/>
          <w:szCs w:val="18"/>
          <w:color w:val="auto"/>
        </w:rPr>
      </w:pPr>
    </w:p>
    <w:p>
      <w:pPr>
        <w:jc w:val="both"/>
        <w:ind w:left="180" w:firstLine="263"/>
        <w:spacing w:after="0" w:line="219" w:lineRule="auto"/>
        <w:tabs>
          <w:tab w:leader="none" w:pos="958" w:val="left"/>
        </w:tabs>
        <w:numPr>
          <w:ilvl w:val="2"/>
          <w:numId w:val="28"/>
        </w:numPr>
        <w:rPr>
          <w:rFonts w:ascii="Arial" w:cs="Arial" w:eastAsia="Arial" w:hAnsi="Arial"/>
          <w:sz w:val="18"/>
          <w:szCs w:val="18"/>
          <w:color w:val="auto"/>
        </w:rPr>
      </w:pPr>
      <w:r>
        <w:rPr>
          <w:rFonts w:ascii="Arial" w:cs="Arial" w:eastAsia="Arial" w:hAnsi="Arial"/>
          <w:sz w:val="18"/>
          <w:szCs w:val="18"/>
          <w:color w:val="auto"/>
        </w:rPr>
        <w:t>other non-cash charges (other than any accrual in respect of bonuses)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if any non-cash charges represent an accrual or reserve for potential cash items in any future period, (A) such Person may elect not to add back such non-cash charges in the current period and (B) to the extent such Person elects to add back such non-cash charges in the current period, the cash payment in respect thereof in such future period shall be subtracted from Consolidated EBITDA to such extent, and excluding amortization of a prepaid cash item that was paid in a prior period),</w:t>
      </w:r>
    </w:p>
    <w:p>
      <w:pPr>
        <w:spacing w:after="0" w:line="176" w:lineRule="exact"/>
        <w:rPr>
          <w:rFonts w:ascii="Arial" w:cs="Arial" w:eastAsia="Arial" w:hAnsi="Arial"/>
          <w:sz w:val="18"/>
          <w:szCs w:val="18"/>
          <w:color w:val="auto"/>
        </w:rPr>
      </w:pPr>
    </w:p>
    <w:p>
      <w:pPr>
        <w:jc w:val="both"/>
        <w:ind w:left="180" w:firstLine="236"/>
        <w:spacing w:after="0" w:line="224" w:lineRule="auto"/>
        <w:tabs>
          <w:tab w:leader="none" w:pos="8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any non-controlling interest consisting of income attributable to non-controlling interests of third parties in any non-wholly-owned subsidiary deducted (and not added back in such period to Consolidated Net Income) excluding cash distributions in respect thereof,</w:t>
      </w:r>
    </w:p>
    <w:p>
      <w:pPr>
        <w:spacing w:after="0" w:line="176" w:lineRule="exact"/>
        <w:rPr>
          <w:rFonts w:ascii="Arial" w:cs="Arial" w:eastAsia="Arial" w:hAnsi="Arial"/>
          <w:sz w:val="18"/>
          <w:szCs w:val="18"/>
          <w:color w:val="auto"/>
        </w:rPr>
      </w:pPr>
    </w:p>
    <w:p>
      <w:pPr>
        <w:jc w:val="both"/>
        <w:ind w:left="180" w:firstLine="206"/>
        <w:spacing w:after="0" w:line="227" w:lineRule="auto"/>
        <w:tabs>
          <w:tab w:leader="none" w:pos="844" w:val="left"/>
        </w:tabs>
        <w:numPr>
          <w:ilvl w:val="1"/>
          <w:numId w:val="29"/>
        </w:numPr>
        <w:rPr>
          <w:rFonts w:ascii="Arial" w:cs="Arial" w:eastAsia="Arial" w:hAnsi="Arial"/>
          <w:sz w:val="17"/>
          <w:szCs w:val="17"/>
          <w:color w:val="auto"/>
        </w:rPr>
      </w:pPr>
      <w:r>
        <w:rPr>
          <w:rFonts w:ascii="Arial" w:cs="Arial" w:eastAsia="Arial" w:hAnsi="Arial"/>
          <w:sz w:val="17"/>
          <w:szCs w:val="17"/>
          <w:color w:val="auto"/>
        </w:rPr>
        <w:t>(A) the amount of management, monitoring, consulting, advisory and transaction fees, indemnities and related expenses paid or accrued in such period to (or on behalf of) the Sponsors or any other Permitted Holder (or any management company on behalf of any of the foregoing) (including any termination fees payable in connection with the early termination of management and monitoring agreements), (B) the amount of payments made to option, phantom equity or profits interest holders of Holdings or any of its direct or indirect parent companies in connection with, or as a result of, any distribution being made to equityholders of such Person or its direct or indirect parent companies, which payments are being made to compensate such option, phantom equity or profits interest holders as though they were equityholders at the time of, and entitled to share in, such distribution, including any cash consideration for any repurchase of equity, in each case to the extent permitted in the Loan Documents and (C) the amount of fees, expenses and indemnities paid or accrued to directors and all general administrative costs relating to board meetings, including of Holdings or any direct or indirect parent thereof,</w:t>
      </w:r>
    </w:p>
    <w:p>
      <w:pPr>
        <w:spacing w:after="0" w:line="163" w:lineRule="exact"/>
        <w:rPr>
          <w:sz w:val="20"/>
          <w:szCs w:val="20"/>
          <w:color w:val="auto"/>
        </w:rPr>
      </w:pPr>
    </w:p>
    <w:p>
      <w:pPr>
        <w:ind w:left="860" w:hanging="496"/>
        <w:spacing w:after="0"/>
        <w:tabs>
          <w:tab w:leader="none" w:pos="8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losses or discounts on sales of receivables and related assets in connection with any Permitted Receivables Financing,</w:t>
      </w:r>
    </w:p>
    <w:p>
      <w:pPr>
        <w:spacing w:after="0" w:line="196" w:lineRule="exact"/>
        <w:rPr>
          <w:rFonts w:ascii="Arial" w:cs="Arial" w:eastAsia="Arial" w:hAnsi="Arial"/>
          <w:sz w:val="17"/>
          <w:szCs w:val="17"/>
          <w:color w:val="auto"/>
        </w:rPr>
      </w:pPr>
    </w:p>
    <w:p>
      <w:pPr>
        <w:ind w:left="900" w:hanging="53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or expenses associated with, or in anticipation of, or preparation for, the IPO,</w:t>
      </w:r>
    </w:p>
    <w:p>
      <w:pPr>
        <w:spacing w:after="0" w:line="198" w:lineRule="exact"/>
        <w:rPr>
          <w:rFonts w:ascii="Arial" w:cs="Arial" w:eastAsia="Arial" w:hAnsi="Arial"/>
          <w:sz w:val="18"/>
          <w:szCs w:val="18"/>
          <w:color w:val="auto"/>
        </w:rPr>
      </w:pPr>
    </w:p>
    <w:p>
      <w:pPr>
        <w:jc w:val="both"/>
        <w:ind w:left="180" w:firstLine="197"/>
        <w:spacing w:after="0" w:line="219" w:lineRule="auto"/>
        <w:tabs>
          <w:tab w:leader="none" w:pos="826"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costs or expenses incurred by Holdings, the Borrower or any Restricted Subsidiary pursuant to any management equity plan or equity option or phantom equity plan or any other management or employee benefit plan or agreement, any long-term incentive plan, any severance agreement or any equity subscription or equityholder agreement, to the extent that such costs or expenses are non-cash or otherwise funded with cash proceeds contributed to the capital of the Borrower or Net Proceeds of an issuance of Equity Interests of Holdings (other than Disqualified Equity Interests),</w:t>
      </w:r>
    </w:p>
    <w:p>
      <w:pPr>
        <w:spacing w:after="0" w:line="163" w:lineRule="exact"/>
        <w:rPr>
          <w:sz w:val="20"/>
          <w:szCs w:val="20"/>
          <w:color w:val="auto"/>
        </w:rPr>
      </w:pPr>
    </w:p>
    <w:p>
      <w:pPr>
        <w:jc w:val="both"/>
        <w:ind w:left="180" w:firstLine="221"/>
        <w:spacing w:after="0" w:line="267" w:lineRule="auto"/>
        <w:tabs>
          <w:tab w:leader="none" w:pos="8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400"/>
        <w:spacing w:after="0"/>
        <w:rPr>
          <w:sz w:val="20"/>
          <w:szCs w:val="20"/>
          <w:color w:val="auto"/>
        </w:rPr>
      </w:pPr>
      <w:r>
        <w:rPr>
          <w:rFonts w:ascii="Arial" w:cs="Arial" w:eastAsia="Arial" w:hAnsi="Arial"/>
          <w:sz w:val="22"/>
          <w:szCs w:val="22"/>
          <w:u w:val="single" w:color="auto"/>
          <w:color w:val="0000FF"/>
          <w:highlight w:val="lightGray"/>
        </w:rPr>
        <w:t>14</w:t>
      </w:r>
    </w:p>
    <w:p>
      <w:pPr>
        <w:sectPr>
          <w:pgSz w:w="11900" w:h="16838" w:orient="portrait"/>
          <w:cols w:equalWidth="0" w:num="1">
            <w:col w:w="10120"/>
          </w:cols>
          <w:pgMar w:left="1440" w:top="1440" w:right="339" w:bottom="1440" w:gutter="0" w:footer="0" w:header="0"/>
        </w:sectPr>
      </w:pPr>
    </w:p>
    <w:bookmarkStart w:id="72" w:name="page73"/>
    <w:bookmarkEnd w:id="72"/>
    <w:p>
      <w:pPr>
        <w:spacing w:after="0" w:line="63" w:lineRule="exact"/>
        <w:rPr>
          <w:sz w:val="20"/>
          <w:szCs w:val="20"/>
          <w:color w:val="auto"/>
        </w:rPr>
      </w:pPr>
    </w:p>
    <w:p>
      <w:pPr>
        <w:ind w:left="1120" w:firstLine="208"/>
        <w:spacing w:after="0" w:line="235" w:lineRule="auto"/>
        <w:tabs>
          <w:tab w:leader="none" w:pos="18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expenses consisting of internal software development costs that are expensed but could have been capitalized under alternative accounting policies in accordance with GAAP,</w:t>
      </w:r>
    </w:p>
    <w:p>
      <w:pPr>
        <w:spacing w:after="0" w:line="162" w:lineRule="exact"/>
        <w:rPr>
          <w:sz w:val="20"/>
          <w:szCs w:val="20"/>
          <w:color w:val="auto"/>
        </w:rPr>
      </w:pPr>
    </w:p>
    <w:p>
      <w:pPr>
        <w:ind w:left="1120" w:firstLine="195"/>
        <w:spacing w:after="0" w:line="246" w:lineRule="auto"/>
        <w:tabs>
          <w:tab w:leader="none" w:pos="18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associated with, or in anticipation of, or preparation for, compliance with the requirements of Sarbanes-Oxley Act of 2002 and the rules and regulations promulgated in connection therewith and other Public Company Costs, and</w:t>
      </w:r>
    </w:p>
    <w:p>
      <w:pPr>
        <w:spacing w:after="0" w:line="156" w:lineRule="exact"/>
        <w:rPr>
          <w:rFonts w:ascii="Arial" w:cs="Arial" w:eastAsia="Arial" w:hAnsi="Arial"/>
          <w:sz w:val="18"/>
          <w:szCs w:val="18"/>
          <w:color w:val="auto"/>
        </w:rPr>
      </w:pPr>
    </w:p>
    <w:p>
      <w:pPr>
        <w:ind w:left="1120" w:firstLine="274"/>
        <w:spacing w:after="0" w:line="235" w:lineRule="auto"/>
        <w:tabs>
          <w:tab w:leader="none" w:pos="2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expenses reimbursed in cash during such period by non-Affiliate third parties (other than the Borrower or any of its Subsidiaries),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plus</w:t>
      </w:r>
    </w:p>
    <w:p>
      <w:pPr>
        <w:spacing w:after="0" w:line="185" w:lineRule="exact"/>
        <w:rPr>
          <w:sz w:val="20"/>
          <w:szCs w:val="20"/>
          <w:color w:val="auto"/>
        </w:rPr>
      </w:pPr>
    </w:p>
    <w:p>
      <w:pPr>
        <w:jc w:val="both"/>
        <w:ind w:left="480" w:firstLine="644"/>
        <w:spacing w:after="0" w:line="225" w:lineRule="auto"/>
        <w:tabs>
          <w:tab w:leader="none" w:pos="1609"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without duplication, the amount of “run rate” cost savings, operating expense reductions, revenue enhancements and synergies (including revenue synergies) (collectively, “</w:t>
      </w:r>
      <w:r>
        <w:rPr>
          <w:rFonts w:ascii="Arial" w:cs="Arial" w:eastAsia="Arial" w:hAnsi="Arial"/>
          <w:sz w:val="17"/>
          <w:szCs w:val="17"/>
          <w:u w:val="single" w:color="auto"/>
          <w:color w:val="auto"/>
        </w:rPr>
        <w:t>Run Rate Benefits</w:t>
      </w:r>
      <w:r>
        <w:rPr>
          <w:rFonts w:ascii="Arial" w:cs="Arial" w:eastAsia="Arial" w:hAnsi="Arial"/>
          <w:sz w:val="17"/>
          <w:szCs w:val="17"/>
          <w:color w:val="auto"/>
        </w:rPr>
        <w:t xml:space="preserve">”) related to the Transactions, any Specified Transaction or any restructuring, cost saving initiative, new contract or other initiative projected by the Borrower in good faith to be realized as a result of actions that have been taken or initiated (including actions initiated prior to the Effective Date) or are expected to be taken or initiated (in the good faith determination of the Borrower) before, on or after the Effective Date, including any Run Rate Benefits, expenses and charges (including restructuring and integration charges) in connection with, or incurred by or on behalf of, any joint venture of the Borrower or any of the Restricted Subsidiaries (whether accounted for on the financial statements of any such joint venture or the Borrower), which Run Rate Benefits shall be added to Consolidated EBITDA until fully realized and calculated on a Pro Forma Basis as though such Run Rate Benefits had been realized on the first day of the relevant period, net of the amount of actual benefits realized from such 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Run Rate Benefits are reasonably quantifiable and factually supportable, (B) no Run Rate Benefits shall be added pursuant to this clause (b) to the extent duplicative of any expenses or charges relating to such Run Rate Benefits that are included in clause (a) above (it being understood and agreed that “run rate” shall mean the full recurring benefit that is associated with any action taken) and (C) the share of any such Run Rate Benefits, expenses and charges with respect to a joint venture that are to be allocated to the Borrower or any of the Restricted Subsidiaries shall not exceed the total amount thereof for any such joint venture multiplied by the percentage of income of such venture expected to be included in Consolidated EBITDA for the relevant Test Period;</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plus</w:t>
      </w:r>
    </w:p>
    <w:p>
      <w:pPr>
        <w:spacing w:after="0" w:line="185" w:lineRule="exact"/>
        <w:rPr>
          <w:sz w:val="20"/>
          <w:szCs w:val="20"/>
          <w:color w:val="auto"/>
        </w:rPr>
      </w:pPr>
    </w:p>
    <w:p>
      <w:pPr>
        <w:jc w:val="both"/>
        <w:ind w:left="480" w:firstLine="644"/>
        <w:spacing w:after="0" w:line="229" w:lineRule="auto"/>
        <w:tabs>
          <w:tab w:leader="none" w:pos="15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receipts (or any netting arrangements resulting in reduced cash expenditures) not included in the calculation of Consolidated Net Income in any period to the extent non-cash gains relating to such income were deducted in the calculation of Consolidated EBITDA pursuant to paragraph (g) below for any previous period and not added back;</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plus</w:t>
      </w:r>
    </w:p>
    <w:p>
      <w:pPr>
        <w:spacing w:after="0" w:line="198" w:lineRule="exact"/>
        <w:rPr>
          <w:sz w:val="20"/>
          <w:szCs w:val="20"/>
          <w:color w:val="auto"/>
        </w:rPr>
      </w:pPr>
    </w:p>
    <w:p>
      <w:pPr>
        <w:jc w:val="both"/>
        <w:ind w:left="480" w:firstLine="644"/>
        <w:spacing w:after="0" w:line="254" w:lineRule="auto"/>
        <w:tabs>
          <w:tab w:leader="none" w:pos="1545" w:val="left"/>
        </w:tabs>
        <w:numPr>
          <w:ilvl w:val="0"/>
          <w:numId w:val="36"/>
        </w:numPr>
        <w:rPr>
          <w:rFonts w:ascii="Arial" w:cs="Arial" w:eastAsia="Arial" w:hAnsi="Arial"/>
          <w:sz w:val="16"/>
          <w:szCs w:val="16"/>
          <w:color w:val="auto"/>
        </w:rPr>
      </w:pPr>
      <w:r>
        <w:rPr>
          <w:rFonts w:ascii="Arial" w:cs="Arial" w:eastAsia="Arial" w:hAnsi="Arial"/>
          <w:sz w:val="16"/>
          <w:szCs w:val="16"/>
          <w:color w:val="auto"/>
        </w:rPr>
        <w:t>without duplication, the full run rate estimated benefit increase from new or amended contracts or replacement contracts (any such new, amended or replacement contract, a “</w:t>
      </w:r>
      <w:r>
        <w:rPr>
          <w:rFonts w:ascii="Arial" w:cs="Arial" w:eastAsia="Arial" w:hAnsi="Arial"/>
          <w:sz w:val="16"/>
          <w:szCs w:val="16"/>
          <w:u w:val="single" w:color="auto"/>
          <w:color w:val="auto"/>
        </w:rPr>
        <w:t>New Contract</w:t>
      </w:r>
      <w:r>
        <w:rPr>
          <w:rFonts w:ascii="Arial" w:cs="Arial" w:eastAsia="Arial" w:hAnsi="Arial"/>
          <w:sz w:val="16"/>
          <w:szCs w:val="16"/>
          <w:color w:val="auto"/>
        </w:rPr>
        <w:t>”) entered into or coming into effect during any period or any volume or price increase that takes effect under any existing contract or amended or replacement contract during any period, in each case as if such New Contract had been entered into or come into effect, or such volume or price increase had taken effect, as of the first day, and for the entirety of, such period;</w:t>
      </w:r>
    </w:p>
    <w:p>
      <w:pPr>
        <w:spacing w:after="0" w:line="153"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plus</w:t>
      </w:r>
    </w:p>
    <w:p>
      <w:pPr>
        <w:spacing w:after="0" w:line="185" w:lineRule="exact"/>
        <w:rPr>
          <w:sz w:val="20"/>
          <w:szCs w:val="20"/>
          <w:color w:val="auto"/>
        </w:rPr>
      </w:pPr>
    </w:p>
    <w:p>
      <w:pPr>
        <w:jc w:val="both"/>
        <w:ind w:left="480" w:firstLine="644"/>
        <w:spacing w:after="0" w:line="252" w:lineRule="auto"/>
        <w:tabs>
          <w:tab w:leader="none" w:pos="152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net amount, if any, of the difference between (solely to the extent the amount in the following clause (A) exceeds the amount in the following clause (B)): (A) the deferred revenue of the Borrower and the Restricted Subsidiaries as of the last day of such period (the “</w:t>
      </w:r>
      <w:r>
        <w:rPr>
          <w:rFonts w:ascii="Arial" w:cs="Arial" w:eastAsia="Arial" w:hAnsi="Arial"/>
          <w:sz w:val="16"/>
          <w:szCs w:val="16"/>
          <w:u w:val="single" w:color="auto"/>
          <w:color w:val="auto"/>
        </w:rPr>
        <w:t>Determination Date</w:t>
      </w:r>
      <w:r>
        <w:rPr>
          <w:rFonts w:ascii="Arial" w:cs="Arial" w:eastAsia="Arial" w:hAnsi="Arial"/>
          <w:sz w:val="16"/>
          <w:szCs w:val="16"/>
          <w:color w:val="auto"/>
        </w:rPr>
        <w:t>”) and (B) the deferred revenue of the Borrower and the Restricted Subsidiaries as of the date that is 12 months prior to the Determination Date, in each case, calculated without giving effect to adjustments (including the effects of such adjustments pushed down to the Borrower and the Restricted Subsidiaries) related to the application of recapitalization accounting or acquisition accounting;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80"/>
        <w:spacing w:after="0"/>
        <w:rPr>
          <w:sz w:val="20"/>
          <w:szCs w:val="20"/>
          <w:color w:val="auto"/>
        </w:rPr>
      </w:pPr>
      <w:r>
        <w:rPr>
          <w:rFonts w:ascii="Arial" w:cs="Arial" w:eastAsia="Arial" w:hAnsi="Arial"/>
          <w:sz w:val="22"/>
          <w:szCs w:val="22"/>
          <w:u w:val="single" w:color="auto"/>
          <w:color w:val="0000FF"/>
          <w:highlight w:val="lightGray"/>
        </w:rPr>
        <w:t>15</w:t>
      </w:r>
    </w:p>
    <w:p>
      <w:pPr>
        <w:sectPr>
          <w:pgSz w:w="11900" w:h="16838" w:orient="portrait"/>
          <w:cols w:equalWidth="0" w:num="1">
            <w:col w:w="11060"/>
          </w:cols>
          <w:pgMar w:left="500" w:top="1440" w:right="339" w:bottom="1440" w:gutter="0" w:footer="0" w:header="0"/>
        </w:sectPr>
      </w:pPr>
    </w:p>
    <w:bookmarkStart w:id="73" w:name="page74"/>
    <w:bookmarkEnd w:id="73"/>
    <w:p>
      <w:pPr>
        <w:spacing w:after="0" w:line="63" w:lineRule="exact"/>
        <w:rPr>
          <w:sz w:val="20"/>
          <w:szCs w:val="20"/>
          <w:color w:val="auto"/>
        </w:rPr>
      </w:pPr>
    </w:p>
    <w:p>
      <w:pPr>
        <w:jc w:val="both"/>
        <w:ind w:left="660" w:firstLine="644"/>
        <w:spacing w:after="0" w:line="259" w:lineRule="auto"/>
        <w:tabs>
          <w:tab w:leader="none" w:pos="17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other add backs and adjustments reflected in a quality of earnings report provided by a “big four” accounting firm or a nationally recognized accounting firm (or any other accounting firm reasonably acceptable to the Administrative Agent) with respect to any Permitted Acquisition or other Investment (including, for the avoidance of doubt, add backs and adjustments of the same type in future periods),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less</w:t>
      </w:r>
    </w:p>
    <w:p>
      <w:pPr>
        <w:spacing w:after="0" w:line="185" w:lineRule="exact"/>
        <w:rPr>
          <w:sz w:val="20"/>
          <w:szCs w:val="20"/>
          <w:color w:val="auto"/>
        </w:rPr>
      </w:pPr>
    </w:p>
    <w:p>
      <w:pPr>
        <w:ind w:left="1740" w:hanging="436"/>
        <w:spacing w:after="0"/>
        <w:tabs>
          <w:tab w:leader="none" w:pos="17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without duplication and to the extent included in arriving at such Consolidated Net Income, the sum of the following amounts for</w:t>
      </w:r>
    </w:p>
    <w:p>
      <w:pPr>
        <w:spacing w:after="0" w:line="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period:</w:t>
      </w:r>
    </w:p>
    <w:p>
      <w:pPr>
        <w:spacing w:after="0" w:line="182" w:lineRule="exact"/>
        <w:rPr>
          <w:rFonts w:ascii="Arial" w:cs="Arial" w:eastAsia="Arial" w:hAnsi="Arial"/>
          <w:sz w:val="16"/>
          <w:szCs w:val="16"/>
          <w:color w:val="auto"/>
        </w:rPr>
      </w:pPr>
    </w:p>
    <w:p>
      <w:pPr>
        <w:ind w:left="1300" w:firstLine="222"/>
        <w:spacing w:after="0" w:line="235" w:lineRule="auto"/>
        <w:tabs>
          <w:tab w:leader="none" w:pos="1906" w:val="left"/>
        </w:tabs>
        <w:numPr>
          <w:ilvl w:val="1"/>
          <w:numId w:val="39"/>
        </w:numPr>
        <w:rPr>
          <w:rFonts w:ascii="Arial" w:cs="Arial" w:eastAsia="Arial" w:hAnsi="Arial"/>
          <w:sz w:val="18"/>
          <w:szCs w:val="18"/>
          <w:color w:val="auto"/>
        </w:rPr>
      </w:pPr>
      <w:r>
        <w:rPr>
          <w:rFonts w:ascii="Arial" w:cs="Arial" w:eastAsia="Arial" w:hAnsi="Arial"/>
          <w:sz w:val="18"/>
          <w:szCs w:val="18"/>
          <w:color w:val="auto"/>
        </w:rPr>
        <w:t>non-cash gains (excluding any non-cash gain to the extent it represents the reversal of an accrual or reserve for a potential cash item that reduced Consolidated Net Income or Consolidated EBITDA in any prior period),</w:t>
      </w:r>
    </w:p>
    <w:p>
      <w:pPr>
        <w:spacing w:after="0" w:line="161" w:lineRule="exact"/>
        <w:rPr>
          <w:rFonts w:ascii="Arial" w:cs="Arial" w:eastAsia="Arial" w:hAnsi="Arial"/>
          <w:sz w:val="18"/>
          <w:szCs w:val="18"/>
          <w:color w:val="auto"/>
        </w:rPr>
      </w:pPr>
    </w:p>
    <w:p>
      <w:pPr>
        <w:ind w:left="1300" w:firstLine="213"/>
        <w:spacing w:after="0" w:line="246" w:lineRule="auto"/>
        <w:tabs>
          <w:tab w:leader="none" w:pos="1939"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amount of any non-controlling interest consisting of loss attributable to non-controlling interests of third parties in any non-wholly-owned subsidiary added (and not deducted in such period from Consolidated Net Income),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 each case, as determined on a consolidated basis for the Borrower and the Restricted Subsidiaries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08" w:lineRule="exact"/>
        <w:rPr>
          <w:sz w:val="20"/>
          <w:szCs w:val="20"/>
          <w:color w:val="auto"/>
        </w:rPr>
      </w:pPr>
    </w:p>
    <w:p>
      <w:pPr>
        <w:jc w:val="both"/>
        <w:ind w:left="1300" w:firstLine="215"/>
        <w:spacing w:after="0" w:line="237" w:lineRule="auto"/>
        <w:tabs>
          <w:tab w:leader="none" w:pos="1902"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there shall be included in determining Consolidated EBITDA for any period, without duplication and, other than with respect to any Material Acquisition, at the option of the Borrower (1) the Acquired EBITDA of any Person, property, business or asset acquired by the Borrower or any Restricted Subsidiary during such period (other than any Unrestricted Subsidiary) whether such acquisition occurred before or after the Effective Date to the extent not subsequently sold, transferred or otherwise disposed of (but not including the Acquired EBITDA of any related Person, property, business or assets to the extent not so acquired) (each such Person, property, business or asset acquired, including pursuant to a transaction consummated prior to the Effective Date, and not subsequently so disposed of, an “</w:t>
      </w:r>
      <w:r>
        <w:rPr>
          <w:rFonts w:ascii="Arial" w:cs="Arial" w:eastAsia="Arial" w:hAnsi="Arial"/>
          <w:sz w:val="16"/>
          <w:szCs w:val="16"/>
          <w:u w:val="single" w:color="auto"/>
          <w:color w:val="auto"/>
        </w:rPr>
        <w:t>Acquired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Entity or Business</w:t>
      </w:r>
      <w:r>
        <w:rPr>
          <w:rFonts w:ascii="Arial" w:cs="Arial" w:eastAsia="Arial" w:hAnsi="Arial"/>
          <w:sz w:val="16"/>
          <w:szCs w:val="16"/>
          <w:color w:val="auto"/>
        </w:rPr>
        <w:t>”), and the Acquired EBITDA of any Unrestricted Subsidiary that is converted into a Restricted Subsidiary during such period (each, a “</w:t>
      </w:r>
      <w:r>
        <w:rPr>
          <w:rFonts w:ascii="Arial" w:cs="Arial" w:eastAsia="Arial" w:hAnsi="Arial"/>
          <w:sz w:val="16"/>
          <w:szCs w:val="16"/>
          <w:u w:val="single" w:color="auto"/>
          <w:color w:val="auto"/>
        </w:rPr>
        <w:t>Converted Restricted Subsidiary</w:t>
      </w:r>
      <w:r>
        <w:rPr>
          <w:rFonts w:ascii="Arial" w:cs="Arial" w:eastAsia="Arial" w:hAnsi="Arial"/>
          <w:sz w:val="16"/>
          <w:szCs w:val="16"/>
          <w:color w:val="auto"/>
        </w:rPr>
        <w:t>”), in each case based on the Acquired EBITDA of such Pro Forma Entity for such period (including the portion thereof occurring prior to such acquisition or conversion) determined on a historical Pro Forma Basis and</w:t>
      </w:r>
    </w:p>
    <w:p>
      <w:pPr>
        <w:ind w:left="1560" w:hanging="256"/>
        <w:spacing w:after="0"/>
        <w:tabs>
          <w:tab w:leader="none" w:pos="1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 adjustment in respect of each Acquired Entity or Business equal to the amount of the Pro Forma Adjustment with respect to such</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Acquired Entity or Business for such period (including the portion thereof occurring prior to such acquisition), and</w:t>
      </w:r>
    </w:p>
    <w:p>
      <w:pPr>
        <w:spacing w:after="0" w:line="169" w:lineRule="exact"/>
        <w:rPr>
          <w:sz w:val="20"/>
          <w:szCs w:val="20"/>
          <w:color w:val="auto"/>
        </w:rPr>
      </w:pPr>
    </w:p>
    <w:p>
      <w:pPr>
        <w:jc w:val="both"/>
        <w:ind w:left="1300" w:firstLine="198"/>
        <w:spacing w:after="0"/>
        <w:tabs>
          <w:tab w:leader="none" w:pos="1928"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there shall be (A) excluded in determining Consolidated EBITDA for any period the Disposed EBITDA of any Person, property, business or asset (other than any Unrestricted Subsidiary) sold, transferred or otherwise disposed of, closed or classified as discontinued operations by the Borrower or any Restricted Subsidiary during such period (but if such operations are classified as discontinued due to the fact that they are subject to an agreement to dispose of such operations, at the Borrower’s election only, when and to the extent such operations are actually disposed of) (each such Person, property, business or asset so sold, transferred or otherwise disposed of, closed or classified, a “</w:t>
      </w:r>
      <w:r>
        <w:rPr>
          <w:rFonts w:ascii="Arial" w:cs="Arial" w:eastAsia="Arial" w:hAnsi="Arial"/>
          <w:sz w:val="16"/>
          <w:szCs w:val="16"/>
          <w:u w:val="single" w:color="auto"/>
          <w:color w:val="auto"/>
        </w:rPr>
        <w:t>Sold Entity or Business</w:t>
      </w:r>
      <w:r>
        <w:rPr>
          <w:rFonts w:ascii="Arial" w:cs="Arial" w:eastAsia="Arial" w:hAnsi="Arial"/>
          <w:sz w:val="16"/>
          <w:szCs w:val="16"/>
          <w:color w:val="auto"/>
        </w:rPr>
        <w:t>”), and the Disposed EBITDA of any Restricted Subsidiary that is converted into an Unrestricted Subsidiary during such period (each, a “</w:t>
      </w:r>
      <w:r>
        <w:rPr>
          <w:rFonts w:ascii="Arial" w:cs="Arial" w:eastAsia="Arial" w:hAnsi="Arial"/>
          <w:sz w:val="16"/>
          <w:szCs w:val="16"/>
          <w:u w:val="single" w:color="auto"/>
          <w:color w:val="auto"/>
        </w:rPr>
        <w:t>Converted Unrestricted Subsidiary</w:t>
      </w:r>
      <w:r>
        <w:rPr>
          <w:rFonts w:ascii="Arial" w:cs="Arial" w:eastAsia="Arial" w:hAnsi="Arial"/>
          <w:sz w:val="16"/>
          <w:szCs w:val="16"/>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included in determining Consolidated EBITDA for any period in which a Sold Entity or Business is disposed, an adjustment equal to the Pro Forma Disposal Adjustment with respect to such Sold Entity or Business (including the portion thereof occurring prior to such disposal).</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Notwithstanding the foregoing, (x) the Borrower may, in its sole discretion, elect to not make any adjustment for any item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w:t>
      </w:r>
    </w:p>
    <w:p>
      <w:pPr>
        <w:spacing w:after="0" w:line="8" w:lineRule="exact"/>
        <w:rPr>
          <w:sz w:val="20"/>
          <w:szCs w:val="20"/>
          <w:color w:val="auto"/>
        </w:rPr>
      </w:pPr>
    </w:p>
    <w:p>
      <w:pPr>
        <w:jc w:val="both"/>
        <w:ind w:firstLine="8"/>
        <w:spacing w:after="0" w:line="218" w:lineRule="auto"/>
        <w:tabs>
          <w:tab w:leader="none" w:pos="232" w:val="left"/>
        </w:tabs>
        <w:numPr>
          <w:ilvl w:val="0"/>
          <w:numId w:val="43"/>
        </w:numPr>
        <w:rPr>
          <w:rFonts w:ascii="Arial" w:cs="Arial" w:eastAsia="Arial" w:hAnsi="Arial"/>
          <w:sz w:val="18"/>
          <w:szCs w:val="18"/>
          <w:u w:val="single" w:color="auto"/>
          <w:color w:val="auto"/>
        </w:rPr>
      </w:pPr>
      <w:r>
        <w:rPr>
          <w:rFonts w:ascii="Arial" w:cs="Arial" w:eastAsia="Arial" w:hAnsi="Arial"/>
          <w:sz w:val="18"/>
          <w:szCs w:val="18"/>
          <w:color w:val="auto"/>
        </w:rPr>
        <w:t>above if any such item individually is less than $1,250,000 in any fiscal quarter and (y) Consolidated EBITDA (a) for the fiscal quarter ended June 30, 2020, shall be deemed to be $27,600,000, (b) for the fiscal quarter ended September 30, 2020, shall be deemed to be $34,400,000, (c) for the fiscal quarter ended December 31, 2020, shall be deemed to be $32,400,000, and (d) for the fiscal quarter ended March 31, 2021, shall be deemed to be $31,800,000, in each case, as may be subject to addbacks and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16</w:t>
      </w:r>
    </w:p>
    <w:p>
      <w:pPr>
        <w:sectPr>
          <w:pgSz w:w="11900" w:h="16838" w:orient="portrait"/>
          <w:cols w:equalWidth="0" w:num="1">
            <w:col w:w="11240"/>
          </w:cols>
          <w:pgMar w:left="320" w:top="1440" w:right="339" w:bottom="1440" w:gutter="0" w:footer="0" w:header="0"/>
        </w:sectPr>
      </w:pPr>
    </w:p>
    <w:bookmarkStart w:id="74" w:name="page75"/>
    <w:bookmarkEnd w:id="74"/>
    <w:p>
      <w:pPr>
        <w:spacing w:after="0" w:line="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(without duplication) pursuant to clauses (a) through (f) above upon the occurrence of a “pro forma” event that occurs after the Closing Date and which is deemed to have occurred as of the first day of a period that includes any of the foregoing fiscal quarters.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First Lien Debt</w:t>
      </w:r>
      <w:r>
        <w:rPr>
          <w:rFonts w:ascii="Arial" w:cs="Arial" w:eastAsia="Arial" w:hAnsi="Arial"/>
          <w:sz w:val="17"/>
          <w:szCs w:val="17"/>
          <w:color w:val="auto"/>
        </w:rPr>
        <w:t>” means, as of any date of determination, (a) the amount of Consolidated Total Debt (including in respect of the</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Loans hereunder) that is secured by a Lien on a material portion of the Collateral on an equal or super priority basis (but without regard to the control of remedies) with the Liens on the Collateral securing the Secured Obligations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Available Cash.</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the sum of cash interest expense (including that attributable to Capitalized Leases), net of cash interest</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income, of the Borrower and the Restricted Subsidiaries with respect to all outstanding Indebtedness for borrowed money of the Borrower and the Restricted Subsidiaries, including all commissions, discounts and other fees and charges owed with respect to letters of credit and bankers’ acceptance financing and net payments (over payments received), if any, made pursuant to interest rate hedging agreements with respect to Indebtedness,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excluding, for the avoidance of doubt, (i) amortization of (A) deferred financing costs, debt issuance costs, commissions, fees and expenses and any other amounts of non-cash interest (including as a result of the effects of acquisition method accounting or pushdown accounting) and (B) any costs or expenses incurred in connection with any amendment or modification of Indebtedness (whether or not consummated), (ii) non-cash interest expense attributable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or currency, (iv) commissions, discounts, yield and other fees and charges (including any interest expense) incurred in connection with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Permitted Receivables Financing, (v) all non-recurring cash interest expense or “additional interest” for failure to timely comply with registration rights obligations, (vi) any interest expense attributable to the exercise of appraisal rights and the settlement of any claims or actions (whether actual, contingent or potential) with respect to any Permitted Acquisition or any other Investment, all as calculated on a consolidated basis in accordance with GAAP, (vii)</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any payments with respect to make-whole premiums or other breakage costs of any Indebtedness, including, without limitation, any Indebtedness issued in connection with the Transactions, (viii) penalties and interest relating to taxes, (ix) accretion or accrual of discounted liabilities, (x) any interest expense attributable to a direct or indirect parent entity resulting from push down accounting, (xi) any expense resulting from the discounting of Indebtedness in</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connection with the application of recapitalization or purchase accounting, (xii) any interest expense or other fees or charges incurred with respect to any Escrowed Obligations (for the avoidance of doubt, so long as such Escrowed Obligations are held in escrow), (xiii) administrative agency or trustee fees,</w:t>
      </w:r>
    </w:p>
    <w:p>
      <w:pPr>
        <w:spacing w:after="0" w:line="1" w:lineRule="exact"/>
        <w:rPr>
          <w:sz w:val="20"/>
          <w:szCs w:val="20"/>
          <w:color w:val="auto"/>
        </w:rPr>
      </w:pPr>
    </w:p>
    <w:p>
      <w:pPr>
        <w:ind w:firstLine="8"/>
        <w:spacing w:after="0" w:line="255" w:lineRule="auto"/>
        <w:tabs>
          <w:tab w:leader="none" w:pos="404"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expense arising from any bridge, structuring, arrangement, commitment and/or other financing fee (including fees and expenses associated with the Transactions and annual agency fees), and (xv) any lease, rental or other expense in connection with a Non-Finance Lease Obligation.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Debt</w:t>
      </w:r>
      <w:r>
        <w:rPr>
          <w:rFonts w:ascii="Arial" w:cs="Arial" w:eastAsia="Arial" w:hAnsi="Arial"/>
          <w:sz w:val="18"/>
          <w:szCs w:val="18"/>
          <w:color w:val="auto"/>
        </w:rPr>
        <w:t xml:space="preserve">” means, as of any date of determination, (a) Consolidated Total Debt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Available Cash.</w:t>
      </w:r>
    </w:p>
    <w:p>
      <w:pPr>
        <w:spacing w:after="0" w:line="185"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the net income (loss) of the Borrower and the Restricted Subsidiaries for such period determined on a consolidated basis in accordance with GAAP, excluding, without duplication:</w:t>
      </w:r>
    </w:p>
    <w:p>
      <w:pPr>
        <w:spacing w:after="0" w:line="156" w:lineRule="exact"/>
        <w:rPr>
          <w:sz w:val="20"/>
          <w:szCs w:val="20"/>
          <w:color w:val="auto"/>
        </w:rPr>
      </w:pPr>
    </w:p>
    <w:p>
      <w:pPr>
        <w:jc w:val="both"/>
        <w:ind w:left="660" w:firstLine="644"/>
        <w:spacing w:after="0" w:line="225" w:lineRule="auto"/>
        <w:tabs>
          <w:tab w:leader="none" w:pos="1851"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extraordinary, non-recurring or unusual gains or losses (less all fees and expenses relating thereto) or expenses (including extraordinary losses and unusual or non-recurring charges or expenses attributable to legal and judgment settlements and any unusual or non-recurring operating expenses directly attributable to the implementation of cost savings initiatives and any accruals or reserves in respect of any extraordinary, non-recurring or unusual items), severance, relocation costs, integration and facilities’ or offices’ pre-opening costs, opening costs, lease termination costs, processor termination or migration costs, closing and/or consolidation costs, start-up costs and other business optimization and rationalization expenses (including related to new product introductions, the consolidation of technology platforms and other strategic or cost saving initiatives and any costs or expenses related or attributable to the commencement of a New Project and including any related employee hiring or retention costs or employee redundancy or termination costs), restructuring charges, accruals or reserves (including restructuring and integration costs related to acquisitions consummated prior to or after the Effective Date and adjustments to existing reserves), whether or not classified as restructuring expense on the consolidated financial statements, signing costs, retention or completion bonuses, other executive recruiting and retention costs, transition costs, costs related to closure/consolidation of facilities, branches, data centers and/or offices (including, without limitation, costs incurred in respect of leased premises, including related to build out and the relocation of personnel and equipment), lease breakage costs, internal costs in respect of strategic initiatives and curtailments or modifications to pension and post-employment employee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17</w:t>
      </w:r>
    </w:p>
    <w:p>
      <w:pPr>
        <w:sectPr>
          <w:pgSz w:w="11900" w:h="16838" w:orient="portrait"/>
          <w:cols w:equalWidth="0" w:num="1">
            <w:col w:w="11240"/>
          </w:cols>
          <w:pgMar w:left="320" w:top="1440" w:right="339" w:bottom="1440" w:gutter="0" w:footer="0" w:header="0"/>
        </w:sectPr>
      </w:pPr>
    </w:p>
    <w:bookmarkStart w:id="75" w:name="page76"/>
    <w:bookmarkEnd w:id="75"/>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(including any settlement of pension liabilities and charges resulting from changes in estimates, valuations and judgments thereof),</w:t>
      </w:r>
    </w:p>
    <w:p>
      <w:pPr>
        <w:spacing w:after="0" w:line="185" w:lineRule="exact"/>
        <w:rPr>
          <w:sz w:val="20"/>
          <w:szCs w:val="20"/>
          <w:color w:val="auto"/>
        </w:rPr>
      </w:pPr>
    </w:p>
    <w:p>
      <w:pPr>
        <w:ind w:firstLine="644"/>
        <w:spacing w:after="0" w:line="235" w:lineRule="auto"/>
        <w:tabs>
          <w:tab w:leader="none" w:pos="109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and changes as a result of the adoption or modification of accounting policies during such period,</w:t>
      </w:r>
    </w:p>
    <w:p>
      <w:pPr>
        <w:spacing w:after="0" w:line="175" w:lineRule="exact"/>
        <w:rPr>
          <w:rFonts w:ascii="Arial" w:cs="Arial" w:eastAsia="Arial" w:hAnsi="Arial"/>
          <w:sz w:val="18"/>
          <w:szCs w:val="18"/>
          <w:color w:val="auto"/>
        </w:rPr>
      </w:pPr>
    </w:p>
    <w:p>
      <w:pPr>
        <w:jc w:val="both"/>
        <w:ind w:firstLine="644"/>
        <w:spacing w:after="0" w:line="224" w:lineRule="auto"/>
        <w:tabs>
          <w:tab w:leader="none" w:pos="11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Transaction Costs (including any charges associated with the rollover, acceleration or payout of Equity Interests (including any restricted stock units, options or similar equity-linked interests) held by management of the Borrower or any of its direct or indirect subsidiaries or parents in connection with the Transactions),</w:t>
      </w:r>
    </w:p>
    <w:p>
      <w:pPr>
        <w:spacing w:after="0" w:line="176" w:lineRule="exact"/>
        <w:rPr>
          <w:rFonts w:ascii="Arial" w:cs="Arial" w:eastAsia="Arial" w:hAnsi="Arial"/>
          <w:sz w:val="18"/>
          <w:szCs w:val="18"/>
          <w:color w:val="auto"/>
        </w:rPr>
      </w:pPr>
    </w:p>
    <w:p>
      <w:pPr>
        <w:jc w:val="both"/>
        <w:ind w:firstLine="644"/>
        <w:spacing w:after="0" w:line="219" w:lineRule="auto"/>
        <w:tabs>
          <w:tab w:leader="none" w:pos="10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net income for such period of any Person that is an Unrestricted Subsidiary and any Person that is not a Subsidiary or that is accounted for by the equity method of accounting;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Net Income shall be increased by the amount of dividends or distributions or other payments that are actually paid in cash or Permitted Investments (or, if not paid in cash or Permitted Investments, but later converted into cash or Permitted Investments, upon such conversion) by such Person to the Borrower or a Restricted Subsidiary thereof during such period,</w:t>
      </w:r>
    </w:p>
    <w:p>
      <w:pPr>
        <w:spacing w:after="0" w:line="162" w:lineRule="exact"/>
        <w:rPr>
          <w:rFonts w:ascii="Arial" w:cs="Arial" w:eastAsia="Arial" w:hAnsi="Arial"/>
          <w:sz w:val="18"/>
          <w:szCs w:val="18"/>
          <w:color w:val="auto"/>
        </w:rPr>
      </w:pPr>
    </w:p>
    <w:p>
      <w:pPr>
        <w:jc w:val="both"/>
        <w:ind w:firstLine="644"/>
        <w:spacing w:after="0" w:line="215" w:lineRule="auto"/>
        <w:tabs>
          <w:tab w:leader="none" w:pos="11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fees and expenses (including any transaction or retention bonus or similar payment, any earnout, contingent consideration obligation or purchase price adjustment) incurred during such period, or any amortization thereof for such period, in connection with any acquisition (including any related bonus expense), Investment, asset disposition, issuance or repayment of debt, issuance of Equity Interests, refinancing transaction or amendment or other modification of any debt instrument (in each case, including any such transaction consummated prior to the Effective Date and any such transaction undertaken but not completed and including any fees or legal expenses related to the on-going administration of any debt instrument) and any charges or non-recurring merger costs incurred 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w:t>
      </w:r>
    </w:p>
    <w:p>
      <w:pPr>
        <w:spacing w:after="0" w:line="167" w:lineRule="exact"/>
        <w:rPr>
          <w:rFonts w:ascii="Arial" w:cs="Arial" w:eastAsia="Arial" w:hAnsi="Arial"/>
          <w:sz w:val="18"/>
          <w:szCs w:val="18"/>
          <w:color w:val="auto"/>
        </w:rPr>
      </w:pPr>
    </w:p>
    <w:p>
      <w:pPr>
        <w:ind w:left="1040" w:hanging="396"/>
        <w:spacing w:after="0"/>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income (loss) for such period attributable to the early extinguishment of Indebtedness, hedging agreements or other derivative</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instruments,</w:t>
      </w:r>
    </w:p>
    <w:p>
      <w:pPr>
        <w:spacing w:after="0" w:line="168" w:lineRule="exact"/>
        <w:rPr>
          <w:rFonts w:ascii="Arial" w:cs="Arial" w:eastAsia="Arial" w:hAnsi="Arial"/>
          <w:sz w:val="16"/>
          <w:szCs w:val="16"/>
          <w:color w:val="auto"/>
        </w:rPr>
      </w:pPr>
    </w:p>
    <w:p>
      <w:pPr>
        <w:jc w:val="both"/>
        <w:ind w:firstLine="644"/>
        <w:spacing w:after="0" w:line="229" w:lineRule="auto"/>
        <w:tabs>
          <w:tab w:leader="none" w:pos="11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accruals and reserves that are established or adjusted as a result of the Transactions in accordance with GAAP (including any adjustment of estimated payouts on existing earn-outs) or changes as a result of the adoption or modification of accounting policies during such period,</w:t>
      </w:r>
    </w:p>
    <w:p>
      <w:pPr>
        <w:spacing w:after="0" w:line="163" w:lineRule="exact"/>
        <w:rPr>
          <w:rFonts w:ascii="Arial" w:cs="Arial" w:eastAsia="Arial" w:hAnsi="Arial"/>
          <w:sz w:val="18"/>
          <w:szCs w:val="18"/>
          <w:color w:val="auto"/>
        </w:rPr>
      </w:pPr>
    </w:p>
    <w:p>
      <w:pPr>
        <w:ind w:left="1040" w:hanging="396"/>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Non-Cash Compensation Expenses,</w:t>
      </w:r>
    </w:p>
    <w:p>
      <w:pPr>
        <w:spacing w:after="0" w:line="184" w:lineRule="exact"/>
        <w:rPr>
          <w:rFonts w:ascii="Arial" w:cs="Arial" w:eastAsia="Arial" w:hAnsi="Arial"/>
          <w:sz w:val="18"/>
          <w:szCs w:val="18"/>
          <w:color w:val="auto"/>
        </w:rPr>
      </w:pPr>
    </w:p>
    <w:p>
      <w:pPr>
        <w:ind w:left="1000" w:hanging="356"/>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income (loss) attributable to deferred compensation plans or trusts,</w:t>
      </w:r>
    </w:p>
    <w:p>
      <w:pPr>
        <w:spacing w:after="0" w:line="198" w:lineRule="exact"/>
        <w:rPr>
          <w:rFonts w:ascii="Arial" w:cs="Arial" w:eastAsia="Arial" w:hAnsi="Arial"/>
          <w:sz w:val="18"/>
          <w:szCs w:val="18"/>
          <w:color w:val="auto"/>
        </w:rPr>
      </w:pPr>
    </w:p>
    <w:p>
      <w:pPr>
        <w:ind w:left="1000" w:hanging="356"/>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[reserved],</w:t>
      </w:r>
    </w:p>
    <w:p>
      <w:pPr>
        <w:spacing w:after="0" w:line="184" w:lineRule="exact"/>
        <w:rPr>
          <w:rFonts w:ascii="Arial" w:cs="Arial" w:eastAsia="Arial" w:hAnsi="Arial"/>
          <w:sz w:val="18"/>
          <w:szCs w:val="18"/>
          <w:color w:val="auto"/>
        </w:rPr>
      </w:pPr>
    </w:p>
    <w:p>
      <w:pPr>
        <w:ind w:left="1060" w:hanging="416"/>
        <w:spacing w:after="0"/>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gain (loss) on asset sales, disposals or abandonments (other than asset sales, disposals or abandonments in the ordinary course</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business),</w:t>
      </w:r>
    </w:p>
    <w:p>
      <w:pPr>
        <w:spacing w:after="0" w:line="182" w:lineRule="exact"/>
        <w:rPr>
          <w:rFonts w:ascii="Arial" w:cs="Arial" w:eastAsia="Arial" w:hAnsi="Arial"/>
          <w:sz w:val="16"/>
          <w:szCs w:val="16"/>
          <w:color w:val="auto"/>
        </w:rPr>
      </w:pPr>
    </w:p>
    <w:p>
      <w:pPr>
        <w:jc w:val="both"/>
        <w:ind w:firstLine="644"/>
        <w:spacing w:after="0" w:line="223" w:lineRule="auto"/>
        <w:tabs>
          <w:tab w:leader="none" w:pos="10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any non-cash gain (loss) attributable to the mark to market movement in the valuation of hedging obligations or other derivative instruments pursuant to FASB Accounting Standards Codification 815-Derivatives and Hedging or mark to market movement of other financial instruments pursuant to FASB Accounting Standards Codification 825-Financial Instruments;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cash payments or receipts relating to transactions realized in a given period shall be taken into account in such period,</w:t>
      </w:r>
    </w:p>
    <w:p>
      <w:pPr>
        <w:spacing w:after="0" w:line="162" w:lineRule="exact"/>
        <w:rPr>
          <w:rFonts w:ascii="Arial" w:cs="Arial" w:eastAsia="Arial" w:hAnsi="Arial"/>
          <w:sz w:val="18"/>
          <w:szCs w:val="18"/>
          <w:color w:val="auto"/>
        </w:rPr>
      </w:pPr>
    </w:p>
    <w:p>
      <w:pPr>
        <w:jc w:val="both"/>
        <w:ind w:firstLine="644"/>
        <w:spacing w:after="0" w:line="229" w:lineRule="auto"/>
        <w:tabs>
          <w:tab w:leader="none" w:pos="11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non-cash gain (loss) related to currency remeasurements of Indebtedness, net loss or gain resulting from hedging agreements for currency exchange risk and revaluations of intercompany balances (including Indebtedness and gain or loss relating to translation of assets and liabilities) and other balance sheet items,</w:t>
      </w:r>
    </w:p>
    <w:p>
      <w:pPr>
        <w:spacing w:after="0" w:line="163" w:lineRule="exact"/>
        <w:rPr>
          <w:rFonts w:ascii="Arial" w:cs="Arial" w:eastAsia="Arial" w:hAnsi="Arial"/>
          <w:sz w:val="18"/>
          <w:szCs w:val="18"/>
          <w:color w:val="auto"/>
        </w:rPr>
      </w:pPr>
    </w:p>
    <w:p>
      <w:pPr>
        <w:jc w:val="both"/>
        <w:ind w:firstLine="644"/>
        <w:spacing w:after="0" w:line="229" w:lineRule="auto"/>
        <w:tabs>
          <w:tab w:leader="none" w:pos="106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non-cash expenses, accruals or reserves related to adjustments to historical tax exposures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the cash payment in respect thereof in such future period shall be subtracted from Consolidated Net Income for the period in which such cash payment was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0000FF"/>
          <w:highlight w:val="lightGray"/>
        </w:rPr>
        <w:t>18</w:t>
      </w:r>
    </w:p>
    <w:p>
      <w:pPr>
        <w:sectPr>
          <w:pgSz w:w="11900" w:h="16838" w:orient="portrait"/>
          <w:cols w:equalWidth="0" w:num="1">
            <w:col w:w="10580"/>
          </w:cols>
          <w:pgMar w:left="980" w:top="1440" w:right="339" w:bottom="1440" w:gutter="0" w:footer="0" w:header="0"/>
        </w:sectPr>
      </w:pPr>
    </w:p>
    <w:bookmarkStart w:id="76" w:name="page77"/>
    <w:bookmarkEnd w:id="76"/>
    <w:p>
      <w:pPr>
        <w:spacing w:after="0" w:line="63" w:lineRule="exact"/>
        <w:rPr>
          <w:sz w:val="20"/>
          <w:szCs w:val="20"/>
          <w:color w:val="auto"/>
        </w:rPr>
      </w:pPr>
    </w:p>
    <w:p>
      <w:pPr>
        <w:ind w:left="660" w:firstLine="644"/>
        <w:spacing w:after="0" w:line="235" w:lineRule="auto"/>
        <w:tabs>
          <w:tab w:leader="none" w:pos="17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impairment charge or asset write-off or write-down (including related to intangible assets (including goodwill), long-lived assets and investments in debt and equity securities),</w:t>
      </w:r>
    </w:p>
    <w:p>
      <w:pPr>
        <w:spacing w:after="0" w:line="161" w:lineRule="exact"/>
        <w:rPr>
          <w:rFonts w:ascii="Arial" w:cs="Arial" w:eastAsia="Arial" w:hAnsi="Arial"/>
          <w:sz w:val="18"/>
          <w:szCs w:val="18"/>
          <w:color w:val="auto"/>
        </w:rPr>
      </w:pPr>
    </w:p>
    <w:p>
      <w:pPr>
        <w:jc w:val="both"/>
        <w:ind w:left="660" w:firstLine="644"/>
        <w:spacing w:after="0" w:line="245" w:lineRule="auto"/>
        <w:tabs>
          <w:tab w:leader="none" w:pos="1721"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solely for the purpose of calculating the Available Amount, the net income for such period of any Restricted Subsidiary (other than any Guarantor) shall be excluded to the extent the declaration or payment of dividends or similar distributions by that Restricted Subsidiary of its net income is not at the date of determination permitted without any prior Governmental Approval (which has not been obtained) or, directly or indirectly, is otherwise restricted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Net Income of the Borrower will be increased by the amount of dividends or other distributions or other payments actually paid in cash (or to the extent converted into cash) or Permitted Investments to the Borrower or a Restricted Subsidiary thereof in respect of such period, to the extent not already included therein,</w:t>
      </w:r>
    </w:p>
    <w:p>
      <w:pPr>
        <w:spacing w:after="0" w:line="157" w:lineRule="exact"/>
        <w:rPr>
          <w:rFonts w:ascii="Arial" w:cs="Arial" w:eastAsia="Arial" w:hAnsi="Arial"/>
          <w:sz w:val="16"/>
          <w:szCs w:val="16"/>
          <w:color w:val="auto"/>
        </w:rPr>
      </w:pPr>
    </w:p>
    <w:p>
      <w:pPr>
        <w:ind w:left="660" w:firstLine="644"/>
        <w:spacing w:after="0" w:line="235" w:lineRule="auto"/>
        <w:tabs>
          <w:tab w:leader="none" w:pos="18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accruals or obligations accrued related to workers’ compensation programs to the extent that expenses deducted in the calculation of net income exceed the net amounts paid in cash related to workers’ compensation programs in that period,</w:t>
      </w:r>
    </w:p>
    <w:p>
      <w:pPr>
        <w:spacing w:after="0" w:line="175" w:lineRule="exact"/>
        <w:rPr>
          <w:rFonts w:ascii="Arial" w:cs="Arial" w:eastAsia="Arial" w:hAnsi="Arial"/>
          <w:sz w:val="18"/>
          <w:szCs w:val="18"/>
          <w:color w:val="auto"/>
        </w:rPr>
      </w:pPr>
    </w:p>
    <w:p>
      <w:pPr>
        <w:jc w:val="both"/>
        <w:ind w:left="660" w:firstLine="644"/>
        <w:spacing w:after="0" w:line="224" w:lineRule="auto"/>
        <w:tabs>
          <w:tab w:leader="none" w:pos="171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reserves, accruals or obligations accrued by the Borrower or any of its Subsidiaries for any federal and state employment tax liabilities, including social security, federal unemployment, state unemployment and state disability taxes deducted in the calculation of net income during such period, less the amount of such obligations paid in cash with respect to such period, and</w:t>
      </w:r>
    </w:p>
    <w:p>
      <w:pPr>
        <w:spacing w:after="0" w:line="176" w:lineRule="exact"/>
        <w:rPr>
          <w:rFonts w:ascii="Arial" w:cs="Arial" w:eastAsia="Arial" w:hAnsi="Arial"/>
          <w:sz w:val="18"/>
          <w:szCs w:val="18"/>
          <w:color w:val="auto"/>
        </w:rPr>
      </w:pPr>
    </w:p>
    <w:p>
      <w:pPr>
        <w:ind w:left="660" w:firstLine="644"/>
        <w:spacing w:after="0" w:line="235" w:lineRule="auto"/>
        <w:tabs>
          <w:tab w:leader="none" w:pos="1779"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earnout and contingent consideration obligations (including to the extent accounted for as bonuses or otherwise) and adjustments thereof and purchase price adjustments;</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in its sole discretion, elect to not make any adjustment for any item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w:t>
      </w:r>
      <w:r>
        <w:rPr>
          <w:rFonts w:ascii="Arial" w:cs="Arial" w:eastAsia="Arial" w:hAnsi="Arial"/>
          <w:sz w:val="18"/>
          <w:szCs w:val="18"/>
          <w:color w:val="auto"/>
        </w:rPr>
        <w:t xml:space="preserve"> above if any such item individually is less than $1,250,000 in any fiscal quarter.</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w:t>
      </w:r>
    </w:p>
    <w:p>
      <w:pPr>
        <w:jc w:val="both"/>
        <w:spacing w:after="0" w:line="234" w:lineRule="auto"/>
        <w:rPr>
          <w:sz w:val="20"/>
          <w:szCs w:val="20"/>
          <w:color w:val="auto"/>
        </w:rPr>
      </w:pPr>
      <w:r>
        <w:rPr>
          <w:rFonts w:ascii="Arial" w:cs="Arial" w:eastAsia="Arial" w:hAnsi="Arial"/>
          <w:sz w:val="16"/>
          <w:szCs w:val="16"/>
          <w:color w:val="auto"/>
        </w:rPr>
        <w:t>(including deferred costs related thereto and deferred rent) required or permitted by GAAP and related authoritative pronouncements (including FASB Accounting Standards Codification 805 and including the effects of such adjustments pushed down to Holdings, the Borrower and the Restricted Subsidiaries), as a result of the Transactions, any acquisition or Investment consummated prior to the Effective Date and any Permitted Acquisitions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 or the amortization or write-off of any amounts thereof.</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addition, to the extent not already included in Consolidated Net Income, Consolidated Net Income shall include (i) the amount of proceeds received (or reasonably expected to be received) or due from business interruption insurance or government support payments (other than loans, to the</w:t>
      </w:r>
    </w:p>
    <w:p>
      <w:pPr>
        <w:jc w:val="both"/>
        <w:spacing w:after="0" w:line="234" w:lineRule="auto"/>
        <w:rPr>
          <w:sz w:val="20"/>
          <w:szCs w:val="20"/>
          <w:color w:val="auto"/>
        </w:rPr>
      </w:pPr>
      <w:r>
        <w:rPr>
          <w:rFonts w:ascii="Arial" w:cs="Arial" w:eastAsia="Arial" w:hAnsi="Arial"/>
          <w:sz w:val="16"/>
          <w:szCs w:val="16"/>
          <w:color w:val="auto"/>
        </w:rPr>
        <w:t>extent not forgivable) or reimbursement of expenses and charges that are covered by indemnification, insurance and other reimbursement provisions in connection with the Transactions, any acquisition or other Investment or any disposition of any asset permitted hereunder or that occurred prior to the Effective Date (net of any amount so included in any prior period to the extent not so received or reimbursed within a two year period) and (ii) the amount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any cash tax benefits related to the tax amortization of intangible assets in such period.</w:t>
      </w:r>
    </w:p>
    <w:p>
      <w:pPr>
        <w:spacing w:after="0" w:line="16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Secured Debt</w:t>
      </w:r>
      <w:r>
        <w:rPr>
          <w:rFonts w:ascii="Arial" w:cs="Arial" w:eastAsia="Arial" w:hAnsi="Arial"/>
          <w:sz w:val="18"/>
          <w:szCs w:val="18"/>
          <w:color w:val="auto"/>
        </w:rPr>
        <w:t xml:space="preserve">” means, as of any date of determination, (a) Consolidated Total Debt that is secured by a Lien on a material portion of the Collateral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Available Cash.</w:t>
      </w:r>
    </w:p>
    <w:p>
      <w:pPr>
        <w:spacing w:after="0" w:line="1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Assets</w:t>
      </w:r>
      <w:r>
        <w:rPr>
          <w:rFonts w:ascii="Arial" w:cs="Arial" w:eastAsia="Arial" w:hAnsi="Arial"/>
          <w:sz w:val="17"/>
          <w:szCs w:val="17"/>
          <w:color w:val="auto"/>
        </w:rPr>
        <w:t>” means, as at any date of determination, the amount that would be set forth opposite the caption “total assets” (or any like caption) on the most recent consolidated balance sheet of the Borrower and the Restricted Subsidiaries in accordance with GAAP.</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Debt</w:t>
      </w:r>
      <w:r>
        <w:rPr>
          <w:rFonts w:ascii="Arial" w:cs="Arial" w:eastAsia="Arial" w:hAnsi="Arial"/>
          <w:sz w:val="16"/>
          <w:szCs w:val="16"/>
          <w:color w:val="auto"/>
        </w:rPr>
        <w:t>” means, as of any date of determination, the outstanding principal amount of all third party Indebtedness for borrowed</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money (including purchase money Indebtedness), unreimbursed drawings under letters of credit, Capital Lease Obligations, third party Indebtedness obligations evidenced by notes or similar instruments (and excluding, for the avoidance of doubt, Swap Obligations), in each case of the Borrower and the Restricted Subsidiaries on such date, on a consolidated basis and determined in accordance with GAAP (excluding, in any event, the effects of any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discounting of Indebtedness resulting from the application of acquisition method or pushdown accounting in connection with the Transactions or any Permitted Acquisition or other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19</w:t>
      </w:r>
    </w:p>
    <w:p>
      <w:pPr>
        <w:sectPr>
          <w:pgSz w:w="11900" w:h="16838" w:orient="portrait"/>
          <w:cols w:equalWidth="0" w:num="1">
            <w:col w:w="11240"/>
          </w:cols>
          <w:pgMar w:left="320" w:top="1440" w:right="339" w:bottom="1440" w:gutter="0" w:footer="0" w:header="0"/>
        </w:sectPr>
      </w:pPr>
    </w:p>
    <w:bookmarkStart w:id="77" w:name="page78"/>
    <w:bookmarkEnd w:id="77"/>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Consolidated Working Capital</w:t>
      </w:r>
      <w:r>
        <w:rPr>
          <w:rFonts w:ascii="Arial" w:cs="Arial" w:eastAsia="Arial" w:hAnsi="Arial"/>
          <w:sz w:val="16"/>
          <w:szCs w:val="16"/>
          <w:color w:val="auto"/>
        </w:rPr>
        <w:t>” means, at any date, the excess of (a) the sum of all amounts (other than cash and Permitted Investments) that would, in conformity with GAAP, be set forth opposite the caption “total current assets” (or any like caption) on a consolidated balance sheet of the Borrower and the Restricted Subsidiaries at such date, excluding the current portion of current and deferred income taxes over (b) the sum of all amounts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that would, in conformity with GAAP, be set forth opposite the caption “total current liabilities” (or any like caption) on a consolidated balance sheet of the Borrower and the Restricted Subsidiaries on such date, including deferred revenue but excluding, without duplication, (i) the current portion of any Funded Debt, (ii) all Indebtedness consisting of Loans and obligations under letters of credit to the extent otherwise included therein, (iii) the current portion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interest and (iv) the current portion of current and deferred income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calculating Excess Cash Flow, increases or decreases in working capital (A) arising from acquisitions, dispositions or Unrestricted Subsidiary or Restricted Subsidiary designations by the Borrower and the Restricted Subsidiaries shall be measured from the date on which such acquisition, disposition or Unrestricted Subsidiary or Restricted Subsidiary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designation occurred and not over the period in which Excess Cash Flow is calculated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hedging agreements or other derivative obligations, (y) any reclassification, other than as a result of the passage of time, in accordance with GAAP of assets or liabilities, as applicable, between current and noncurrent or (z) the effects of acquisition method accounting.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Consideration</w:t>
      </w:r>
      <w:r>
        <w:rPr>
          <w:rFonts w:ascii="Arial" w:cs="Arial" w:eastAsia="Arial" w:hAnsi="Arial"/>
          <w:sz w:val="18"/>
          <w:szCs w:val="18"/>
          <w:color w:val="auto"/>
        </w:rPr>
        <w:t>” has the meaning assigned to such term in the definition of the term “ECF Deductions”.</w:t>
      </w:r>
    </w:p>
    <w:p>
      <w:pPr>
        <w:spacing w:after="0" w:line="19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w:t>
      </w:r>
    </w:p>
    <w:p>
      <w:pPr>
        <w:spacing w:after="0" w:line="176" w:lineRule="exact"/>
        <w:rPr>
          <w:sz w:val="20"/>
          <w:szCs w:val="20"/>
          <w:color w:val="auto"/>
        </w:rPr>
      </w:pPr>
    </w:p>
    <w:p>
      <w:pPr>
        <w:ind w:left="660" w:right="1180"/>
        <w:spacing w:after="0" w:line="5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Converted Restricted Subsidiary</w:t>
      </w:r>
      <w:r>
        <w:rPr>
          <w:rFonts w:ascii="Arial" w:cs="Arial" w:eastAsia="Arial" w:hAnsi="Arial"/>
          <w:sz w:val="16"/>
          <w:szCs w:val="16"/>
          <w:color w:val="auto"/>
        </w:rPr>
        <w:t>” has the meaning assigned to such term in the definition of the term “Consolidated EBITDA.” “</w:t>
      </w:r>
      <w:r>
        <w:rPr>
          <w:rFonts w:ascii="Arial" w:cs="Arial" w:eastAsia="Arial" w:hAnsi="Arial"/>
          <w:sz w:val="16"/>
          <w:szCs w:val="16"/>
          <w:u w:val="single" w:color="auto"/>
          <w:color w:val="auto"/>
        </w:rPr>
        <w:t>Converted Unrestricted Subsidiary</w:t>
      </w:r>
      <w:r>
        <w:rPr>
          <w:rFonts w:ascii="Arial" w:cs="Arial" w:eastAsia="Arial" w:hAnsi="Arial"/>
          <w:sz w:val="16"/>
          <w:szCs w:val="16"/>
          <w:color w:val="auto"/>
        </w:rPr>
        <w:t>” has the meaning assigned to such term in the definition of the term “Consolidated EBITDA.”</w:t>
      </w:r>
    </w:p>
    <w:p>
      <w:pPr>
        <w:spacing w:after="0" w:line="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u w:val="single" w:color="auto"/>
          <w:color w:val="0000FF"/>
          <w:highlight w:val="lightGray"/>
        </w:rPr>
        <w:t>“Corresponding Tenor” with respect to any Available Tenor means, as applicable, either a tenor (including overnight) or an interest payment period having approximately the same length (disregarding business day adjustment) as such Available Tenor.</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9.21(b)</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9.21(a)</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 Refinancing Indebtedness</w:t>
      </w:r>
      <w:r>
        <w:rPr>
          <w:rFonts w:ascii="Arial" w:cs="Arial" w:eastAsia="Arial" w:hAnsi="Arial"/>
          <w:sz w:val="16"/>
          <w:szCs w:val="16"/>
          <w:color w:val="auto"/>
        </w:rPr>
        <w:t>” means Indebtedness issued, incurred or otherwise obtained (including by means of the extension or renewal of existing Indebtedness) by a Loan Party in exchange for, or to extend, renew, replace or refinance, in whole or part, any Class of existing Term Loans or Revolving Loans (or unused Revolving Commitments) (“</w:t>
      </w:r>
      <w:r>
        <w:rPr>
          <w:rFonts w:ascii="Arial" w:cs="Arial" w:eastAsia="Arial" w:hAnsi="Arial"/>
          <w:sz w:val="16"/>
          <w:szCs w:val="16"/>
          <w:u w:val="single" w:color="auto"/>
          <w:color w:val="auto"/>
        </w:rPr>
        <w:t>Refinanced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exchanging, extending, renewing, replacing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refinancing Indebtedness (a) is in an original aggregate principal amount not greater than the aggregate principal amount of the Refinanced Debt (including any unused Revolving Commitment at such time) (plus any premium, accrued interest and fees and expenses incurred in connection with such exchange, extension, renewal, replacement or refinancing), (b) does not mature earlier than or, except in the case of Revolving Commitments, have a Weighted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Average Life to Maturity shorter than the Refinanced Debt (other than Customary Bridge Loans and except with respect to an amount equal to the Maturity Carveout Amount at such time), (c) shall not be guaranteed by any entity that is not a Loan Party, (d) in the case of any secured Indebtedness (i) is not secured by any assets not securing the Secured Obligations and (ii) is subject to the relevant Intercreditor Agreement(s) and (e) has covenants and events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default (excluding as to subordination, interest rate (including whether such interest is payable in cash or in kind), interest rate margins, pricing, rate floors, discounts, fees, premiums and prepayment or redemption provisions and other than with respect to Customary Bridge Loans) that either (I) are not materially more favorable (when taken as a whole) to the lenders or investors providing such Indebtedness than the terms and conditions of this Agreement</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(when taken as a whole) are to the Lenders (except for covenants or other provisions applicable only to periods after the Latest Maturity Date at the time of such refinancing), (II) are applicable only to periods after the Latest Maturity Date at the time of such refinancing, (III) reflect market terms and conditions (taken as a whole) at the time of incurrence of such Indebtedness (as determined by the Borrower in good faith) or (IV) are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20</w:t>
      </w:r>
    </w:p>
    <w:p>
      <w:pPr>
        <w:sectPr>
          <w:pgSz w:w="11900" w:h="16838" w:orient="portrait"/>
          <w:cols w:equalWidth="0" w:num="1">
            <w:col w:w="11240"/>
          </w:cols>
          <w:pgMar w:left="320" w:top="1440" w:right="339" w:bottom="1440" w:gutter="0" w:footer="0" w:header="0"/>
        </w:sectPr>
      </w:pPr>
    </w:p>
    <w:bookmarkStart w:id="78" w:name="page79"/>
    <w:bookmarkEnd w:id="78"/>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satisfactory to the Administrative Agent (provided that, at the Borrower’s election, to the extent any financial maintenance covenant or other term or provision is added for the benefit of (X) the lenders of any such Indebtedness that consists of term facilities, no consent shall be required from the Administrative Agent or the Lenders to the extent that such term or provision is also added, or the features of such term or provision are provided, for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benefit of each Term Loan (and, for the avoidance of doubt, such term shall be deemed reasonably satisfactory to the Administrative Agent) or (Y) the lenders of any such Indebtedness that consists of revolving credit facilities, no consent shall be required from the Administrative Agent or the Lenders to the extent that such term or provision is also added, or the features of such term or provision are provided, for the benefit of the Lenders of each Revolving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(and, for the avoidance of doubt, such term shall be deemed reasonably satisfactory to the Administrative Agent).</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Cumulative Retained Excess Cash Flow Amount</w:t>
      </w:r>
      <w:r>
        <w:rPr>
          <w:rFonts w:ascii="Arial" w:cs="Arial" w:eastAsia="Arial" w:hAnsi="Arial"/>
          <w:sz w:val="16"/>
          <w:szCs w:val="16"/>
          <w:color w:val="auto"/>
        </w:rPr>
        <w:t xml:space="preserve">” means, at any date, an amount equal to (a) the cumulative amount of Excess Cash Flow (which shall not be less than zero in any fiscal year) of the Borrower and its Restricted Subsidiaries for the Available Amount Reference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w:t>
      </w:r>
    </w:p>
    <w:p>
      <w:pPr>
        <w:jc w:val="both"/>
        <w:spacing w:after="0" w:line="226" w:lineRule="auto"/>
        <w:rPr>
          <w:sz w:val="20"/>
          <w:szCs w:val="20"/>
          <w:color w:val="auto"/>
        </w:rPr>
      </w:pPr>
      <w:r>
        <w:rPr>
          <w:rFonts w:ascii="Arial" w:cs="Arial" w:eastAsia="Arial" w:hAnsi="Arial"/>
          <w:sz w:val="18"/>
          <w:szCs w:val="18"/>
          <w:color w:val="auto"/>
        </w:rPr>
        <w:t xml:space="preserve">amount that has been (or is required to be) applied to the prepayment of Term Loans in accordance with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for the Available Amount Reference Period (but, for the avoidance of doubt, excluding Retained ECF Proceeds and Retained Declined Proceeds).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Right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Cured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Customary Bridge Loans</w:t>
      </w:r>
      <w:r>
        <w:rPr>
          <w:rFonts w:ascii="Arial" w:cs="Arial" w:eastAsia="Arial" w:hAnsi="Arial"/>
          <w:sz w:val="16"/>
          <w:szCs w:val="16"/>
          <w:color w:val="auto"/>
        </w:rPr>
        <w:t xml:space="preserve">” means customary bridge loans with a maturity date of no longer than one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Weighted Average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Life to Maturity of any loans, notes, securities or other Indebtedness which are exchanged for or otherwise replace such bridge loans is not shorter than the Weighted Average Life to Maturity of the Term Loans (without giving effect to any prior amortization or prepayments thereof) and (b) the final maturity date of any loans, notes, securities or other Indebtedness which are exchanged for or otherwise replace such bridge loans is no earlier than the Latest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Maturity Date at the time such bridge loans are incurred.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Customary Escrow Provisions</w:t>
      </w:r>
      <w:r>
        <w:rPr>
          <w:rFonts w:ascii="Arial" w:cs="Arial" w:eastAsia="Arial" w:hAnsi="Arial"/>
          <w:sz w:val="18"/>
          <w:szCs w:val="18"/>
          <w:color w:val="auto"/>
        </w:rPr>
        <w:t>” means customary redemption or prepayment terms in connection with escrow arrangements.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Customary Exceptions</w:t>
      </w:r>
      <w:r>
        <w:rPr>
          <w:rFonts w:ascii="Arial" w:cs="Arial" w:eastAsia="Arial" w:hAnsi="Arial"/>
          <w:sz w:val="16"/>
          <w:szCs w:val="16"/>
          <w:color w:val="auto"/>
        </w:rPr>
        <w:t>” means (a) customary asset sale, insurance and condemnation proceeds events, change-of-control offers or events of</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default or, if in the form of loans, excess cash flow payments and customary Indebtedness mandatory prepayment provisions and/or (b) Customary Escrow Provisions.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0000FF"/>
          <w:highlight w:val="lightGray"/>
        </w:rPr>
        <w:t>“Daily Simple SOFR” means, for any day (a “SOFR Rate Day”), a rate per annum equal to SOFR for the day (such day “SOFR Determination</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0000FF"/>
          <w:highlight w:val="lightGray"/>
        </w:rPr>
        <w:t xml:space="preserve">Date”) that is five (5) U.S. Government Securities Business Days prior to (a) if such SOFR Rate Day is a U.S. Government Securities Business Day, such SOFR Rate Day or (b) if such SOFR Rate Day is not a U.S. Government Securities Business Day, the U.S. Government Securities Business Day </w:t>
      </w:r>
      <w:r>
        <w:rPr>
          <w:rFonts w:ascii="Arial" w:cs="Arial" w:eastAsia="Arial" w:hAnsi="Arial"/>
          <w:sz w:val="16"/>
          <w:szCs w:val="16"/>
          <w:u w:val="single" w:color="auto"/>
          <w:color w:val="0000FF"/>
          <w:highlight w:val="lightGray"/>
        </w:rPr>
        <w:t>immediately preceding such SOFR Rate Day, in each case, as such SOFR is published by the SOFR Administrator on the SOFR Administrator’s Website.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0000FF"/>
          <w:highlight w:val="lightGray"/>
        </w:rPr>
        <w:t xml:space="preserve">Any change in Daily </w:t>
      </w:r>
      <w:r>
        <w:rPr>
          <w:rFonts w:ascii="Arial" w:cs="Arial" w:eastAsia="Arial" w:hAnsi="Arial"/>
          <w:sz w:val="18"/>
          <w:szCs w:val="18"/>
          <w:u w:val="single" w:color="auto"/>
          <w:color w:val="0000FF"/>
          <w:highlight w:val="lightGray"/>
        </w:rPr>
        <w:t>Simple SOFR due to a change in SOFR shall be effective from and including the effective date of such change in SOFR without</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notice to the Borrower.</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upon notice, lapse of time or both would, unless cured or waived, become an Event of Default.</w:t>
      </w:r>
    </w:p>
    <w:p>
      <w:pPr>
        <w:spacing w:after="0" w:line="15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any Lender that has (a) failed to fund any portion of its Loans or participations in Letters of Credit within one Business Day of the date on which such funding is required hereunder, (b) notified the Borrower, the Administrative Agent, any Issuing Bank, or any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Lender in writing that it does not intend to comply with any of its funding obligations under this Agreement or has made a public statement or provided any written notification to any Person to the effect that it does not intend to comply with its funding obligations under this Agreement or generally under other agreements in which it commits to extend credit, (c) failed, within three (3) Business Days after request by the Administrative Agent (whether acting on its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own behalf or at the reasonable request of the Borrower (it being understood that the Administrative Agent shall comply with any such reasonable request)) or by any Issuing Bank to confirm that it will comply with the terms of this Agreement relating to its obligations to fund prospective Loans and participations in then outstanding Letters of Credit, (d) otherwise failed to pay over to the Administrative Agent, any Issuing Bank or any other Lender any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other amount required to be paid by it hereunder within one Business Day of the date when due, unless the subject of a good faith dispute or subsequently cured, or (e)(i) become or is insolvent or has a parent company that has become or is insolvent,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21</w:t>
      </w:r>
    </w:p>
    <w:p>
      <w:pPr>
        <w:sectPr>
          <w:pgSz w:w="11900" w:h="16838" w:orient="portrait"/>
          <w:cols w:equalWidth="0" w:num="1">
            <w:col w:w="11240"/>
          </w:cols>
          <w:pgMar w:left="320" w:top="1440" w:right="339" w:bottom="1440" w:gutter="0" w:footer="0" w:header="0"/>
        </w:sectPr>
      </w:pPr>
    </w:p>
    <w:bookmarkStart w:id="79" w:name="page80"/>
    <w:bookmarkEnd w:id="79"/>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become the subject of a bankruptcy or insolvency proceeding or any action or proceeding of the type described in </w:t>
      </w:r>
      <w:r>
        <w:rPr>
          <w:rFonts w:ascii="Arial" w:cs="Arial" w:eastAsia="Arial" w:hAnsi="Arial"/>
          <w:sz w:val="16"/>
          <w:szCs w:val="16"/>
          <w:u w:val="single" w:color="auto"/>
          <w:color w:val="auto"/>
        </w:rPr>
        <w:t>Section 7.01(h)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appointment or has a parent company that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(iii) become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deemed to be a Defaulting Lender solely by virtue of the ownership or acquisition of any capital stock in such Lender or its direct or indirect parent by a Governmental Authority so long as such ownership interest does not result in or provide such Lender with immunity from the jurisdiction of courts within the United States or from the enforcement of judgments or writs of attachment on its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assets or permit such Lender (or such Governmental Authority) to reject, repudiate, disavow or disaffirm any contracts or agreements made with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further</w:t>
      </w:r>
      <w:r>
        <w:rPr>
          <w:rFonts w:ascii="Arial" w:cs="Arial" w:eastAsia="Arial" w:hAnsi="Arial"/>
          <w:sz w:val="18"/>
          <w:szCs w:val="18"/>
          <w:color w:val="auto"/>
        </w:rPr>
        <w:t>, that a Lender will cease to be a Defaulting Lender upon written receipt by both the Administrative Agent and Borrower of confirmation that the Lender will comply with its prospective funding obligations.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 Fronting Exposure</w:t>
      </w:r>
      <w:r>
        <w:rPr>
          <w:rFonts w:ascii="Arial" w:cs="Arial" w:eastAsia="Arial" w:hAnsi="Arial"/>
          <w:sz w:val="16"/>
          <w:szCs w:val="16"/>
          <w:color w:val="auto"/>
        </w:rPr>
        <w:t>” means, at any time there is a Defaulting Lender, with respect to any Issuing Bank, such Defaulting Lender’s Applicable Percentage of the outstanding Letter of Credit obligations with respect to such Issuing Bank other than Letter of Credit obligations as to which such Defaulting Lender’s participation obligation has been reallocated to other Lenders or cash collateralized in accordance with the terms hereof.</w:t>
      </w:r>
    </w:p>
    <w:p>
      <w:pPr>
        <w:spacing w:after="0" w:line="16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Non-Cash Consideration</w:t>
      </w:r>
      <w:r>
        <w:rPr>
          <w:rFonts w:ascii="Arial" w:cs="Arial" w:eastAsia="Arial" w:hAnsi="Arial"/>
          <w:sz w:val="16"/>
          <w:szCs w:val="16"/>
          <w:color w:val="auto"/>
        </w:rPr>
        <w:t xml:space="preserve">” means the Fair Market Value of non-cash consideration received by the Borrower or a Subsidiary in connection with a Disposition pursuant to </w:t>
      </w:r>
      <w:r>
        <w:rPr>
          <w:rFonts w:ascii="Arial" w:cs="Arial" w:eastAsia="Arial" w:hAnsi="Arial"/>
          <w:sz w:val="16"/>
          <w:szCs w:val="16"/>
          <w:u w:val="single" w:color="auto"/>
          <w:color w:val="auto"/>
        </w:rPr>
        <w:t>Section 6.05(k)</w:t>
      </w:r>
      <w:r>
        <w:rPr>
          <w:rFonts w:ascii="Arial" w:cs="Arial" w:eastAsia="Arial" w:hAnsi="Arial"/>
          <w:sz w:val="16"/>
          <w:szCs w:val="16"/>
          <w:color w:val="auto"/>
        </w:rPr>
        <w:t xml:space="preserve"> that is designated as Designated Non-Cash Consideration pursuant to a certificate of a Responsible Officer of the Borrower, setting forth the basis of such valuation, less the amount of cash or Permitted Investments received in connection with</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a subsequent sale of or collection on or other disposition of such Designated Non-Cash Consideration. A particular item of Designated Non-Cash Consideration will no longer be considered to be outstanding when and to the extent it has been paid, redeemed, sold or otherwise disposed of or returned in exchange for consideration in the form of cash or Permitted Investments in compliance with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Prepayment Accepting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2.11(a)(ii)(B)</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2.11(a)(ii)(C)</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2.11(a)(ii)(C)</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Notice</w:t>
      </w:r>
      <w:r>
        <w:rPr>
          <w:rFonts w:ascii="Arial" w:cs="Arial" w:eastAsia="Arial" w:hAnsi="Arial"/>
          <w:sz w:val="18"/>
          <w:szCs w:val="18"/>
          <w:color w:val="auto"/>
        </w:rPr>
        <w:t xml:space="preserve">” means a written notice of a Borrower Solicitation of Discount Range Prepayment Offers made pursuant to </w:t>
      </w:r>
      <w:r>
        <w:rPr>
          <w:rFonts w:ascii="Arial" w:cs="Arial" w:eastAsia="Arial" w:hAnsi="Arial"/>
          <w:sz w:val="18"/>
          <w:szCs w:val="18"/>
          <w:u w:val="single" w:color="auto"/>
          <w:color w:val="auto"/>
        </w:rPr>
        <w:t>Section 2.11(a)(ii)(C)</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Offer</w:t>
      </w:r>
      <w:r>
        <w:rPr>
          <w:rFonts w:ascii="Arial" w:cs="Arial" w:eastAsia="Arial" w:hAnsi="Arial"/>
          <w:sz w:val="18"/>
          <w:szCs w:val="18"/>
          <w:color w:val="auto"/>
        </w:rPr>
        <w:t xml:space="preserve">” means the irrevocable written offer by a Term Lender, substantially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submitted in response to an invitation to submit offers following the Auction Agent’s receipt of a Discount Range Prepayment Notice.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Response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2.11(a)(ii)(C)</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Proration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2.11(a)(ii)(C)</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Discounted Prepayment Determination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2.11(a)(ii)(D)</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Discounted Prepayment Effective Date</w:t>
      </w:r>
      <w:r>
        <w:rPr>
          <w:rFonts w:ascii="Arial" w:cs="Arial" w:eastAsia="Arial" w:hAnsi="Arial"/>
          <w:sz w:val="17"/>
          <w:szCs w:val="17"/>
          <w:color w:val="auto"/>
        </w:rPr>
        <w:t>” means, in the case of a Borrower Offer of Specified Discount Prepayment or Borrower Solicitation of Discount Range Prepayment Offer, five (5) Business Days following the receipt by each relevant Term Lender of notice from the Auction Agent in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Section 2.11(a)(ii)(B)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2.11(a)(ii)(C)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2.11(a)(ii)(D)</w:t>
      </w:r>
      <w:r>
        <w:rPr>
          <w:rFonts w:ascii="Arial" w:cs="Arial" w:eastAsia="Arial" w:hAnsi="Arial"/>
          <w:sz w:val="18"/>
          <w:szCs w:val="18"/>
          <w:color w:val="auto"/>
        </w:rPr>
        <w:t>, as applicable, unless a shorter period is agreed to between the Borrower and the Auction Agent.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Discounted Term Loan Prepayment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22</w:t>
      </w:r>
    </w:p>
    <w:p>
      <w:pPr>
        <w:sectPr>
          <w:pgSz w:w="11900" w:h="16838" w:orient="portrait"/>
          <w:cols w:equalWidth="0" w:num="1">
            <w:col w:w="11240"/>
          </w:cols>
          <w:pgMar w:left="320" w:top="1440" w:right="339" w:bottom="1440" w:gutter="0" w:footer="0" w:header="0"/>
        </w:sectPr>
      </w:pPr>
    </w:p>
    <w:bookmarkStart w:id="80" w:name="page81"/>
    <w:bookmarkEnd w:id="80"/>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Disposed EBITDA</w:t>
      </w:r>
      <w:r>
        <w:rPr>
          <w:rFonts w:ascii="Arial" w:cs="Arial" w:eastAsia="Arial" w:hAnsi="Arial"/>
          <w:sz w:val="16"/>
          <w:szCs w:val="16"/>
          <w:color w:val="auto"/>
        </w:rPr>
        <w:t>” means, with respect to any Sold Entity or Business or Converted Unrestricted Subsidiary for any period, the amount for such period of Consolidated EBITDA of such Sold Entity or Business or Converted Unrestricted Subsidiary (determined as if references to the Borrower and the Restricted Subsidiaries in the definition of the term “Consolidated EBITDA” (and in the component financial definitions used therein) were references to</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such Sold Entity or Business and its subsidiaries or to such Converted Unrestricted Subsidiary and its subsidiaries), all as determined on a consolidated basis for such Sold Entity or Business or Converted Unrestricted Subsidiary.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Disposition/Debt Percentage</w:t>
      </w:r>
      <w:r>
        <w:rPr>
          <w:rFonts w:ascii="Arial" w:cs="Arial" w:eastAsia="Arial" w:hAnsi="Arial"/>
          <w:sz w:val="16"/>
          <w:szCs w:val="16"/>
          <w:color w:val="auto"/>
        </w:rPr>
        <w:t xml:space="preserve">” means, (a) with respect to a Prepayment Event pursuant to clause (a) of such definition, the prepayment required by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if the First Lien Leverage Ratio for the most recently ended Test Period as of such time determined on a Pro Forma Basis (including giving Pro Forma Effect to any such prepayment required by </w:t>
      </w:r>
      <w:r>
        <w:rPr>
          <w:rFonts w:ascii="Arial" w:cs="Arial" w:eastAsia="Arial" w:hAnsi="Arial"/>
          <w:sz w:val="16"/>
          <w:szCs w:val="16"/>
          <w:u w:val="single" w:color="auto"/>
          <w:color w:val="auto"/>
        </w:rPr>
        <w:t>Section 2.11(c)</w:t>
      </w:r>
      <w:r>
        <w:rPr>
          <w:rFonts w:ascii="Arial" w:cs="Arial" w:eastAsia="Arial" w:hAnsi="Arial"/>
          <w:sz w:val="16"/>
          <w:szCs w:val="16"/>
          <w:color w:val="auto"/>
        </w:rPr>
        <w:t>) is (i) greater than 4.00 to 1.00, 100%, (ii) greater than 3.50 to 1.00 but less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than or equal to 4.00 to 1.00, 50% and (iii) equal to or less than 3.50 to 1.00, 0% and (b) with respect to a Prepayment Event pursuant to clause (b) of such definition, the prepayment required by </w:t>
      </w:r>
      <w:r>
        <w:rPr>
          <w:rFonts w:ascii="Arial" w:cs="Arial" w:eastAsia="Arial" w:hAnsi="Arial"/>
          <w:sz w:val="18"/>
          <w:szCs w:val="18"/>
          <w:u w:val="single" w:color="auto"/>
          <w:color w:val="auto"/>
        </w:rPr>
        <w:t>Section 2.11(c)</w:t>
      </w:r>
      <w:r>
        <w:rPr>
          <w:rFonts w:ascii="Arial" w:cs="Arial" w:eastAsia="Arial" w:hAnsi="Arial"/>
          <w:sz w:val="18"/>
          <w:szCs w:val="18"/>
          <w:color w:val="auto"/>
        </w:rPr>
        <w:t>, 100%.</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Equity Interest</w:t>
      </w:r>
      <w:r>
        <w:rPr>
          <w:rFonts w:ascii="Arial" w:cs="Arial" w:eastAsia="Arial" w:hAnsi="Arial"/>
          <w:sz w:val="17"/>
          <w:szCs w:val="17"/>
          <w:color w:val="auto"/>
        </w:rPr>
        <w:t>” means, with respect to any Person, any Equity Interest in such Person that by its terms (or by the terms of any</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security into which it is convertible or for which it is exchangeable, either mandatorily or at the option of the holder thereof), or upon the happening of any event or condition:</w:t>
      </w:r>
    </w:p>
    <w:p>
      <w:pPr>
        <w:spacing w:after="0" w:line="161" w:lineRule="exact"/>
        <w:rPr>
          <w:sz w:val="20"/>
          <w:szCs w:val="20"/>
          <w:color w:val="auto"/>
        </w:rPr>
      </w:pPr>
    </w:p>
    <w:p>
      <w:pPr>
        <w:jc w:val="both"/>
        <w:ind w:left="660" w:firstLine="644"/>
        <w:spacing w:after="0" w:line="229" w:lineRule="auto"/>
        <w:tabs>
          <w:tab w:leader="none" w:pos="17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matures or is mandatorily redeemable (other than solely for Equity Interests in such Person or in any Parent Entity that do not constitute Disqualified Equity Interests and cash in lieu of fractional shares of such Equity Interests), whether pursuant to a sinking fund obligation or otherwise;</w:t>
      </w:r>
    </w:p>
    <w:p>
      <w:pPr>
        <w:spacing w:after="0" w:line="163" w:lineRule="exact"/>
        <w:rPr>
          <w:rFonts w:ascii="Arial" w:cs="Arial" w:eastAsia="Arial" w:hAnsi="Arial"/>
          <w:sz w:val="18"/>
          <w:szCs w:val="18"/>
          <w:color w:val="auto"/>
        </w:rPr>
      </w:pPr>
    </w:p>
    <w:p>
      <w:pPr>
        <w:jc w:val="both"/>
        <w:ind w:left="660" w:firstLine="644"/>
        <w:spacing w:after="0" w:line="229" w:lineRule="auto"/>
        <w:tabs>
          <w:tab w:leader="none" w:pos="17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 convertible or exchangeable, either mandatorily or at the option of the holder thereof, for Indebtedness or Equity Interests (other than solely for Equity Interests in such Person or in any Parent Entity that do not constitute Disqualified Equity Interests and cash in lieu of fractional shares of such Equity Interests); or</w:t>
      </w:r>
    </w:p>
    <w:p>
      <w:pPr>
        <w:spacing w:after="0" w:line="163" w:lineRule="exact"/>
        <w:rPr>
          <w:rFonts w:ascii="Arial" w:cs="Arial" w:eastAsia="Arial" w:hAnsi="Arial"/>
          <w:sz w:val="18"/>
          <w:szCs w:val="18"/>
          <w:color w:val="auto"/>
        </w:rPr>
      </w:pPr>
    </w:p>
    <w:p>
      <w:pPr>
        <w:jc w:val="both"/>
        <w:ind w:left="660" w:firstLine="644"/>
        <w:spacing w:after="0" w:line="229" w:lineRule="auto"/>
        <w:tabs>
          <w:tab w:leader="none" w:pos="1694"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 redeemable (other than solely for Equity Interests in such Person or in any Parent Entity that do not constitute Disqualified Equity Interests and cash in lieu of fractional shares of such Equity Interests) or is required to be repurchased by such Person or any of its Subsidiaries, in whole or in part, at the option of the holder thereof;</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each case, on or prior to the date 91 days after the Latest Maturity Date at the time of issuance of such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an</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Equity Interest in any Person that would not constitute a Disqualified Equity Interest but for terms thereof giving holders thereof the right to require such Person to redeem or purchase such Equity Interest upon the occurrence of an “asset sale,” “condemnation event,” a “change in control” or similar event shall not constitute a Disqualified Equity Interest if any such requirement becomes operative only after repayment in full of all the Loans and all other Loan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Document Obligations that are accrued and payable and the termination of the Commitments and (ii) if an Equity Interest in any Person is issued pursuant to any plan for the benefit of employees of Holdings (or any direct or indirect parent thereof), the Borrower or any of the Subsidiaries or by any such plan to such employees, such Equity Interest shall not constitute a Disqualified Equity Interest solely because it may be required to be repurchased by Holdings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 any direct or indirect parent company thereof), the Borrower or any of the Subsidiaries in order to satisfy applicable statutory or regulatory obligations of such Person or as a result of such employee’s termination, death, or disability.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Lenders</w:t>
      </w:r>
      <w:r>
        <w:rPr>
          <w:rFonts w:ascii="Arial" w:cs="Arial" w:eastAsia="Arial" w:hAnsi="Arial"/>
          <w:sz w:val="17"/>
          <w:szCs w:val="17"/>
          <w:color w:val="auto"/>
        </w:rPr>
        <w:t>” means (a) those Persons identified by a Sponsor or the Borrower to the Lead Arrangers in writing (including by email)</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prior to the Effective Date (and after the Effective Date, that are reasonably acceptable to the Administrative Agent), (b) those Persons who are competitors of Parent, the Borrower or any Subsidiary identified by a Sponsor or the Borrower to the Administrative Agent from time to time in writing (including by email), (c) Excluded Affiliates and (d) in the case of each Person identified pursuant to clauses (a) and (b) above, any of their Affiliates that are either (i)</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identified in writing by a Sponsor or the Borrower from time to time or (ii) clearly identifiable as Affiliates on the basis of such Affiliate’s name (other than, in the case of clause (b), Affiliates that are bona fide debt funds). Any supplement to the list of Disqualified Lenders pursuant to clause (a) or (b) above shall be sent by the Borrower to the Administrative Agent in writing (including by email) and such supplement shall take effect on the Business Day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notice is received by the Administrative Agent (it being understood that no such supplement to the list of Disqualified Lenders shall operate to disqualify any Person that previously acquired an assignment or participation in respect of the Loans from continuing to hold or vote such previously acquired assignment or participation on the terms herein for Lenders that are not Disqualified Lenders). Notwithstanding the foregoing, any list of Disqualified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Lenders shall only be required to be available to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23</w:t>
      </w:r>
    </w:p>
    <w:p>
      <w:pPr>
        <w:sectPr>
          <w:pgSz w:w="11900" w:h="16838" w:orient="portrait"/>
          <w:cols w:equalWidth="0" w:num="1">
            <w:col w:w="11240"/>
          </w:cols>
          <w:pgMar w:left="320" w:top="1440" w:right="339" w:bottom="1440" w:gutter="0" w:footer="0" w:header="0"/>
        </w:sectPr>
      </w:pPr>
    </w:p>
    <w:bookmarkStart w:id="81" w:name="page82"/>
    <w:bookmarkEnd w:id="81"/>
    <w:p>
      <w:pPr>
        <w:spacing w:after="0" w:line="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or Participant or prospective Lender or Participant on the Platform or another similar electronic system (i) to the extent the Borrower desires to prevent any such Disqualified Lender from being a Lender or Participant or (ii) upon written request by such Lender or Participant or prospective Lender or Participant.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has the meaning assigned to such term in the definition of “Board of Directors.”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Dividing Person</w:t>
      </w:r>
      <w:r>
        <w:rPr>
          <w:rFonts w:ascii="Arial" w:cs="Arial" w:eastAsia="Arial" w:hAnsi="Arial"/>
          <w:sz w:val="18"/>
          <w:szCs w:val="18"/>
          <w:color w:val="auto"/>
        </w:rPr>
        <w:t>” has the meaning assigned to it in the definition of “Division.”</w:t>
      </w:r>
    </w:p>
    <w:p>
      <w:pPr>
        <w:spacing w:after="0" w:line="185"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Division</w:t>
      </w:r>
      <w:r>
        <w:rPr>
          <w:rFonts w:ascii="Arial" w:cs="Arial" w:eastAsia="Arial" w:hAnsi="Arial"/>
          <w:sz w:val="16"/>
          <w:szCs w:val="16"/>
          <w:color w:val="auto"/>
        </w:rPr>
        <w:t>” means the division of the assets, liabilities and/or obligations of a Person (the “</w:t>
      </w:r>
      <w:r>
        <w:rPr>
          <w:rFonts w:ascii="Arial" w:cs="Arial" w:eastAsia="Arial" w:hAnsi="Arial"/>
          <w:sz w:val="16"/>
          <w:szCs w:val="16"/>
          <w:u w:val="single" w:color="auto"/>
          <w:color w:val="auto"/>
        </w:rPr>
        <w:t>Dividing Person</w:t>
      </w:r>
      <w:r>
        <w:rPr>
          <w:rFonts w:ascii="Arial" w:cs="Arial" w:eastAsia="Arial" w:hAnsi="Arial"/>
          <w:sz w:val="16"/>
          <w:szCs w:val="16"/>
          <w:color w:val="auto"/>
        </w:rPr>
        <w:t xml:space="preserve"> ”) among two or more Persons (whether pursuant to a “plan of division” or similar arrangement), which may or may not include the Dividing Person and pursuant to which the Dividing Person</w:t>
      </w:r>
    </w:p>
    <w:p>
      <w:pPr>
        <w:spacing w:after="0"/>
        <w:rPr>
          <w:sz w:val="20"/>
          <w:szCs w:val="20"/>
          <w:color w:val="auto"/>
        </w:rPr>
      </w:pPr>
      <w:r>
        <w:rPr>
          <w:rFonts w:ascii="Arial" w:cs="Arial" w:eastAsia="Arial" w:hAnsi="Arial"/>
          <w:sz w:val="18"/>
          <w:szCs w:val="18"/>
          <w:color w:val="auto"/>
        </w:rPr>
        <w:t>may or may not survive.</w:t>
      </w:r>
    </w:p>
    <w:p>
      <w:pPr>
        <w:spacing w:after="0" w:line="169"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Division Successor</w:t>
      </w:r>
      <w:r>
        <w:rPr>
          <w:rFonts w:ascii="Arial" w:cs="Arial" w:eastAsia="Arial" w:hAnsi="Arial"/>
          <w:sz w:val="16"/>
          <w:szCs w:val="16"/>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w:t>
      </w:r>
    </w:p>
    <w:p>
      <w:pPr>
        <w:spacing w:after="0"/>
        <w:rPr>
          <w:sz w:val="20"/>
          <w:szCs w:val="20"/>
          <w:color w:val="auto"/>
        </w:rPr>
      </w:pPr>
      <w:r>
        <w:rPr>
          <w:rFonts w:ascii="Arial" w:cs="Arial" w:eastAsia="Arial" w:hAnsi="Arial"/>
          <w:sz w:val="17"/>
          <w:szCs w:val="17"/>
          <w:color w:val="auto"/>
        </w:rPr>
        <w:t>retains any of its assets, liabilities and/or obligations after a Division shall be deemed a Division Successor upon the occurrence of such Division.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Equivalent</w:t>
      </w:r>
      <w:r>
        <w:rPr>
          <w:rFonts w:ascii="Arial" w:cs="Arial" w:eastAsia="Arial" w:hAnsi="Arial"/>
          <w:sz w:val="16"/>
          <w:szCs w:val="16"/>
          <w:color w:val="auto"/>
        </w:rPr>
        <w:t>” means, at any time, (a) with respect to any amount denominated in dollars, such amount and (b) with respect to any amount</w:t>
      </w:r>
    </w:p>
    <w:p>
      <w:pPr>
        <w:spacing w:after="0" w:line="2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denominated in any currency other than dollars, the equivalent amount thereof in dollars as determined by the Administrative Agent at such time in accordance with </w:t>
      </w:r>
      <w:r>
        <w:rPr>
          <w:rFonts w:ascii="Arial" w:cs="Arial" w:eastAsia="Arial" w:hAnsi="Arial"/>
          <w:sz w:val="18"/>
          <w:szCs w:val="18"/>
          <w:u w:val="single" w:color="auto"/>
          <w:color w:val="auto"/>
        </w:rPr>
        <w:t>Section 1.077</w:t>
      </w:r>
      <w:r>
        <w:rPr>
          <w:rFonts w:ascii="Arial" w:cs="Arial" w:eastAsia="Arial" w:hAnsi="Arial"/>
          <w:sz w:val="18"/>
          <w:szCs w:val="18"/>
          <w:color w:val="auto"/>
        </w:rPr>
        <w:t xml:space="preserve"> hereof.</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not a Foreign Subsidiary.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Deductions</w:t>
      </w:r>
      <w:r>
        <w:rPr>
          <w:rFonts w:ascii="Arial" w:cs="Arial" w:eastAsia="Arial" w:hAnsi="Arial"/>
          <w:sz w:val="18"/>
          <w:szCs w:val="18"/>
          <w:color w:val="auto"/>
        </w:rPr>
        <w:t>” means, for any period, an amount equal to the sum of:</w:t>
      </w:r>
    </w:p>
    <w:p>
      <w:pPr>
        <w:spacing w:after="0" w:line="185" w:lineRule="exact"/>
        <w:rPr>
          <w:sz w:val="20"/>
          <w:szCs w:val="20"/>
          <w:color w:val="auto"/>
        </w:rPr>
      </w:pPr>
    </w:p>
    <w:p>
      <w:pPr>
        <w:jc w:val="both"/>
        <w:ind w:firstLine="656"/>
        <w:spacing w:after="0" w:line="229" w:lineRule="auto"/>
        <w:tabs>
          <w:tab w:leader="none" w:pos="10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without duplication of amounts deducted pursuant to clause (f) below in prior fiscal years, the amount of Capital Expenditures made in cash or accrued during such period, to the extent that such Capital Expenditures were financed with internally generated cash flow of Holdings, the Borrower or the Restricted Subsidiaries,</w:t>
      </w:r>
    </w:p>
    <w:p>
      <w:pPr>
        <w:spacing w:after="0" w:line="163" w:lineRule="exact"/>
        <w:rPr>
          <w:rFonts w:ascii="Arial" w:cs="Arial" w:eastAsia="Arial" w:hAnsi="Arial"/>
          <w:sz w:val="18"/>
          <w:szCs w:val="18"/>
          <w:color w:val="auto"/>
        </w:rPr>
      </w:pPr>
    </w:p>
    <w:p>
      <w:pPr>
        <w:jc w:val="both"/>
        <w:ind w:firstLine="656"/>
        <w:spacing w:after="0" w:line="223" w:lineRule="auto"/>
        <w:tabs>
          <w:tab w:leader="none" w:pos="117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cash payments by the Borrower and the Restricted Subsidiaries during such period in respect of purchase price holdbacks, earn out obligations, or long-term liabilities of the Borrower and the Restricted Subsidiaries other than Indebtedness to the extent such payments are not expensed during such period or are not deducted in calculating Consolidated Net Income to the extent financed with internally generated cash flow of Holdings, the Borrower or the Restricted Subsidiaries,</w:t>
      </w:r>
    </w:p>
    <w:p>
      <w:pPr>
        <w:spacing w:after="0" w:line="162" w:lineRule="exact"/>
        <w:rPr>
          <w:rFonts w:ascii="Arial" w:cs="Arial" w:eastAsia="Arial" w:hAnsi="Arial"/>
          <w:sz w:val="18"/>
          <w:szCs w:val="18"/>
          <w:color w:val="auto"/>
        </w:rPr>
      </w:pPr>
    </w:p>
    <w:p>
      <w:pPr>
        <w:jc w:val="both"/>
        <w:ind w:firstLine="656"/>
        <w:spacing w:after="0" w:line="229" w:lineRule="auto"/>
        <w:tabs>
          <w:tab w:leader="none" w:pos="10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without duplication of amounts deducted pursuant to clause (f) below in prior fiscal years, the amount of Investments (other than Investments in Permitted Investments) and acquisitions not prohibited by this Agreement, to the extent that such Investments and acquisitions were financed with internally generated cash flow of Holdings, the Borrower or the Restricted Subsidiaries,</w:t>
      </w:r>
    </w:p>
    <w:p>
      <w:pPr>
        <w:spacing w:after="0" w:line="163" w:lineRule="exact"/>
        <w:rPr>
          <w:rFonts w:ascii="Arial" w:cs="Arial" w:eastAsia="Arial" w:hAnsi="Arial"/>
          <w:sz w:val="18"/>
          <w:szCs w:val="18"/>
          <w:color w:val="auto"/>
        </w:rPr>
      </w:pPr>
    </w:p>
    <w:p>
      <w:pPr>
        <w:ind w:firstLine="656"/>
        <w:spacing w:after="0" w:line="307" w:lineRule="auto"/>
        <w:tabs>
          <w:tab w:leader="none" w:pos="1039"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amount of dividends, distributions and other Restricted Payments paid in cash during such period not prohibited by this Agreement, to the extent that such dividends and distributions were financed with internally generated cash flow of Holdings, the Borrower or the Restricted Subsidiaries,</w:t>
      </w:r>
    </w:p>
    <w:p>
      <w:pPr>
        <w:spacing w:after="0" w:line="109" w:lineRule="exact"/>
        <w:rPr>
          <w:rFonts w:ascii="Arial" w:cs="Arial" w:eastAsia="Arial" w:hAnsi="Arial"/>
          <w:sz w:val="16"/>
          <w:szCs w:val="16"/>
          <w:color w:val="auto"/>
        </w:rPr>
      </w:pPr>
    </w:p>
    <w:p>
      <w:pPr>
        <w:jc w:val="both"/>
        <w:ind w:firstLine="656"/>
        <w:spacing w:after="0" w:line="236" w:lineRule="auto"/>
        <w:tabs>
          <w:tab w:leader="none" w:pos="1067"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aggregate amount of expenditures actually made by the Borrower and the Restricted Subsidiaries in cash during such period (including expenditures for the payment of financing fees and cash restructuring charges) to the extent that such expenditures are not expensed during such period or are not deducted in calculating Consolidated Net Income, to the extent that such expenditure was financed with internally generated cash flow of Holdings, the Borrower or the Restricted Subsidiaries (other than Investments in Permitted Investments), and</w:t>
      </w:r>
    </w:p>
    <w:p>
      <w:pPr>
        <w:spacing w:after="0" w:line="162" w:lineRule="exact"/>
        <w:rPr>
          <w:rFonts w:ascii="Arial" w:cs="Arial" w:eastAsia="Arial" w:hAnsi="Arial"/>
          <w:sz w:val="17"/>
          <w:szCs w:val="17"/>
          <w:color w:val="auto"/>
        </w:rPr>
      </w:pPr>
    </w:p>
    <w:p>
      <w:pPr>
        <w:jc w:val="both"/>
        <w:ind w:firstLine="656"/>
        <w:spacing w:after="0" w:line="222" w:lineRule="auto"/>
        <w:tabs>
          <w:tab w:leader="none" w:pos="1029"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without duplication of amounts deducted from Excess Cash Flow in prior periods, (i) the aggregate consideration required to be paid in cash by the Borrower or any of the Restricted Subsidiaries pursuant to binding contracts, commitments, letters of intent or purchase orders (the “</w:t>
      </w:r>
      <w:r>
        <w:rPr>
          <w:rFonts w:ascii="Arial" w:cs="Arial" w:eastAsia="Arial" w:hAnsi="Arial"/>
          <w:sz w:val="18"/>
          <w:szCs w:val="18"/>
          <w:u w:val="single" w:color="auto"/>
          <w:color w:val="auto"/>
        </w:rPr>
        <w:t>Contract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 xml:space="preserve">”), in each case, entered into prior to or during such period and (ii) to the extent set forth in a certificate of a Financial Officer delivered to the Administrative Agent at or before the time the Compliance Certificate for the period ending simultaneously with such Test Period is required to be delivered pursuant to </w:t>
      </w:r>
      <w:r>
        <w:rPr>
          <w:rFonts w:ascii="Arial" w:cs="Arial" w:eastAsia="Arial" w:hAnsi="Arial"/>
          <w:sz w:val="18"/>
          <w:szCs w:val="18"/>
          <w:u w:val="single" w:color="auto"/>
          <w:color w:val="auto"/>
        </w:rPr>
        <w:t>Section 5.01(d)</w:t>
      </w:r>
      <w:r>
        <w:rPr>
          <w:rFonts w:ascii="Arial" w:cs="Arial" w:eastAsia="Arial" w:hAnsi="Arial"/>
          <w:sz w:val="18"/>
          <w:szCs w:val="18"/>
          <w:color w:val="auto"/>
        </w:rPr>
        <w:t>, the aggregate amount of cash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24</w:t>
      </w:r>
    </w:p>
    <w:p>
      <w:pPr>
        <w:sectPr>
          <w:pgSz w:w="11900" w:h="16838" w:orient="portrait"/>
          <w:cols w:equalWidth="0" w:num="1">
            <w:col w:w="11240"/>
          </w:cols>
          <w:pgMar w:left="320" w:top="1440" w:right="339" w:bottom="1440" w:gutter="0" w:footer="0" w:header="0"/>
        </w:sectPr>
      </w:pPr>
    </w:p>
    <w:bookmarkStart w:id="82" w:name="page83"/>
    <w:bookmarkEnd w:id="82"/>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reasonably expected to be paid in respect of planned cash expenditures by the Borrower or any of the Restricted Subsidiaries (the “</w:t>
      </w:r>
      <w:r>
        <w:rPr>
          <w:rFonts w:ascii="Arial" w:cs="Arial" w:eastAsia="Arial" w:hAnsi="Arial"/>
          <w:sz w:val="16"/>
          <w:szCs w:val="16"/>
          <w:u w:val="single" w:color="auto"/>
          <w:color w:val="auto"/>
        </w:rPr>
        <w:t>Planned Expenditures</w:t>
      </w:r>
      <w:r>
        <w:rPr>
          <w:rFonts w:ascii="Arial" w:cs="Arial" w:eastAsia="Arial" w:hAnsi="Arial"/>
          <w:sz w:val="16"/>
          <w:szCs w:val="16"/>
          <w:color w:val="auto"/>
        </w:rPr>
        <w:t>”); in the case of each of clauses (i) and (ii), relating to Permitted Acquisitions, other Investments (other than Investments in Permitted Investments), Capital Expenditures (including Capitalized Software Expenditures or other purchases of Intellectual Property) to be consummated, made or paid during a</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 xml:space="preserve">subsequent Test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the aggregate amount of internally generated cash actually utilized to finance such Permitted Acquisitions, Investments or Capital Expenditures during such Test Period is less than the Contract Consideration or Planned Expenditures, as applicable, the amount of such shortfall shall be added to the calculation of Excess Cash Flow at the end of such Test Period.</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ECF Percentage</w:t>
      </w:r>
      <w:r>
        <w:rPr>
          <w:rFonts w:ascii="Arial" w:cs="Arial" w:eastAsia="Arial" w:hAnsi="Arial"/>
          <w:sz w:val="16"/>
          <w:szCs w:val="16"/>
          <w:color w:val="auto"/>
        </w:rPr>
        <w:t xml:space="preserve">” means, with respect to the prepayment required by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with respect to any fiscal year of the Borrower, if the First Lien Leverage Ratio (prior to giving effect to the applicable prepayment pursuant to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but after giving effect to any voluntary prepayments made pursuant to Section 2.11(a) or any repurchase pursuant to </w:t>
      </w:r>
      <w:r>
        <w:rPr>
          <w:rFonts w:ascii="Arial" w:cs="Arial" w:eastAsia="Arial" w:hAnsi="Arial"/>
          <w:sz w:val="16"/>
          <w:szCs w:val="16"/>
          <w:u w:val="single" w:color="auto"/>
          <w:color w:val="auto"/>
        </w:rPr>
        <w:t>Section 9.04(g)</w:t>
      </w:r>
      <w:r>
        <w:rPr>
          <w:rFonts w:ascii="Arial" w:cs="Arial" w:eastAsia="Arial" w:hAnsi="Arial"/>
          <w:sz w:val="16"/>
          <w:szCs w:val="16"/>
          <w:color w:val="auto"/>
        </w:rPr>
        <w:t xml:space="preserve"> prior to the date of such prepayment) as of the end of such fiscal year is (a)</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greater than 4.00 to 1.00, 50% of Excess Cash Flow for such fiscal year, (b) greater than 3.50 to 1.00 but less than or equal to 4.00 to 1.00, 25% of Excess Cash Flow for such fiscal year and (c) equal to or less than 3.50 to 1.00, 0% of Excess Cash Flow for such fiscal year.</w:t>
      </w:r>
    </w:p>
    <w:p>
      <w:pPr>
        <w:spacing w:after="0" w:line="1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firstLine="8"/>
        <w:spacing w:after="0" w:line="226" w:lineRule="auto"/>
        <w:tabs>
          <w:tab w:leader="none" w:pos="251"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 this definition, or (c) any financial institution established in an EEA Member Country which is a subsidiary of an institution described in clauses (a) or (b) of this definition and is subject to consolidated supervision with its parent.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means the date on which the conditions specified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9.02</w:t>
      </w:r>
      <w:r>
        <w:rPr>
          <w:rFonts w:ascii="Arial" w:cs="Arial" w:eastAsia="Arial" w:hAnsi="Arial"/>
          <w:sz w:val="17"/>
          <w:szCs w:val="17"/>
          <w:color w:val="auto"/>
        </w:rPr>
        <w:t>).</w:t>
      </w:r>
    </w:p>
    <w:p>
      <w:pPr>
        <w:spacing w:after="0" w:line="19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 Refinancing</w:t>
      </w:r>
      <w:r>
        <w:rPr>
          <w:rFonts w:ascii="Arial" w:cs="Arial" w:eastAsia="Arial" w:hAnsi="Arial"/>
          <w:sz w:val="18"/>
          <w:szCs w:val="18"/>
          <w:color w:val="auto"/>
        </w:rPr>
        <w:t>” means the repayment, repurchase or other discharge of the Existing Credit Agreement Indebtedness and termination and/or release of any security interests and guarantees in connection therewith.</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Yield</w:t>
      </w:r>
      <w:r>
        <w:rPr>
          <w:rFonts w:ascii="Arial" w:cs="Arial" w:eastAsia="Arial" w:hAnsi="Arial"/>
          <w:sz w:val="16"/>
          <w:szCs w:val="16"/>
          <w:color w:val="auto"/>
        </w:rPr>
        <w:t>” means, as to any Indebtedness as of any date of determination, the effective yield on such Indebtedness in the reasonable determination of the Administrative Agent and the Borrower and consistent with generally accepted financial practices, taking into account the applicable interest rate margins, any interest rate floors (the effect of which floors shall be determined in a manner set forth in the proviso below) or similar devices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all fees, including upfront or similar fees or original issue discount (amortized over the shorter of (a) the remaining Weighted Average Life to Maturity of such Indebtedness and (b) the four years following the date of incurrence thereof) payable generally to lenders or other institutions providing such Indebtedness, but excluding any arrangement, structuring, ticking, commitment, amendment, unused line or underwriting fees or other similar fees payable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in connection therewith and, if applicable, consent fees for an amendment (in each case regardless of whether any such fees are paid to or shared in whole or in part with any lender) and any other fees not paid to all relevant lenders generally; </w:t>
      </w:r>
      <w:r>
        <w:rPr>
          <w:rFonts w:ascii="Arial" w:cs="Arial" w:eastAsia="Arial" w:hAnsi="Arial"/>
          <w:sz w:val="16"/>
          <w:szCs w:val="16"/>
          <w:u w:val="single" w:color="auto"/>
          <w:color w:val="auto"/>
        </w:rPr>
        <w:t>prov</w:t>
      </w:r>
      <w:r>
        <w:rPr>
          <w:rFonts w:ascii="Arial" w:cs="Arial" w:eastAsia="Arial" w:hAnsi="Arial"/>
          <w:sz w:val="16"/>
          <w:szCs w:val="16"/>
          <w:color w:val="auto"/>
        </w:rPr>
        <w:t xml:space="preserve">ided that with respect to any Indebtedness that includes </w:t>
      </w:r>
      <w:r>
        <w:rPr>
          <w:rFonts w:ascii="Arial" w:cs="Arial" w:eastAsia="Arial" w:hAnsi="Arial"/>
          <w:sz w:val="16"/>
          <w:szCs w:val="16"/>
          <w:color w:val="FF0000"/>
          <w:strike w:val="1"/>
        </w:rPr>
        <w:t>a</w:t>
      </w:r>
      <w:r>
        <w:rPr>
          <w:rFonts w:ascii="Arial" w:cs="Arial" w:eastAsia="Arial" w:hAnsi="Arial"/>
          <w:sz w:val="16"/>
          <w:szCs w:val="16"/>
          <w:u w:val="single" w:color="auto"/>
          <w:color w:val="0000FF"/>
          <w:highlight w:val="lightGray"/>
        </w:rPr>
        <w:t>an</w:t>
      </w:r>
      <w:r>
        <w:rPr>
          <w:rFonts w:ascii="Arial" w:cs="Arial" w:eastAsia="Arial" w:hAnsi="Arial"/>
          <w:sz w:val="16"/>
          <w:szCs w:val="16"/>
          <w:color w:val="auto"/>
        </w:rPr>
        <w:t xml:space="preserve"> “</w:t>
      </w:r>
      <w:r>
        <w:rPr>
          <w:rFonts w:ascii="Arial" w:cs="Arial" w:eastAsia="Arial" w:hAnsi="Arial"/>
          <w:sz w:val="16"/>
          <w:szCs w:val="16"/>
          <w:color w:val="FF0000"/>
          <w:strike w:val="1"/>
        </w:rPr>
        <w:t>LIBOR</w:t>
      </w:r>
      <w:r>
        <w:rPr>
          <w:rFonts w:ascii="Arial" w:cs="Arial" w:eastAsia="Arial" w:hAnsi="Arial"/>
          <w:sz w:val="16"/>
          <w:szCs w:val="16"/>
          <w:u w:val="single" w:color="auto"/>
          <w:color w:val="0000FF"/>
          <w:highlight w:val="lightGray"/>
        </w:rPr>
        <w:t>Adjusted Term SOFR</w:t>
      </w:r>
      <w:r>
        <w:rPr>
          <w:rFonts w:ascii="Arial" w:cs="Arial" w:eastAsia="Arial" w:hAnsi="Arial"/>
          <w:sz w:val="16"/>
          <w:szCs w:val="16"/>
          <w:color w:val="auto"/>
        </w:rPr>
        <w:t xml:space="preserve"> floor” or “Base Rate floor,” (i) to the extent that </w:t>
      </w:r>
      <w:r>
        <w:rPr>
          <w:rFonts w:ascii="Arial" w:cs="Arial" w:eastAsia="Arial" w:hAnsi="Arial"/>
          <w:sz w:val="16"/>
          <w:szCs w:val="16"/>
          <w:color w:val="FF0000"/>
          <w:strike w:val="1"/>
        </w:rPr>
        <w:t>the LIBO Rate</w:t>
      </w:r>
      <w:r>
        <w:rPr>
          <w:rFonts w:ascii="Arial" w:cs="Arial" w:eastAsia="Arial" w:hAnsi="Arial"/>
          <w:sz w:val="16"/>
          <w:szCs w:val="16"/>
          <w:u w:val="single" w:color="auto"/>
          <w:color w:val="0000FF"/>
          <w:highlight w:val="lightGray"/>
        </w:rPr>
        <w:t>Adjusted Term SOFR</w:t>
      </w:r>
      <w:r>
        <w:rPr>
          <w:rFonts w:ascii="Arial" w:cs="Arial" w:eastAsia="Arial" w:hAnsi="Arial"/>
          <w:sz w:val="16"/>
          <w:szCs w:val="16"/>
          <w:color w:val="auto"/>
        </w:rPr>
        <w:t xml:space="preserve"> (with an Interest Period of one month)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or Alternate Base Rate (without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(ii) to the extent that </w:t>
      </w:r>
      <w:r>
        <w:rPr>
          <w:rFonts w:ascii="Arial" w:cs="Arial" w:eastAsia="Arial" w:hAnsi="Arial"/>
          <w:sz w:val="16"/>
          <w:szCs w:val="16"/>
          <w:color w:val="FF0000"/>
          <w:strike w:val="1"/>
        </w:rPr>
        <w:t>the LIBO Rate</w:t>
      </w:r>
      <w:r>
        <w:rPr>
          <w:rFonts w:ascii="Arial" w:cs="Arial" w:eastAsia="Arial" w:hAnsi="Arial"/>
          <w:sz w:val="16"/>
          <w:szCs w:val="16"/>
          <w:u w:val="single" w:color="auto"/>
          <w:color w:val="0000FF"/>
          <w:highlight w:val="lightGray"/>
        </w:rPr>
        <w:t>Adjusted Term SOFR</w:t>
      </w:r>
      <w:r>
        <w:rPr>
          <w:rFonts w:ascii="Arial" w:cs="Arial" w:eastAsia="Arial" w:hAnsi="Arial"/>
          <w:sz w:val="16"/>
          <w:szCs w:val="16"/>
          <w:color w:val="auto"/>
        </w:rPr>
        <w:t xml:space="preserve"> (with an Interest Period of one month) or Alternate Base Rate (without giving</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effect to any floors in such definitions), as applicable, on the date that the Effective Yield is being calculated is greater than such floor, then the floor shall be disregarded in calculating the Effective Yield.</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5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 a Lender, (b) an Affiliate of a Lender (other than an Excluded Affiliate), (c) an Approved Fund and (d) any other Person (including, subject to the requirements of </w:t>
      </w:r>
      <w:r>
        <w:rPr>
          <w:rFonts w:ascii="Arial" w:cs="Arial" w:eastAsia="Arial" w:hAnsi="Arial"/>
          <w:sz w:val="18"/>
          <w:szCs w:val="18"/>
          <w:u w:val="single" w:color="auto"/>
          <w:color w:val="auto"/>
        </w:rPr>
        <w:t>Section 9.04(g)</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25</w:t>
      </w:r>
    </w:p>
    <w:p>
      <w:pPr>
        <w:sectPr>
          <w:pgSz w:w="11900" w:h="16838" w:orient="portrait"/>
          <w:cols w:equalWidth="0" w:num="1">
            <w:col w:w="11240"/>
          </w:cols>
          <w:pgMar w:left="320" w:top="1440" w:right="339" w:bottom="1440" w:gutter="0" w:footer="0" w:header="0"/>
        </w:sectPr>
      </w:pPr>
    </w:p>
    <w:bookmarkStart w:id="83" w:name="page84"/>
    <w:bookmarkEnd w:id="83"/>
    <w:p>
      <w:pPr>
        <w:spacing w:after="0" w:line="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applicable, Holdings, the Borrower or any of their Affiliates), other than, in each case, (i) a natural person, (ii) a Defaulting Lender or (iii) a Disqualified Lender.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Currency</w:t>
      </w:r>
      <w:r>
        <w:rPr>
          <w:rFonts w:ascii="Arial" w:cs="Arial" w:eastAsia="Arial" w:hAnsi="Arial"/>
          <w:sz w:val="17"/>
          <w:szCs w:val="17"/>
          <w:color w:val="auto"/>
        </w:rPr>
        <w:t>” means any lawful currency other than dollars that is readily available, freely transferable and convertible into dollars in the</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international interbank market available to the applicable Issuing Bank in such market and as to which a Dollar Equivalent may be readily calculated. If, after the designation of any currency as an Alternative Currency, any change in currency controls or exchange regulations or any change in the national or international financial, political or economic conditions are imposed in the country in which such currency is issued, result in, in the reasonable opinion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applicable Issuing Bank, (a) such currency no longer being readily available, freely transferable and convertible into dollars, (b) a Dollar Equivalent is no longer being readily calculable with respect to such currency or (c) such currency being impracticable for Issuing Banks to provide (each of (a), (b) and (c), a “</w:t>
      </w:r>
      <w:r>
        <w:rPr>
          <w:rFonts w:ascii="Arial" w:cs="Arial" w:eastAsia="Arial" w:hAnsi="Arial"/>
          <w:sz w:val="16"/>
          <w:szCs w:val="16"/>
          <w:u w:val="single" w:color="auto"/>
          <w:color w:val="auto"/>
        </w:rPr>
        <w:t>Disqualifying Event</w:t>
      </w:r>
      <w:r>
        <w:rPr>
          <w:rFonts w:ascii="Arial" w:cs="Arial" w:eastAsia="Arial" w:hAnsi="Arial"/>
          <w:sz w:val="16"/>
          <w:szCs w:val="16"/>
          <w:color w:val="auto"/>
        </w:rPr>
        <w:t>”), then the Administrative Agent shall promptly notify the Issuing Banks and the Borrower, and such country’s currency shall</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no longer be an Alternative Currency until such time as the Disqualifying Event(s) no longer exist. Within, five (5) Business Days after receipt of such notice from the Administrative Agent, the Borrower shall reimburse LC Disbursements in such currency to which the Disqualifying Event applies.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applicable common law and all applicable treaties, rules, regulations, codes, ordinances, judgments, orders, decrees</w:t>
      </w:r>
    </w:p>
    <w:p>
      <w:pPr>
        <w:spacing w:after="0" w:line="21"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and other applicable Requirements of Law, and all applicable injunctions or binding agreements issued, promulgated or entered into by or with any Governmental Authority, in each instance relating to pollution or the protection of the environment, including with respect to the preservation or reclamation of natural resources, Hazardous Materials, or to the extent relating to exposure to Hazardous Materials, the protection of human health or</w:t>
      </w:r>
    </w:p>
    <w:p>
      <w:pPr>
        <w:spacing w:after="0"/>
        <w:rPr>
          <w:sz w:val="20"/>
          <w:szCs w:val="20"/>
          <w:color w:val="auto"/>
        </w:rPr>
      </w:pPr>
      <w:r>
        <w:rPr>
          <w:rFonts w:ascii="Arial" w:cs="Arial" w:eastAsia="Arial" w:hAnsi="Arial"/>
          <w:sz w:val="18"/>
          <w:szCs w:val="18"/>
          <w:color w:val="auto"/>
        </w:rPr>
        <w:t>safety.</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w:t>
      </w:r>
    </w:p>
    <w:p>
      <w:pPr>
        <w:jc w:val="both"/>
        <w:spacing w:after="0" w:line="234" w:lineRule="auto"/>
        <w:rPr>
          <w:sz w:val="20"/>
          <w:szCs w:val="20"/>
          <w:color w:val="auto"/>
        </w:rPr>
      </w:pPr>
      <w:r>
        <w:rPr>
          <w:rFonts w:ascii="Arial" w:cs="Arial" w:eastAsia="Arial" w:hAnsi="Arial"/>
          <w:sz w:val="16"/>
          <w:szCs w:val="16"/>
          <w:color w:val="auto"/>
        </w:rPr>
        <w:t>and indemnities), of Holdings, the Borrower or any Subsidiary directly or indirectly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 any Hazardous Materials or (e) any contract,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agreement or other consensual arrangement pursuant to which liability is assumed or imposed with respect to any of the foregoing.</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shares of capital stock, partnership interests, membership interests in a limited liability company, beneficial interests in a trust or other equity ownership interests in a Person (excluding, for the avoidance of doubt, any debt security that is convertible or exchangeable into any of</w:t>
      </w:r>
    </w:p>
    <w:p>
      <w:pPr>
        <w:spacing w:after="0"/>
        <w:rPr>
          <w:sz w:val="20"/>
          <w:szCs w:val="20"/>
          <w:color w:val="auto"/>
        </w:rPr>
      </w:pPr>
      <w:r>
        <w:rPr>
          <w:rFonts w:ascii="Arial" w:cs="Arial" w:eastAsia="Arial" w:hAnsi="Arial"/>
          <w:sz w:val="18"/>
          <w:szCs w:val="18"/>
          <w:color w:val="auto"/>
        </w:rPr>
        <w:t>the foregoing).</w:t>
      </w:r>
    </w:p>
    <w:p>
      <w:pPr>
        <w:spacing w:after="0" w:line="16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w:t>
      </w:r>
    </w:p>
    <w:p>
      <w:pPr>
        <w:spacing w:after="0" w:line="17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any Loan Party, is treated as a single employer under Section 414(b) or 414(c) of the Code or, solely for purposes of Section 302 of ERISA and Section 412 of the Code, is treated as a single employer under Section 414 of the Code.</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 day notice period is waived); (b) any failure by any Plan to satisfy the minimum funding standards (within the meaning of Section 412 or Section 430 of the Code or Section 302 of ERISA) applicable to such Plan, whether or not waived; (c) the filing pursuant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Section 412 of the Code or Section 302 of ERISA of an application for a waiver of the minimum funding standard with respect to any Plan; (d) a determination that any Plan is, or is expected to be, in “at-risk” status (as defined in Section 303(i)(4) of ERISA or Section 430(i)(4) of the Code); (e) the incurrence by a Loan Party or any of its ERISA Affiliates of any liability under Title IV of ERISA with respect to the termination of any Plan; (f) the receipt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by a Loan Party or any ERISA Affiliate from the PBGC or a plan administrator of any notice relating to an intention to terminate any Plan or Plans or to appoint a trustee to administer any Plan; (g) the incurrence by a Loan Party or any of its ERISA Affiliates of any liability with respect to the withdrawal or partial withdrawal from any Plan (including any liability under Section 4062(e) of ERISA) or Multiemployer Plan; or (h) the receipt by a Loan Party or any</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ERISA Affiliate of any notice, or the receipt by any Multiemployer Plan from a Loan Party or any ERISA Affiliate of any notice, concerning the imposition of Withdrawal Liability or a determination that a Multiemployer Plan is, or is expected to be, insolvent, within the meaning of Title IV of ERISA or in endangered or critical status, within the meaning of Section 305 of ERISA.</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w:t>
      </w:r>
      <w:r>
        <w:rPr>
          <w:rFonts w:ascii="Arial" w:cs="Arial" w:eastAsia="Arial" w:hAnsi="Arial"/>
          <w:sz w:val="18"/>
          <w:szCs w:val="18"/>
          <w:color w:val="auto"/>
        </w:rPr>
        <w:t>” has the meaning assigned to it in Article VIII.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26</w:t>
      </w:r>
    </w:p>
    <w:p>
      <w:pPr>
        <w:sectPr>
          <w:pgSz w:w="11900" w:h="16838" w:orient="portrait"/>
          <w:cols w:equalWidth="0" w:num="1">
            <w:col w:w="11240"/>
          </w:cols>
          <w:pgMar w:left="320" w:top="1440" w:right="339" w:bottom="1440" w:gutter="0" w:footer="0" w:header="0"/>
        </w:sectPr>
      </w:pPr>
    </w:p>
    <w:bookmarkStart w:id="84" w:name="page85"/>
    <w:bookmarkEnd w:id="84"/>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Return Deficiency</w:t>
      </w:r>
      <w:r>
        <w:rPr>
          <w:rFonts w:ascii="Arial" w:cs="Arial" w:eastAsia="Arial" w:hAnsi="Arial"/>
          <w:sz w:val="18"/>
          <w:szCs w:val="18"/>
          <w:color w:val="auto"/>
        </w:rPr>
        <w:t>” has the meaning assigned to it in Article VIII.</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w:t>
      </w:r>
      <w:r>
        <w:rPr>
          <w:rFonts w:ascii="Arial" w:cs="Arial" w:eastAsia="Arial" w:hAnsi="Arial"/>
          <w:sz w:val="18"/>
          <w:szCs w:val="18"/>
          <w:color w:val="auto"/>
        </w:rPr>
        <w:t>” has the meaning provided in the definition of “Indebtedness.”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Escrowed Obligations</w:t>
      </w:r>
      <w:r>
        <w:rPr>
          <w:rFonts w:ascii="Arial" w:cs="Arial" w:eastAsia="Arial" w:hAnsi="Arial"/>
          <w:sz w:val="18"/>
          <w:szCs w:val="18"/>
          <w:color w:val="auto"/>
        </w:rPr>
        <w:t>” has the meaning provided in the definition of “Indebtedness.”</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Escrowed Proceeds</w:t>
      </w:r>
      <w:r>
        <w:rPr>
          <w:rFonts w:ascii="Arial" w:cs="Arial" w:eastAsia="Arial" w:hAnsi="Arial"/>
          <w:sz w:val="16"/>
          <w:szCs w:val="16"/>
          <w:color w:val="auto"/>
        </w:rPr>
        <w:t>” means the proceeds from the offering of any debt securities or other Indebtedness paid into an escrow account with an escrow agent on the date of the applicable offering or incurrence pursuant to escrow arrangements that permit the release of amounts on deposit in such escrow account upon satisfaction of certain conditions or the occurrence of certain events. The term “Escrowed Proceeds” shall include any interest earned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on the amounts held in escrow.</w:t>
      </w:r>
    </w:p>
    <w:p>
      <w:pPr>
        <w:spacing w:after="0" w:line="16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European Union as constituted by the Treaty on European Union and as referred to in the legislative measures of the European Council for the introduction of, changeover to or operation of a single or unified European currency.</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Eurocurrency</w:t>
      </w:r>
      <w:r>
        <w:rPr>
          <w:rFonts w:ascii="Arial" w:cs="Arial" w:eastAsia="Arial" w:hAnsi="Arial"/>
          <w:sz w:val="18"/>
          <w:szCs w:val="18"/>
          <w:color w:val="FF0000"/>
          <w:strike w:val="1"/>
        </w:rPr>
        <w:t xml:space="preserve">” when used in reference </w:t>
      </w:r>
      <w:r>
        <w:rPr>
          <w:rFonts w:ascii="Arial" w:cs="Arial" w:eastAsia="Arial" w:hAnsi="Arial"/>
          <w:sz w:val="18"/>
          <w:szCs w:val="18"/>
          <w:color w:val="008000"/>
          <w:strike w:val="1"/>
        </w:rPr>
        <w:t>to any Loan or Borrowing</w:t>
      </w:r>
      <w:r>
        <w:rPr>
          <w:rFonts w:ascii="Arial" w:cs="Arial" w:eastAsia="Arial" w:hAnsi="Arial"/>
          <w:sz w:val="18"/>
          <w:szCs w:val="18"/>
          <w:color w:val="FF0000"/>
          <w:strike w:val="1"/>
        </w:rPr>
        <w:t xml:space="preserve">, refers to whether such Loan is, or the Loans comprising such Borrowing are, bearing interest at a rate </w:t>
      </w:r>
      <w:r>
        <w:rPr>
          <w:rFonts w:ascii="Arial" w:cs="Arial" w:eastAsia="Arial" w:hAnsi="Arial"/>
          <w:sz w:val="18"/>
          <w:szCs w:val="18"/>
          <w:color w:val="008000"/>
          <w:strike w:val="1"/>
        </w:rPr>
        <w:t>determined by reference to the</w:t>
      </w:r>
      <w:r>
        <w:rPr>
          <w:rFonts w:ascii="Arial" w:cs="Arial" w:eastAsia="Arial" w:hAnsi="Arial"/>
          <w:sz w:val="18"/>
          <w:szCs w:val="18"/>
          <w:color w:val="FF0000"/>
          <w:strike w:val="1"/>
        </w:rPr>
        <w:t xml:space="preserve"> Adjusted LIBO Rate.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means, for any period, an amount equal to the excess of:</w:t>
      </w:r>
    </w:p>
    <w:p>
      <w:pPr>
        <w:spacing w:after="0" w:line="198" w:lineRule="exact"/>
        <w:rPr>
          <w:sz w:val="20"/>
          <w:szCs w:val="20"/>
          <w:color w:val="auto"/>
        </w:rPr>
      </w:pPr>
    </w:p>
    <w:p>
      <w:pPr>
        <w:ind w:left="1680" w:hanging="376"/>
        <w:spacing w:after="0"/>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184" w:lineRule="exact"/>
        <w:rPr>
          <w:rFonts w:ascii="Arial" w:cs="Arial" w:eastAsia="Arial" w:hAnsi="Arial"/>
          <w:sz w:val="18"/>
          <w:szCs w:val="18"/>
          <w:color w:val="auto"/>
        </w:rPr>
      </w:pPr>
    </w:p>
    <w:p>
      <w:pPr>
        <w:ind w:left="1840" w:hanging="356"/>
        <w:spacing w:after="0"/>
        <w:tabs>
          <w:tab w:leader="none" w:pos="18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Consolidated Net Income for such period,</w:t>
      </w:r>
    </w:p>
    <w:p>
      <w:pPr>
        <w:spacing w:after="0" w:line="184" w:lineRule="exact"/>
        <w:rPr>
          <w:rFonts w:ascii="Arial" w:cs="Arial" w:eastAsia="Arial" w:hAnsi="Arial"/>
          <w:sz w:val="18"/>
          <w:szCs w:val="18"/>
          <w:color w:val="auto"/>
        </w:rPr>
      </w:pPr>
    </w:p>
    <w:p>
      <w:pPr>
        <w:jc w:val="both"/>
        <w:ind w:left="1300" w:firstLine="265"/>
        <w:spacing w:after="0" w:line="245" w:lineRule="auto"/>
        <w:tabs>
          <w:tab w:leader="none" w:pos="2041" w:val="left"/>
        </w:tabs>
        <w:numPr>
          <w:ilvl w:val="3"/>
          <w:numId w:val="51"/>
        </w:numPr>
        <w:rPr>
          <w:rFonts w:ascii="Arial" w:cs="Arial" w:eastAsia="Arial" w:hAnsi="Arial"/>
          <w:sz w:val="17"/>
          <w:szCs w:val="17"/>
          <w:color w:val="auto"/>
        </w:rPr>
      </w:pPr>
      <w:r>
        <w:rPr>
          <w:rFonts w:ascii="Arial" w:cs="Arial" w:eastAsia="Arial" w:hAnsi="Arial"/>
          <w:sz w:val="17"/>
          <w:szCs w:val="17"/>
          <w:color w:val="auto"/>
        </w:rPr>
        <w:t>an amount equal to the amount of all non-cash charges to the extent deducted in arriving at such Consolidated Net Income (</w:t>
      </w: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if any non-cash charge represents an accrual or reserve for cash items in any future period, the cash payment in respect thereof in such future period shall be subtracted from Excess Cash Flow in such future period),</w:t>
      </w:r>
    </w:p>
    <w:p>
      <w:pPr>
        <w:spacing w:after="0" w:line="157" w:lineRule="exact"/>
        <w:rPr>
          <w:rFonts w:ascii="Arial" w:cs="Arial" w:eastAsia="Arial" w:hAnsi="Arial"/>
          <w:sz w:val="17"/>
          <w:szCs w:val="17"/>
          <w:color w:val="auto"/>
        </w:rPr>
      </w:pPr>
    </w:p>
    <w:p>
      <w:pPr>
        <w:ind w:left="1300" w:firstLine="274"/>
        <w:spacing w:after="0" w:line="246" w:lineRule="auto"/>
        <w:tabs>
          <w:tab w:leader="none" w:pos="2110" w:val="left"/>
        </w:tabs>
        <w:numPr>
          <w:ilvl w:val="3"/>
          <w:numId w:val="51"/>
        </w:numPr>
        <w:rPr>
          <w:rFonts w:ascii="Arial" w:cs="Arial" w:eastAsia="Arial" w:hAnsi="Arial"/>
          <w:sz w:val="18"/>
          <w:szCs w:val="18"/>
          <w:color w:val="auto"/>
        </w:rPr>
      </w:pPr>
      <w:r>
        <w:rPr>
          <w:rFonts w:ascii="Arial" w:cs="Arial" w:eastAsia="Arial" w:hAnsi="Arial"/>
          <w:sz w:val="18"/>
          <w:szCs w:val="18"/>
          <w:color w:val="auto"/>
        </w:rPr>
        <w:t>decreases in Consolidated Working Capital, long-term receivables and long-term prepaid assets and increases in long-term deferred revenue for such period,</w:t>
      </w:r>
    </w:p>
    <w:p>
      <w:pPr>
        <w:spacing w:after="0" w:line="156" w:lineRule="exact"/>
        <w:rPr>
          <w:rFonts w:ascii="Arial" w:cs="Arial" w:eastAsia="Arial" w:hAnsi="Arial"/>
          <w:sz w:val="18"/>
          <w:szCs w:val="18"/>
          <w:color w:val="auto"/>
        </w:rPr>
      </w:pPr>
    </w:p>
    <w:p>
      <w:pPr>
        <w:jc w:val="both"/>
        <w:ind w:left="1300" w:firstLine="204"/>
        <w:spacing w:after="0" w:line="289" w:lineRule="auto"/>
        <w:tabs>
          <w:tab w:leader="none" w:pos="1960" w:val="left"/>
        </w:tabs>
        <w:numPr>
          <w:ilvl w:val="2"/>
          <w:numId w:val="51"/>
        </w:numPr>
        <w:rPr>
          <w:rFonts w:ascii="Arial" w:cs="Arial" w:eastAsia="Arial" w:hAnsi="Arial"/>
          <w:sz w:val="16"/>
          <w:szCs w:val="16"/>
          <w:color w:val="auto"/>
        </w:rPr>
      </w:pPr>
      <w:r>
        <w:rPr>
          <w:rFonts w:ascii="Arial" w:cs="Arial" w:eastAsia="Arial" w:hAnsi="Arial"/>
          <w:sz w:val="16"/>
          <w:szCs w:val="16"/>
          <w:color w:val="auto"/>
        </w:rPr>
        <w:t>an amount equal to the aggregate net non-cash loss on dispositions by the Borrower and the Restricted Subsidiaries during such period (other than dispositions in the ordinary course of business) to the extent deducted in arriving at such Consolidated Net Income, and</w:t>
      </w:r>
    </w:p>
    <w:p>
      <w:pPr>
        <w:spacing w:after="0" w:line="137" w:lineRule="exact"/>
        <w:rPr>
          <w:rFonts w:ascii="Arial" w:cs="Arial" w:eastAsia="Arial" w:hAnsi="Arial"/>
          <w:sz w:val="16"/>
          <w:szCs w:val="16"/>
          <w:color w:val="auto"/>
        </w:rPr>
      </w:pPr>
    </w:p>
    <w:p>
      <w:pPr>
        <w:ind w:left="1300" w:firstLine="652"/>
        <w:spacing w:after="0" w:line="235" w:lineRule="auto"/>
        <w:tabs>
          <w:tab w:leader="none" w:pos="2518" w:val="left"/>
        </w:tabs>
        <w:numPr>
          <w:ilvl w:val="4"/>
          <w:numId w:val="51"/>
        </w:numPr>
        <w:rPr>
          <w:rFonts w:ascii="Arial" w:cs="Arial" w:eastAsia="Arial" w:hAnsi="Arial"/>
          <w:sz w:val="18"/>
          <w:szCs w:val="18"/>
          <w:color w:val="auto"/>
        </w:rPr>
      </w:pPr>
      <w:r>
        <w:rPr>
          <w:rFonts w:ascii="Arial" w:cs="Arial" w:eastAsia="Arial" w:hAnsi="Arial"/>
          <w:sz w:val="18"/>
          <w:szCs w:val="18"/>
          <w:color w:val="auto"/>
        </w:rPr>
        <w:t xml:space="preserve">cash proceeds in respect of Swap Agreements during such period to the extent not included in arriving at such Consolidated Net Income; </w:t>
      </w:r>
      <w:r>
        <w:rPr>
          <w:rFonts w:ascii="Arial" w:cs="Arial" w:eastAsia="Arial" w:hAnsi="Arial"/>
          <w:sz w:val="18"/>
          <w:szCs w:val="18"/>
          <w:u w:val="single" w:color="auto"/>
          <w:color w:val="auto"/>
        </w:rPr>
        <w:t>less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700" w:hanging="396"/>
        <w:spacing w:after="0"/>
        <w:tabs>
          <w:tab w:leader="none" w:pos="1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198" w:lineRule="exact"/>
        <w:rPr>
          <w:rFonts w:ascii="Arial" w:cs="Arial" w:eastAsia="Arial" w:hAnsi="Arial"/>
          <w:sz w:val="18"/>
          <w:szCs w:val="18"/>
          <w:color w:val="auto"/>
        </w:rPr>
      </w:pPr>
    </w:p>
    <w:p>
      <w:pPr>
        <w:jc w:val="both"/>
        <w:ind w:left="1300" w:firstLine="266"/>
        <w:spacing w:after="0" w:line="232" w:lineRule="auto"/>
        <w:tabs>
          <w:tab w:leader="none" w:pos="1995" w:val="left"/>
        </w:tabs>
        <w:numPr>
          <w:ilvl w:val="3"/>
          <w:numId w:val="52"/>
        </w:numPr>
        <w:rPr>
          <w:rFonts w:ascii="Arial" w:cs="Arial" w:eastAsia="Arial" w:hAnsi="Arial"/>
          <w:sz w:val="17"/>
          <w:szCs w:val="17"/>
          <w:color w:val="auto"/>
        </w:rPr>
      </w:pPr>
      <w:r>
        <w:rPr>
          <w:rFonts w:ascii="Arial" w:cs="Arial" w:eastAsia="Arial" w:hAnsi="Arial"/>
          <w:sz w:val="17"/>
          <w:szCs w:val="17"/>
          <w:color w:val="auto"/>
        </w:rPr>
        <w:t>an amount equal to the amount of all non-cash credits included in arriving at such Consolidated Net Income (including any amounts included in Consolidated Net Income pursuant to the last sentence of the definition of “Consolidated Net Income” to the extent such amounts are due but not received during such period) and cash charges included by virtue of any clause of the definition of “Consolidated Net Income” (other than cash charges in respect of Transaction Costs paid on or about the Effective Date to the extent financed with the proceeds of Indebtedness (other than revolving loans) incurred on the Effective Date),</w:t>
      </w:r>
    </w:p>
    <w:p>
      <w:pPr>
        <w:spacing w:after="0" w:line="162" w:lineRule="exact"/>
        <w:rPr>
          <w:rFonts w:ascii="Arial" w:cs="Arial" w:eastAsia="Arial" w:hAnsi="Arial"/>
          <w:sz w:val="17"/>
          <w:szCs w:val="17"/>
          <w:color w:val="auto"/>
        </w:rPr>
      </w:pPr>
    </w:p>
    <w:p>
      <w:pPr>
        <w:jc w:val="both"/>
        <w:ind w:left="1300" w:firstLine="194"/>
        <w:spacing w:after="0" w:line="245" w:lineRule="auto"/>
        <w:tabs>
          <w:tab w:leader="none" w:pos="1901" w:val="left"/>
        </w:tabs>
        <w:numPr>
          <w:ilvl w:val="2"/>
          <w:numId w:val="53"/>
        </w:numPr>
        <w:rPr>
          <w:rFonts w:ascii="Arial" w:cs="Arial" w:eastAsia="Arial" w:hAnsi="Arial"/>
          <w:sz w:val="17"/>
          <w:szCs w:val="17"/>
          <w:color w:val="auto"/>
        </w:rPr>
      </w:pPr>
      <w:r>
        <w:rPr>
          <w:rFonts w:ascii="Arial" w:cs="Arial" w:eastAsia="Arial" w:hAnsi="Arial"/>
          <w:sz w:val="17"/>
          <w:szCs w:val="17"/>
          <w:color w:val="auto"/>
        </w:rPr>
        <w:t>the aggregate amount of all principal payments of Indebtedness, including (A) the principal component of payments in respect of Capitalized Leases and (B) the amount of any mandatory prepayment of Loans or Other Applicable Indebtedness to the extent required due to a Disposition that resulted in an increase to Consolidated Net Income and not in excess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27</w:t>
      </w:r>
    </w:p>
    <w:p>
      <w:pPr>
        <w:sectPr>
          <w:pgSz w:w="11900" w:h="16838" w:orient="portrait"/>
          <w:cols w:equalWidth="0" w:num="1">
            <w:col w:w="11240"/>
          </w:cols>
          <w:pgMar w:left="320" w:top="1440" w:right="339" w:bottom="1440" w:gutter="0" w:footer="0" w:header="0"/>
        </w:sectPr>
      </w:pPr>
    </w:p>
    <w:bookmarkStart w:id="85" w:name="page86"/>
    <w:bookmarkEnd w:id="85"/>
    <w:p>
      <w:pPr>
        <w:spacing w:after="0" w:line="63" w:lineRule="exact"/>
        <w:rPr>
          <w:sz w:val="20"/>
          <w:szCs w:val="20"/>
          <w:color w:val="auto"/>
        </w:rPr>
      </w:pPr>
    </w:p>
    <w:p>
      <w:pPr>
        <w:jc w:val="both"/>
        <w:ind w:left="1300"/>
        <w:spacing w:after="0" w:line="241" w:lineRule="auto"/>
        <w:rPr>
          <w:sz w:val="20"/>
          <w:szCs w:val="20"/>
          <w:color w:val="auto"/>
        </w:rPr>
      </w:pPr>
      <w:r>
        <w:rPr>
          <w:rFonts w:ascii="Arial" w:cs="Arial" w:eastAsia="Arial" w:hAnsi="Arial"/>
          <w:sz w:val="16"/>
          <w:szCs w:val="16"/>
          <w:color w:val="auto"/>
        </w:rPr>
        <w:t>amount of such increase, but excluding (I) all other prepayments of Term Loans and Other Applicable Indebtedness and (II) all prepayments of revolving loans (including the Revolving Loans) made during such period (other than in respect of any revolving credit facility (excluding Revolving Loans) to the extent there is an equivalent permanent reduction in commitments thereunder), except to the</w:t>
      </w:r>
    </w:p>
    <w:p>
      <w:pPr>
        <w:spacing w:after="0" w:line="2" w:lineRule="exact"/>
        <w:rPr>
          <w:sz w:val="20"/>
          <w:szCs w:val="20"/>
          <w:color w:val="auto"/>
        </w:rPr>
      </w:pPr>
    </w:p>
    <w:p>
      <w:pPr>
        <w:jc w:val="both"/>
        <w:ind w:left="1300"/>
        <w:spacing w:after="0" w:line="218" w:lineRule="auto"/>
        <w:rPr>
          <w:sz w:val="20"/>
          <w:szCs w:val="20"/>
          <w:color w:val="auto"/>
        </w:rPr>
      </w:pPr>
      <w:r>
        <w:rPr>
          <w:rFonts w:ascii="Arial" w:cs="Arial" w:eastAsia="Arial" w:hAnsi="Arial"/>
          <w:sz w:val="18"/>
          <w:szCs w:val="18"/>
          <w:color w:val="auto"/>
        </w:rPr>
        <w:t>extent financed with the proceeds of other long term Indebtedness (other than revolving Indebtedness or intercompany loans among the Borrower and its Restricted Subsidiaries) (unless such long term Indebtedness has been repaid with internally generated cash) of the Borrower or the Restricted Subsidiaries,</w:t>
      </w:r>
    </w:p>
    <w:p>
      <w:pPr>
        <w:spacing w:after="0" w:line="176" w:lineRule="exact"/>
        <w:rPr>
          <w:sz w:val="20"/>
          <w:szCs w:val="20"/>
          <w:color w:val="auto"/>
        </w:rPr>
      </w:pPr>
    </w:p>
    <w:p>
      <w:pPr>
        <w:ind w:left="1300" w:firstLine="198"/>
        <w:spacing w:after="0" w:line="289" w:lineRule="auto"/>
        <w:tabs>
          <w:tab w:leader="none" w:pos="1958"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amount equal to the aggregate net non-cash gain on dispositions by the Borrower and the Restricted Subsidiaries during such period (other than dispositions in the ordinary course of business) to the extent included in arriving at such Consolidated Net Income,</w:t>
      </w:r>
    </w:p>
    <w:p>
      <w:pPr>
        <w:spacing w:after="0" w:line="123" w:lineRule="exact"/>
        <w:rPr>
          <w:rFonts w:ascii="Arial" w:cs="Arial" w:eastAsia="Arial" w:hAnsi="Arial"/>
          <w:sz w:val="16"/>
          <w:szCs w:val="16"/>
          <w:color w:val="auto"/>
        </w:rPr>
      </w:pPr>
    </w:p>
    <w:p>
      <w:pPr>
        <w:ind w:left="1300" w:firstLine="206"/>
        <w:spacing w:after="0" w:line="246" w:lineRule="auto"/>
        <w:tabs>
          <w:tab w:leader="none" w:pos="19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increases in Consolidated Working Capital, long-term receivables, long-term prepaid assets and decreases in long-term deferred revenue for such period,</w:t>
      </w:r>
    </w:p>
    <w:p>
      <w:pPr>
        <w:spacing w:after="0" w:line="156" w:lineRule="exact"/>
        <w:rPr>
          <w:sz w:val="20"/>
          <w:szCs w:val="20"/>
          <w:color w:val="auto"/>
        </w:rPr>
      </w:pPr>
    </w:p>
    <w:p>
      <w:pPr>
        <w:jc w:val="both"/>
        <w:ind w:left="1300" w:firstLine="219"/>
        <w:spacing w:after="0" w:line="219" w:lineRule="auto"/>
        <w:tabs>
          <w:tab w:leader="none" w:pos="1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cash payments by the Borrower and the Restricted Subsidiaries during such period in respect of purchase price holdbacks, earn out obligations, or long-term liabilities of the Borrower and the Restricted Subsidiaries other than Indebtedness to the extent such payments are not expensed during such period or are not deducted in calculating Consolidated Net Income except to the extent financed with the proceeds of other long term Indebtedness (other than revolving Indebtedness or intercompany loans among the Borrower and its Restricted Subsidiaries) (unless such long term Indebtedness has been repaid with internally generated cash) of the Borrower or the Restricted Subsidiaries,</w:t>
      </w:r>
    </w:p>
    <w:p>
      <w:pPr>
        <w:spacing w:after="0" w:line="163" w:lineRule="exact"/>
        <w:rPr>
          <w:sz w:val="20"/>
          <w:szCs w:val="20"/>
          <w:color w:val="auto"/>
        </w:rPr>
      </w:pPr>
    </w:p>
    <w:p>
      <w:pPr>
        <w:ind w:left="1300" w:firstLine="207"/>
        <w:spacing w:after="0" w:line="289" w:lineRule="auto"/>
        <w:tabs>
          <w:tab w:leader="none" w:pos="196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amount of taxes (including penalties and interest) paid in cash and/or tax reserves set aside or payable (without duplication) in such period to the extent they exceed the amount of tax expense deducted in determining Consolidated Net Income for such period,</w:t>
      </w:r>
    </w:p>
    <w:p>
      <w:pPr>
        <w:spacing w:after="0" w:line="137" w:lineRule="exact"/>
        <w:rPr>
          <w:sz w:val="20"/>
          <w:szCs w:val="20"/>
          <w:color w:val="auto"/>
        </w:rPr>
      </w:pPr>
    </w:p>
    <w:p>
      <w:pPr>
        <w:jc w:val="both"/>
        <w:ind w:left="1300" w:firstLine="195"/>
        <w:spacing w:after="0" w:line="223" w:lineRule="auto"/>
        <w:tabs>
          <w:tab w:leader="none" w:pos="1992"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aggregate amount of expenditures actually made by the Borrower and the Restricted Subsidiaries in cash during such period (including expenditures for the payment of financing fees and cash restructuring charges but excluding cash expenditures reducing the amount of Term Loans required to be prepaid pursuant to </w:t>
      </w:r>
      <w:r>
        <w:rPr>
          <w:rFonts w:ascii="Arial" w:cs="Arial" w:eastAsia="Arial" w:hAnsi="Arial"/>
          <w:sz w:val="18"/>
          <w:szCs w:val="18"/>
          <w:u w:val="single" w:color="auto"/>
          <w:color w:val="auto"/>
        </w:rPr>
        <w:t>Section 2.11(d)</w:t>
      </w:r>
      <w:r>
        <w:rPr>
          <w:rFonts w:ascii="Arial" w:cs="Arial" w:eastAsia="Arial" w:hAnsi="Arial"/>
          <w:sz w:val="18"/>
          <w:szCs w:val="18"/>
          <w:color w:val="auto"/>
        </w:rPr>
        <w:t>) to the extent that such expenditures are not expensed during such period or are not deducted in calculating Consolidated Net Income,</w:t>
      </w:r>
    </w:p>
    <w:p>
      <w:pPr>
        <w:spacing w:after="0" w:line="162" w:lineRule="exact"/>
        <w:rPr>
          <w:rFonts w:ascii="Arial" w:cs="Arial" w:eastAsia="Arial" w:hAnsi="Arial"/>
          <w:sz w:val="18"/>
          <w:szCs w:val="18"/>
          <w:color w:val="auto"/>
        </w:rPr>
      </w:pPr>
    </w:p>
    <w:p>
      <w:pPr>
        <w:ind w:left="1300" w:firstLine="288"/>
        <w:spacing w:after="0" w:line="258" w:lineRule="auto"/>
        <w:tabs>
          <w:tab w:leader="none" w:pos="2228"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aggregate amount of any premium, make-whole or penalty payments actually paid in cash by the Borrower and the Restricted Subsidiaries during such period that are required to be made in connection with any prepayment of Indebtedness,</w:t>
      </w:r>
    </w:p>
    <w:p>
      <w:pPr>
        <w:spacing w:after="0" w:line="160" w:lineRule="exact"/>
        <w:rPr>
          <w:sz w:val="20"/>
          <w:szCs w:val="20"/>
          <w:color w:val="auto"/>
        </w:rPr>
      </w:pPr>
    </w:p>
    <w:p>
      <w:pPr>
        <w:ind w:left="1300" w:firstLine="200"/>
        <w:spacing w:after="0" w:line="235" w:lineRule="auto"/>
        <w:tabs>
          <w:tab w:leader="none" w:pos="1951" w:val="left"/>
        </w:tabs>
        <w:numPr>
          <w:ilvl w:val="1"/>
          <w:numId w:val="58"/>
        </w:numPr>
        <w:rPr>
          <w:rFonts w:ascii="Arial" w:cs="Arial" w:eastAsia="Arial" w:hAnsi="Arial"/>
          <w:sz w:val="18"/>
          <w:szCs w:val="18"/>
          <w:color w:val="auto"/>
        </w:rPr>
      </w:pPr>
      <w:r>
        <w:rPr>
          <w:rFonts w:ascii="Arial" w:cs="Arial" w:eastAsia="Arial" w:hAnsi="Arial"/>
          <w:sz w:val="18"/>
          <w:szCs w:val="18"/>
          <w:color w:val="auto"/>
        </w:rPr>
        <w:t>cash expenditures in respect of Swap Agreements during such period to the extent not deducted in arriving at such Consolidated Net Income, and</w:t>
      </w:r>
    </w:p>
    <w:p>
      <w:pPr>
        <w:spacing w:after="0" w:line="161" w:lineRule="exact"/>
        <w:rPr>
          <w:rFonts w:ascii="Arial" w:cs="Arial" w:eastAsia="Arial" w:hAnsi="Arial"/>
          <w:sz w:val="18"/>
          <w:szCs w:val="18"/>
          <w:color w:val="auto"/>
        </w:rPr>
      </w:pPr>
    </w:p>
    <w:p>
      <w:pPr>
        <w:ind w:left="1300" w:hanging="816"/>
        <w:spacing w:after="0" w:line="245" w:lineRule="auto"/>
        <w:tabs>
          <w:tab w:leader="none" w:pos="928" w:val="left"/>
        </w:tabs>
        <w:numPr>
          <w:ilvl w:val="0"/>
          <w:numId w:val="59"/>
        </w:numPr>
        <w:rPr>
          <w:rFonts w:ascii="Arial" w:cs="Arial" w:eastAsia="Arial" w:hAnsi="Arial"/>
          <w:sz w:val="16"/>
          <w:szCs w:val="16"/>
          <w:color w:val="auto"/>
        </w:rPr>
      </w:pPr>
      <w:r>
        <w:rPr>
          <w:rFonts w:ascii="Arial" w:cs="Arial" w:eastAsia="Arial" w:hAnsi="Arial"/>
          <w:sz w:val="16"/>
          <w:szCs w:val="16"/>
          <w:color w:val="auto"/>
        </w:rPr>
        <w:t>without duplication of amounts deducted from Excess Cash Flow in prior periods, the aggregate amount of cash expected to be paid by the Borrower or any of the Restricted Subsidiaries in respect of accrued and unpaid bonus expenses and legal settlement reserves as of the end of such period (the “</w:t>
      </w:r>
      <w:r>
        <w:rPr>
          <w:rFonts w:ascii="Arial" w:cs="Arial" w:eastAsia="Arial" w:hAnsi="Arial"/>
          <w:sz w:val="16"/>
          <w:szCs w:val="16"/>
          <w:u w:val="single" w:color="auto"/>
          <w:color w:val="auto"/>
        </w:rPr>
        <w:t>Accrued Expenses</w:t>
      </w:r>
      <w:r>
        <w:rPr>
          <w:rFonts w:ascii="Arial" w:cs="Arial" w:eastAsia="Arial" w:hAnsi="Arial"/>
          <w:sz w:val="16"/>
          <w:szCs w:val="16"/>
          <w:color w:val="auto"/>
        </w:rPr>
        <w:t xml:space="preserve">”) and expected to be paid during the subsequent Test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to the extent the aggregate amount of internally generated cash actually utilized to pay such Accrued Expenses during such subsequent Test Period is less than the Accrued Expenses reducing Excess Cash Flow pursuant to this clause (viii) in the prior Test Period, the amount of such shortfall shall be added to the calculation of Excess Cash Flow at the end of such subsequent Test Period and (B) in no event shall Excess Cash Flow in such subsequent Test Period be reduced by the payment of Accrued Expenses during such subsequent Test Period to the extent the amount of such Accrued Expenses have reduced Excess Cash flow in the prior Test Period.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 from time to time.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Accounts</w:t>
      </w:r>
      <w:r>
        <w:rPr>
          <w:rFonts w:ascii="Arial" w:cs="Arial" w:eastAsia="Arial" w:hAnsi="Arial"/>
          <w:sz w:val="16"/>
          <w:szCs w:val="16"/>
          <w:color w:val="auto"/>
        </w:rPr>
        <w:t>” means (a) payroll, healthcare and other employee wage and benefit accounts, (b) tax accounts, including, without limitation,</w:t>
      </w:r>
    </w:p>
    <w:p>
      <w:pPr>
        <w:spacing w:after="0" w:line="2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sales tax accounts, (c) escrow, defeasance and redemption accounts, (d) fiduciary or trust accounts, (e) disbursement accounts, (f) cash collateral accounts subject to Permitted Liens and (g)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28</w:t>
      </w:r>
    </w:p>
    <w:p>
      <w:pPr>
        <w:sectPr>
          <w:pgSz w:w="11900" w:h="16838" w:orient="portrait"/>
          <w:cols w:equalWidth="0" w:num="1">
            <w:col w:w="11240"/>
          </w:cols>
          <w:pgMar w:left="320" w:top="1440" w:right="339" w:bottom="1440" w:gutter="0" w:footer="0" w:header="0"/>
        </w:sectPr>
      </w:pPr>
    </w:p>
    <w:bookmarkStart w:id="86" w:name="page87"/>
    <w:bookmarkEnd w:id="86"/>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funds or other property held in or maintained for such purposes in any such account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(f)</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Affiliates</w:t>
      </w:r>
      <w:r>
        <w:rPr>
          <w:rFonts w:ascii="Arial" w:cs="Arial" w:eastAsia="Arial" w:hAnsi="Arial"/>
          <w:sz w:val="18"/>
          <w:szCs w:val="18"/>
          <w:color w:val="auto"/>
        </w:rPr>
        <w:t>” means, collectively, any Affiliates of any of the Lead Arrangers that are engaged as principals primarily in private equity, mezzanine financing or venture capital.</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Assets</w:t>
      </w:r>
      <w:r>
        <w:rPr>
          <w:rFonts w:ascii="Arial" w:cs="Arial" w:eastAsia="Arial" w:hAnsi="Arial"/>
          <w:sz w:val="16"/>
          <w:szCs w:val="16"/>
          <w:color w:val="auto"/>
        </w:rPr>
        <w:t>” means (a) any fee-owned real property, (b) all leasehold interests in real property, (c) any governmental licenses or state or local franchises, charters or authorizations, to the extent a security interest in any such license, franchise, charter or authorization would be prohibited or restricted thereby (including any legally effective prohibition or restriction, but excluding any prohibition or restriction that is ineffective under the Uniform</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Commercial Code of any applicable jurisdiction), (d) any assets the pledge or grant of a security interest in which is prohibited by applicable law, rule or regulation (including any legally effective requirement to obtain the consent of any Governmental Authority, but excluding any prohibition or restriction that is ineffective under the Uniform Commercial Code or other applicable law), (e) Equity Interests of (x) Unrestricted Subsidiaries, (y) Immaterial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Subsidiaries (except to the extent a security interest therein can be perfected by filing of a UCC financing Statement) and (z) not-for-profit Subsidiaries, captive insurance companies and other special purpose subsidiaries, (f) Equity Interests of (i) any Foreign Subsidiary that is a CFC, in excess of 65% of the Equity Interests of such Foreign Subsidiary, and (ii) any FSHCO, in excess of 65% of the Equity Interests of such FSHCO, (g) any asset if, to the extent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that and for so long as the grant of a Lien thereon to secure the Secured Obligations is prohibited by any Requirements of Law (other than to the extent that any such prohibition would be rendered ineffective pursuant to the Uniform Commercial Code or any other applicable Requirements of Law) or would require consent or approval of any Governmental Authority (unless such consent or approval has been obtained) but excluding any prohibition or restriction</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that is ineffective under the Uniform Commercial Code of any applicable jurisdiction, (h) margin stock and, to the extent prohibited by, or creating an enforceable right of termination in favor of any other party thereto (other than any Loan Party) under the terms of any applicable Organizational Documents, joint venture agreement or equityholders’ agreement after giving effect to the applicable anti-assignment provisions of the Uniform</w:t>
      </w:r>
    </w:p>
    <w:p>
      <w:pPr>
        <w:jc w:val="both"/>
        <w:spacing w:after="0" w:line="221" w:lineRule="auto"/>
        <w:rPr>
          <w:sz w:val="20"/>
          <w:szCs w:val="20"/>
          <w:color w:val="auto"/>
        </w:rPr>
      </w:pPr>
      <w:r>
        <w:rPr>
          <w:rFonts w:ascii="Arial" w:cs="Arial" w:eastAsia="Arial" w:hAnsi="Arial"/>
          <w:sz w:val="17"/>
          <w:szCs w:val="17"/>
          <w:color w:val="auto"/>
        </w:rPr>
        <w:t>Commercial Code of any applicable jurisdiction, Equity Interests in any Person other than the Borrower and wholly-owned Restricted Subsidiaries, (i) assets to the extent a security interest in such assets would result in material adverse tax consequences to the Borrower or one of its subsidiaries as reasonably determined by the Borrower in consultation with the Administrative Agent, (j) any intent-to-use trademark application prior to the filing of a</w:t>
      </w:r>
    </w:p>
    <w:p>
      <w:pPr>
        <w:jc w:val="both"/>
        <w:spacing w:after="0" w:line="234" w:lineRule="auto"/>
        <w:rPr>
          <w:sz w:val="20"/>
          <w:szCs w:val="20"/>
          <w:color w:val="auto"/>
        </w:rPr>
      </w:pPr>
      <w:r>
        <w:rPr>
          <w:rFonts w:ascii="Arial" w:cs="Arial" w:eastAsia="Arial" w:hAnsi="Arial"/>
          <w:sz w:val="16"/>
          <w:szCs w:val="16"/>
          <w:color w:val="auto"/>
        </w:rPr>
        <w:t>“Statement of Use” or “Amendment to Allege Use” with respect thereto, (k) any lease, license or other agreement or any property subject thereto (including pursuant to a purchase money security interest or similar arrangement) to the extent that a grant of a security interest therein would violate or invalidate such lease, license or agreement or purchase money arrangement or create a breach, default or right of termination in favor of any other party thereto (other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than any Loan Party) or otherwise require consent of any party thereto (other than any Loan Party) unless such consent has been obtained in each case, after giving effect to the applicable anti-assignment provisions of the Uniform Commercial Code of any applicable jurisdiction or other similar applicable law, other than proceeds and receivables thereof, the assignment of which is expressly deemed effective under the Uniform Commercial Code of any applicable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jurisdiction or other similar applicable law notwithstanding such prohibition, (l) receivables and related assets (or interests therein) (A) sold to any Receivables Subsidiary or (B) otherwise pledged, factored, transferred or sold in connection with any Permitted Receivables Financing, (m) commercial tort claims with a value of less than $10,000,000 and letter-of-credit rights with a value of less than $10,000,000 (except to the extent a security interest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therein can be perfected by a UCC filing), (n) Vehicles and other assets subject to certificates of title, (o) any aircraft, airframes, aircraft engines or helicopters, or any equipment or other assets constituting a part thereof (except to the extent a security interest therein can be perfected by filing a UCC financing statement), (p) any and all assets and personal property owned or held by any Subsidiary that is not a Loan Party (including any Unrestricted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Subsidiary), (q) any proceeds from any issuance of Indebtedness permitted to be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that are paid into an escrow account to be released upon satisfaction of certain conditions or the occurrence of certain events, including cash or Permitted Investments set aside at the time of the incurrence of such Indebtedness, in each case, to the extent such proceeds, cash or Permitted Investments prefund the payment of interest or premium or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discount on such indebtedness (or any costs related to the issuance of such indebtedness) and are held in such escrow account or similar arrangement to be applied for such purpose and (r) Excluded Accounts.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Notwithstanding anything contained herein to the contrary, other goods, chattel paper, investment property, documents of title, instruments,</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money, intangibles and other assets shall be deemed to be “Excluded Assets” if the Administrative Agent and the Borrower mutually agree that the cost or other consequences of obtaining or perfecting a security interest in such goods, chattel paper, investment property, documents of title, instruments, money, intangibles and other assets is excessive in relation to either the value of such goods, chattel paper, investment property, documents of title, instruments,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money, intangibles and other assets as Collateral or to the practical benefit of the Lenders of the security afforded thereby.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means any of the following (except as otherwise provided in clause (b) of the definition of “Subsidiary Loan Party”): (a)</w:t>
      </w:r>
    </w:p>
    <w:p>
      <w:pPr>
        <w:spacing w:after="0"/>
        <w:rPr>
          <w:sz w:val="20"/>
          <w:szCs w:val="20"/>
          <w:color w:val="auto"/>
        </w:rPr>
      </w:pPr>
      <w:r>
        <w:rPr>
          <w:rFonts w:ascii="Arial" w:cs="Arial" w:eastAsia="Arial" w:hAnsi="Arial"/>
          <w:sz w:val="18"/>
          <w:szCs w:val="18"/>
          <w:color w:val="auto"/>
        </w:rPr>
        <w:t>any Subsidiary that is not a wholly-owned subsidiary of Holdings,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29</w:t>
      </w:r>
    </w:p>
    <w:p>
      <w:pPr>
        <w:sectPr>
          <w:pgSz w:w="11900" w:h="16838" w:orient="portrait"/>
          <w:cols w:equalWidth="0" w:num="1">
            <w:col w:w="11240"/>
          </w:cols>
          <w:pgMar w:left="320" w:top="1440" w:right="339" w:bottom="1440" w:gutter="0" w:footer="0" w:header="0"/>
        </w:sectPr>
      </w:pPr>
    </w:p>
    <w:bookmarkStart w:id="87" w:name="page88"/>
    <w:bookmarkEnd w:id="87"/>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each Subsidiary listed on </w:t>
      </w:r>
      <w:r>
        <w:rPr>
          <w:rFonts w:ascii="Arial" w:cs="Arial" w:eastAsia="Arial" w:hAnsi="Arial"/>
          <w:sz w:val="16"/>
          <w:szCs w:val="16"/>
          <w:u w:val="single" w:color="auto"/>
          <w:color w:val="auto"/>
        </w:rPr>
        <w:t>Schedule 1.01(a)</w:t>
      </w:r>
      <w:r>
        <w:rPr>
          <w:rFonts w:ascii="Arial" w:cs="Arial" w:eastAsia="Arial" w:hAnsi="Arial"/>
          <w:sz w:val="16"/>
          <w:szCs w:val="16"/>
          <w:color w:val="auto"/>
        </w:rPr>
        <w:t xml:space="preserve"> , (c) each Unrestricted Subsidiary, (d) each Immaterial Subsidiary, (e) any Subsidiary that is prohibited by (i) applicable Requirements of Law or (ii) any contractual obligation existing on the Effective Date or on the date any such Subsidiary is acquired (so long in respect of any such contractual prohibition such prohibition is not incurred in contemplation of such acquisition), in each case from guaranteeing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Secured Obligations or which would require governmental (including regulatory) consent, approval, license or authorization (unless such consent, approval, license or authorization has been obtained) to provide a Guarantee (unless such governmental consent, approval, license or authorization has been obtained), or for which the provision of a Guarantee would result in a material adverse tax consequence (including as a result of the operation of Section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956 of the Code or any similar law or regulation in any applicable jurisdiction) to the Borrower or one of its subsidiaries (as reasonably determined by the Borrower in consultation with the Administrative Agent), (f) any direct or indirect Foreign Subsidiary, (g) any direct or indirect Domestic Subsidiary of a direct or indirect Foreign Subsidiary of Holdings that is a CFC, (h) any FSHCO, (i) any other Subsidiary excused from becoming a Loan Party pursuant to</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clause (a) of the last paragraph of the definition of the term “Collateral and Guarantee Requirement,” (j) each Receivables Subsidiary and (k) any not-for-profit Subsidiaries, captive insurance companies or other special purpose subsidiaries designated by the Borrower from time to time. For the avoidance of doubt, the Borrower shall not constitute an Excluded Subsidiary.</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Swap Obligation</w:t>
      </w:r>
      <w:r>
        <w:rPr>
          <w:rFonts w:ascii="Arial" w:cs="Arial" w:eastAsia="Arial" w:hAnsi="Arial"/>
          <w:sz w:val="16"/>
          <w:szCs w:val="16"/>
          <w:color w:val="auto"/>
        </w:rPr>
        <w:t>” means, with respect to any Guarantor, (a) any Swap Obligation if, and to the extent that, all or a portion of the Guarantee of such Guarantor of, or the grant by such Guarantor of a security interest to secure, as applicable, such Swap Obligation (or any Guarantee thereof) is or becomes illegal under the Commodity Exchange Act or any rule, regulation or order of the U.S. Commodity Futures Trading Commission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application or official interpretation of any thereof) by virtue of such Guarantor’s failure for any reason to constitute an “eligible contract participant” as defined in the Commodity Exchange Act (determined after giving effect to any applicable keep well, support, or other agreement for the benefit of such Guarantor and any and all Guarantees of such Guarantor’s Swap Obligations by other Loan Parties) at the time the Guarantee of such Guarantor, or a grant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by such Guarantor of a security interest, becomes effective with respect to such Swap Obligation or (b) any other Swap Obligation designated as an “Excluded Swap Obligation” of such Guarantor as specified in any agreement between the relevant Loan Parties and counterparty applicable to such Swap Obligations. If a Swap Obligation arises under a Master Agreement governing more than one Swap, such exclusion shall apply only to the portion of such</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Swap Obligation that is attributable to Swaps for which such Guarantee or security interest is or becomes excluded in accordance with the first sentence of this definition.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with respect to the Administrative Agent, any Lender or any other recipient of any payment to be made by or on account</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any obligation of any Loan Party hereunder or under any other Loan Document, (a) Taxes imposed on (or measured by) its net income or profits (however denominated), branch profits Taxes, and franchise Taxes, in each case (i) imposed by a jurisdiction as a result of such recipient being organized or having its principal office located in or, in the case of any Lender, having its applicable Lending Office located in, such jurisdiction or (ii) that are Other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Connection Taxes, (b) any Tax that is attributable to such Lender’s failure to comply with </w:t>
      </w:r>
      <w:r>
        <w:rPr>
          <w:rFonts w:ascii="Arial" w:cs="Arial" w:eastAsia="Arial" w:hAnsi="Arial"/>
          <w:sz w:val="16"/>
          <w:szCs w:val="16"/>
          <w:u w:val="single" w:color="auto"/>
          <w:color w:val="auto"/>
        </w:rPr>
        <w:t>Section 2.17(e)</w:t>
      </w:r>
      <w:r>
        <w:rPr>
          <w:rFonts w:ascii="Arial" w:cs="Arial" w:eastAsia="Arial" w:hAnsi="Arial"/>
          <w:sz w:val="16"/>
          <w:szCs w:val="16"/>
          <w:color w:val="auto"/>
        </w:rPr>
        <w:t xml:space="preserve">, (c) any U.S. federal withholding Taxes imposed pursuant to a Requirement of Law in effect at the time such Lender (i) becomes a party hereto, other than pursuant to an assignment request by the Borrower under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or (ii) designates a new Lending Office, except, in each case, to the extent that such Lender (or its assignor, if any) was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entitled, immediately prior to the time of designation of a new Lending Office (or assignment), to receive additional amounts with respect to such withholding Tax under </w:t>
      </w:r>
      <w:r>
        <w:rPr>
          <w:rFonts w:ascii="Arial" w:cs="Arial" w:eastAsia="Arial" w:hAnsi="Arial"/>
          <w:sz w:val="18"/>
          <w:szCs w:val="18"/>
          <w:u w:val="single" w:color="auto"/>
          <w:color w:val="auto"/>
        </w:rPr>
        <w:t>Section 2.17(a)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any withholding Tax imposed pursuant to FATCA.</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 Indebtedness</w:t>
      </w:r>
      <w:r>
        <w:rPr>
          <w:rFonts w:ascii="Arial" w:cs="Arial" w:eastAsia="Arial" w:hAnsi="Arial"/>
          <w:sz w:val="16"/>
          <w:szCs w:val="16"/>
          <w:color w:val="auto"/>
        </w:rPr>
        <w:t>” means the principal, interest, fees and other amounts, other than contingent obligations not due and</w:t>
      </w:r>
    </w:p>
    <w:p>
      <w:pPr>
        <w:spacing w:after="0" w:line="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payable, outstanding under that certain Credit Agreement, dated as of August 23, 2019 (as amended, restated, amended and restated, supplemented or otherwise modified from time to time), by and among Holdings, the Borrower, the lenders from time to time party thereto, KKR Loan Administration Services LLC, as administrative agent, Cortland Capital Market Services LLC, as collateral agent, and the other parties from time to time party thereto.</w:t>
      </w:r>
    </w:p>
    <w:p>
      <w:pPr>
        <w:spacing w:after="0" w:line="17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Except as otherwise expressly set forth herein,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value shall be determined in good faith by the Borrower.</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Value</w:t>
      </w:r>
      <w:r>
        <w:rPr>
          <w:rFonts w:ascii="Arial" w:cs="Arial" w:eastAsia="Arial" w:hAnsi="Arial"/>
          <w:sz w:val="16"/>
          <w:szCs w:val="16"/>
          <w:color w:val="auto"/>
        </w:rPr>
        <w:t>” means the amount at which the assets (both tangible and intangible), in their entirety, of the Borrower and its Subsidiaries taken as a whole would change hands between a willing buyer and a willing seller, within a commercially reasonable period of time, each having reasonable</w:t>
      </w:r>
    </w:p>
    <w:p>
      <w:pPr>
        <w:spacing w:after="0"/>
        <w:rPr>
          <w:sz w:val="20"/>
          <w:szCs w:val="20"/>
          <w:color w:val="auto"/>
        </w:rPr>
      </w:pPr>
      <w:r>
        <w:rPr>
          <w:rFonts w:ascii="Arial" w:cs="Arial" w:eastAsia="Arial" w:hAnsi="Arial"/>
          <w:sz w:val="18"/>
          <w:szCs w:val="18"/>
          <w:color w:val="auto"/>
        </w:rPr>
        <w:t>knowledge of the relevant facts, with neither being under any compulsion to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30</w:t>
      </w:r>
    </w:p>
    <w:p>
      <w:pPr>
        <w:sectPr>
          <w:pgSz w:w="11900" w:h="16838" w:orient="portrait"/>
          <w:cols w:equalWidth="0" w:num="1">
            <w:col w:w="11240"/>
          </w:cols>
          <w:pgMar w:left="320" w:top="1440" w:right="339" w:bottom="1440" w:gutter="0" w:footer="0" w:header="0"/>
        </w:sectPr>
      </w:pPr>
    </w:p>
    <w:bookmarkStart w:id="88" w:name="page89"/>
    <w:bookmarkEnd w:id="88"/>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in effect on the date hereof (or any amended or successor version that is substantively comparable and not materially more onerous to comply with), any current or future Treasury regulations promulgated thereunder or official administrative interpretations thereof, any agreements entered into pursuant to current Section 1471(b)(1) of the Code (or any amended or successor version described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above) and any intergovernmental agreements, treaties or conventions (and related legislation or official guidance) implementing the foregoing.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3.18(b)</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Effective Rate</w:t>
      </w:r>
      <w:r>
        <w:rPr>
          <w:rFonts w:ascii="Arial" w:cs="Arial" w:eastAsia="Arial" w:hAnsi="Arial"/>
          <w:sz w:val="16"/>
          <w:szCs w:val="16"/>
          <w:color w:val="auto"/>
        </w:rPr>
        <w:t xml:space="preserve">” means, for any day, the rate per annum calculated by the </w:t>
      </w:r>
      <w:r>
        <w:rPr>
          <w:rFonts w:ascii="Arial" w:cs="Arial" w:eastAsia="Arial" w:hAnsi="Arial"/>
          <w:sz w:val="16"/>
          <w:szCs w:val="16"/>
          <w:color w:val="FF0000"/>
          <w:strike w:val="1"/>
        </w:rPr>
        <w:t>Federal Reserve Bank of New York</w:t>
      </w:r>
      <w:r>
        <w:rPr>
          <w:rFonts w:ascii="Arial" w:cs="Arial" w:eastAsia="Arial" w:hAnsi="Arial"/>
          <w:sz w:val="16"/>
          <w:szCs w:val="16"/>
          <w:u w:val="single" w:color="auto"/>
          <w:color w:val="0000FF"/>
          <w:highlight w:val="lightGray"/>
        </w:rPr>
        <w:t>NYFRB</w:t>
      </w:r>
      <w:r>
        <w:rPr>
          <w:rFonts w:ascii="Arial" w:cs="Arial" w:eastAsia="Arial" w:hAnsi="Arial"/>
          <w:sz w:val="16"/>
          <w:szCs w:val="16"/>
          <w:color w:val="auto"/>
        </w:rPr>
        <w:t xml:space="preserve"> based on</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such day’s federal funds transactions by depository institutions (as determined in such manner as </w:t>
      </w:r>
      <w:r>
        <w:rPr>
          <w:rFonts w:ascii="Arial" w:cs="Arial" w:eastAsia="Arial" w:hAnsi="Arial"/>
          <w:sz w:val="16"/>
          <w:szCs w:val="16"/>
          <w:color w:val="FF0000"/>
          <w:strike w:val="1"/>
        </w:rPr>
        <w:t>the Federal Reserve Bank of New York</w:t>
      </w:r>
      <w:r>
        <w:rPr>
          <w:rFonts w:ascii="Arial" w:cs="Arial" w:eastAsia="Arial" w:hAnsi="Arial"/>
          <w:sz w:val="16"/>
          <w:szCs w:val="16"/>
          <w:color w:val="auto"/>
        </w:rPr>
        <w:t xml:space="preserve"> shall </w:t>
      </w:r>
      <w:r>
        <w:rPr>
          <w:rFonts w:ascii="Arial" w:cs="Arial" w:eastAsia="Arial" w:hAnsi="Arial"/>
          <w:sz w:val="16"/>
          <w:szCs w:val="16"/>
          <w:u w:val="single" w:color="auto"/>
          <w:color w:val="0000FF"/>
          <w:highlight w:val="lightGray"/>
        </w:rPr>
        <w:t>be</w:t>
      </w:r>
      <w:r>
        <w:rPr>
          <w:rFonts w:ascii="Arial" w:cs="Arial" w:eastAsia="Arial" w:hAnsi="Arial"/>
          <w:sz w:val="16"/>
          <w:szCs w:val="16"/>
          <w:color w:val="auto"/>
        </w:rPr>
        <w:t xml:space="preserve"> set forth on </w:t>
      </w:r>
      <w:r>
        <w:rPr>
          <w:rFonts w:ascii="Arial" w:cs="Arial" w:eastAsia="Arial" w:hAnsi="Arial"/>
          <w:sz w:val="16"/>
          <w:szCs w:val="16"/>
          <w:color w:val="FF0000"/>
          <w:strike w:val="1"/>
        </w:rPr>
        <w:t>its public</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the NYFRB’s</w:t>
      </w:r>
      <w:r>
        <w:rPr>
          <w:rFonts w:ascii="Arial" w:cs="Arial" w:eastAsia="Arial" w:hAnsi="Arial"/>
          <w:sz w:val="16"/>
          <w:szCs w:val="16"/>
          <w:color w:val="auto"/>
        </w:rPr>
        <w:t xml:space="preserve"> </w:t>
      </w:r>
      <w:r>
        <w:rPr>
          <w:rFonts w:ascii="Arial" w:cs="Arial" w:eastAsia="Arial" w:hAnsi="Arial"/>
          <w:sz w:val="16"/>
          <w:szCs w:val="16"/>
          <w:color w:val="FF0000"/>
          <w:strike w:val="1"/>
        </w:rPr>
        <w:t>w</w:t>
      </w:r>
      <w:r>
        <w:rPr>
          <w:rFonts w:ascii="Arial" w:cs="Arial" w:eastAsia="Arial" w:hAnsi="Arial"/>
          <w:sz w:val="16"/>
          <w:szCs w:val="16"/>
          <w:u w:val="single" w:color="auto"/>
          <w:color w:val="0000FF"/>
          <w:highlight w:val="lightGray"/>
        </w:rPr>
        <w:t>W</w:t>
      </w:r>
      <w:r>
        <w:rPr>
          <w:rFonts w:ascii="Arial" w:cs="Arial" w:eastAsia="Arial" w:hAnsi="Arial"/>
          <w:sz w:val="16"/>
          <w:szCs w:val="16"/>
          <w:color w:val="auto"/>
        </w:rPr>
        <w:t xml:space="preserve">ebsite from time to time) and published on the next succeeding Business Day by the </w:t>
      </w:r>
      <w:r>
        <w:rPr>
          <w:rFonts w:ascii="Arial" w:cs="Arial" w:eastAsia="Arial" w:hAnsi="Arial"/>
          <w:sz w:val="16"/>
          <w:szCs w:val="16"/>
          <w:color w:val="FF0000"/>
          <w:strike w:val="1"/>
        </w:rPr>
        <w:t>Federal Reserve Bank of New</w:t>
      </w:r>
      <w:r>
        <w:rPr>
          <w:rFonts w:ascii="Arial" w:cs="Arial" w:eastAsia="Arial" w:hAnsi="Arial"/>
          <w:sz w:val="16"/>
          <w:szCs w:val="16"/>
          <w:color w:val="auto"/>
        </w:rPr>
        <w:t xml:space="preserve"> </w:t>
      </w:r>
      <w:r>
        <w:rPr>
          <w:rFonts w:ascii="Arial" w:cs="Arial" w:eastAsia="Arial" w:hAnsi="Arial"/>
          <w:sz w:val="16"/>
          <w:szCs w:val="16"/>
          <w:color w:val="FF0000"/>
          <w:strike w:val="1"/>
        </w:rPr>
        <w:t>York</w:t>
      </w:r>
      <w:r>
        <w:rPr>
          <w:rFonts w:ascii="Arial" w:cs="Arial" w:eastAsia="Arial" w:hAnsi="Arial"/>
          <w:sz w:val="16"/>
          <w:szCs w:val="16"/>
          <w:u w:val="single" w:color="auto"/>
          <w:color w:val="0000FF"/>
          <w:highlight w:val="lightGray"/>
        </w:rPr>
        <w:t>NYFRB</w:t>
      </w:r>
      <w:r>
        <w:rPr>
          <w:rFonts w:ascii="Arial" w:cs="Arial" w:eastAsia="Arial" w:hAnsi="Arial"/>
          <w:sz w:val="16"/>
          <w:szCs w:val="16"/>
          <w:color w:val="FF0000"/>
        </w:rPr>
        <w:t xml:space="preserve"> </w:t>
      </w:r>
      <w:r>
        <w:rPr>
          <w:rFonts w:ascii="Arial" w:cs="Arial" w:eastAsia="Arial" w:hAnsi="Arial"/>
          <w:sz w:val="16"/>
          <w:szCs w:val="16"/>
          <w:color w:val="000000"/>
        </w:rPr>
        <w:t>as the federal funds effective rate;</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FF0000"/>
        </w:rPr>
        <w:t xml:space="preserve"> </w:t>
      </w:r>
      <w:r>
        <w:rPr>
          <w:rFonts w:ascii="Arial" w:cs="Arial" w:eastAsia="Arial" w:hAnsi="Arial"/>
          <w:sz w:val="16"/>
          <w:szCs w:val="16"/>
          <w:color w:val="000000"/>
        </w:rPr>
        <w:t>that if the Federal Funds Rate as so determined would be less than zero, such rate shall be deemed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be zero for purposes of this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Performance Covenant</w:t>
      </w:r>
      <w:r>
        <w:rPr>
          <w:rFonts w:ascii="Arial" w:cs="Arial" w:eastAsia="Arial" w:hAnsi="Arial"/>
          <w:sz w:val="18"/>
          <w:szCs w:val="18"/>
          <w:color w:val="auto"/>
        </w:rPr>
        <w:t xml:space="preserve">” means the covenant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First Additional Term Commitment</w:t>
      </w:r>
      <w:r>
        <w:rPr>
          <w:rFonts w:ascii="Arial" w:cs="Arial" w:eastAsia="Arial" w:hAnsi="Arial"/>
          <w:sz w:val="16"/>
          <w:szCs w:val="16"/>
          <w:color w:val="auto"/>
        </w:rPr>
        <w:t xml:space="preserve"> ” means, with respect to a First Additional Term Lender, the commitment of such First Additional Term Lender to make a First Additional Term Loan hereunder on the Amendment No. 1 Effective Date, in the amount set forth opposite such Lender’s name on Schedule 1 to Amendment No. 1 and made a part hereof. As of the Amendment No. 1 Effective Date, the total First Additional Term Commitment 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$200,000,000.</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Additional Term Lender</w:t>
      </w:r>
      <w:r>
        <w:rPr>
          <w:rFonts w:ascii="Arial" w:cs="Arial" w:eastAsia="Arial" w:hAnsi="Arial"/>
          <w:sz w:val="18"/>
          <w:szCs w:val="18"/>
          <w:color w:val="auto"/>
        </w:rPr>
        <w:t>” has the meaning provided in Amendment No. 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Additional Term Loan</w:t>
      </w:r>
      <w:r>
        <w:rPr>
          <w:rFonts w:ascii="Arial" w:cs="Arial" w:eastAsia="Arial" w:hAnsi="Arial"/>
          <w:sz w:val="17"/>
          <w:szCs w:val="17"/>
          <w:color w:val="auto"/>
        </w:rPr>
        <w:t xml:space="preserve">” means a Loan that is made pursuant to clause (c) of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on the Amendment No. 1 Effective Date.</w:t>
      </w:r>
    </w:p>
    <w:p>
      <w:pPr>
        <w:spacing w:after="0" w:line="21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Intercreditor Agreement</w:t>
      </w:r>
      <w:r>
        <w:rPr>
          <w:rFonts w:ascii="Arial" w:cs="Arial" w:eastAsia="Arial" w:hAnsi="Arial"/>
          <w:sz w:val="18"/>
          <w:szCs w:val="18"/>
          <w:color w:val="auto"/>
        </w:rPr>
        <w:t xml:space="preserve"> ” means an intercreditor agreement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any other intercreditor agreement reasonably satisfactory to the Administrative Agent and the Borrower.</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Leverage Ratio</w:t>
      </w:r>
      <w:r>
        <w:rPr>
          <w:rFonts w:ascii="Arial" w:cs="Arial" w:eastAsia="Arial" w:hAnsi="Arial"/>
          <w:sz w:val="18"/>
          <w:szCs w:val="18"/>
          <w:color w:val="auto"/>
        </w:rPr>
        <w:t>” means, on any date, the ratio of (a) Consolidated First Lien Debt as of such date to (b) Consolidated EBITDA for the Test Period as of such date.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Inc. and any successor to its rating agency business.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Amounts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Fixed Charges</w:t>
      </w:r>
      <w:r>
        <w:rPr>
          <w:rFonts w:ascii="Arial" w:cs="Arial" w:eastAsia="Arial" w:hAnsi="Arial"/>
          <w:sz w:val="16"/>
          <w:szCs w:val="16"/>
          <w:color w:val="auto"/>
        </w:rPr>
        <w:t xml:space="preserve"> ” means, for any period, the sum, without duplication of (a) the Consolidated Interest Expense for such period, plus (b) all scheduled cash dividend payments (excluding items eliminated in consolidation) on any series of preferred Equity Interests of such Persons made during such period, plus (c) all scheduled cash dividend payments (excluding items eliminated in consolidation) on any series of Disqualified Equity Interests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Borrower or any Restricted Subsidiary during such period.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Prepayment Event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2.11(g)</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organized under the laws of a jurisdiction other than the United States of America, any state thereof or the District of Columbia.</w:t>
      </w:r>
    </w:p>
    <w:p>
      <w:pPr>
        <w:spacing w:after="0" w:line="15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FSHCO</w:t>
      </w:r>
      <w:r>
        <w:rPr>
          <w:rFonts w:ascii="Arial" w:cs="Arial" w:eastAsia="Arial" w:hAnsi="Arial"/>
          <w:sz w:val="18"/>
          <w:szCs w:val="18"/>
          <w:color w:val="auto"/>
        </w:rPr>
        <w:t>” means any Domestic Subsidiary of the Borrower that has no material assets other than Equity Interests and/or Indebtedness in one or more Foreign Subsidiaries of the Borrower that are CFCs.</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engaged in making, purchasing, holding or otherwise investing in commercial loans and similar extensions of credit in the ordinary course of its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31</w:t>
      </w:r>
    </w:p>
    <w:p>
      <w:pPr>
        <w:sectPr>
          <w:pgSz w:w="11900" w:h="16838" w:orient="portrait"/>
          <w:cols w:equalWidth="0" w:num="1">
            <w:col w:w="11240"/>
          </w:cols>
          <w:pgMar w:left="320" w:top="1440" w:right="339" w:bottom="1440" w:gutter="0" w:footer="0" w:header="0"/>
        </w:sectPr>
      </w:pPr>
    </w:p>
    <w:bookmarkStart w:id="89" w:name="page90"/>
    <w:bookmarkEnd w:id="89"/>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Funded Debt</w:t>
      </w:r>
      <w:r>
        <w:rPr>
          <w:rFonts w:ascii="Arial" w:cs="Arial" w:eastAsia="Arial" w:hAnsi="Arial"/>
          <w:sz w:val="16"/>
          <w:szCs w:val="16"/>
          <w:color w:val="auto"/>
        </w:rPr>
        <w:t>” means all Indebtedness of the Borrower and the Restricted Subsidiaries for borrowed money that matures more than one year from the date of its creation or matures within one year from such date that is renewable or extendable, at the option of the Borrower or the applicable Restricted Subsidiary, to a date more than one year from such date or arises under a revolving credit or similar agreement that obligates the lender or lenders to extend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credit during a period of more than one year from such date, including Indebtedness in respect of the Loans.</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in the United States of America,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notifies the Administrative Agent that the Borrower requests an amendment to any provision hereof to eliminate the effect of any change</w:t>
      </w:r>
    </w:p>
    <w:p>
      <w:pPr>
        <w:jc w:val="both"/>
        <w:spacing w:after="0" w:line="234" w:lineRule="auto"/>
        <w:rPr>
          <w:sz w:val="20"/>
          <w:szCs w:val="20"/>
          <w:color w:val="auto"/>
        </w:rPr>
      </w:pPr>
      <w:r>
        <w:rPr>
          <w:rFonts w:ascii="Arial" w:cs="Arial" w:eastAsia="Arial" w:hAnsi="Arial"/>
          <w:sz w:val="16"/>
          <w:szCs w:val="16"/>
          <w:color w:val="auto"/>
        </w:rPr>
        <w:t>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825-Financial Instruments, or any successor thereto (including pursuant to the FASB Accounting Standards Codification), to value any Indebtedness of the Borrower or any subsidiary at “fair value,” as defined therein and (b) the amount of any Indebtedness under GAAP with respect to Capital Lease Obligations shall be determined in accordance with the definition of Capital Lease Obligations and </w:t>
      </w:r>
      <w:r>
        <w:rPr>
          <w:rFonts w:ascii="Arial" w:cs="Arial" w:eastAsia="Arial" w:hAnsi="Arial"/>
          <w:sz w:val="18"/>
          <w:szCs w:val="18"/>
          <w:u w:val="single" w:color="auto"/>
          <w:color w:val="auto"/>
        </w:rPr>
        <w:t>Section 1.04(g)</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Debt Basket Reallocated Amount</w:t>
      </w:r>
      <w:r>
        <w:rPr>
          <w:rFonts w:ascii="Arial" w:cs="Arial" w:eastAsia="Arial" w:hAnsi="Arial"/>
          <w:sz w:val="18"/>
          <w:szCs w:val="18"/>
          <w:color w:val="auto"/>
        </w:rPr>
        <w:t xml:space="preserve"> ” means any amount then available to be incurred under the General Debt Basket that, at the option of the Borrower, has been reallocated from the General Debt Basket to the Free and Clear Incremental Amount.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means all authorizations, consents, approvals, permits, licenses and exemptions of, registrations and filings with, and reports to, Governmental Authorities.</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the government of the United States of America, any other nation or any political subdivision thereof, whether state, local or otherwise, and any agency, authority, instrumentality, regulatory body, court, central bank or other entity exercising executive, legislative,</w:t>
      </w:r>
    </w:p>
    <w:p>
      <w:pPr>
        <w:jc w:val="both"/>
        <w:spacing w:after="0" w:line="226" w:lineRule="auto"/>
        <w:rPr>
          <w:sz w:val="20"/>
          <w:szCs w:val="20"/>
          <w:color w:val="auto"/>
        </w:rPr>
      </w:pPr>
      <w:r>
        <w:rPr>
          <w:rFonts w:ascii="Arial" w:cs="Arial" w:eastAsia="Arial" w:hAnsi="Arial"/>
          <w:sz w:val="18"/>
          <w:szCs w:val="18"/>
          <w:color w:val="auto"/>
        </w:rPr>
        <w:t>judicial, taxing, regulatory or administrative powers or functions of or pertaining to government (including any supra-national bodies such as the European Union or the European Central Bank).</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9.04(e)</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and including any obligation of the guarantor, direct or indirect, (a) to purchase or pay (or advance or supply funds for the purchase or payment of) such Indebtedness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any letter of credit or letter of guaranty issued to support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7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Agreement</w:t>
      </w:r>
      <w:r>
        <w:rPr>
          <w:rFonts w:ascii="Arial" w:cs="Arial" w:eastAsia="Arial" w:hAnsi="Arial"/>
          <w:sz w:val="18"/>
          <w:szCs w:val="18"/>
          <w:color w:val="auto"/>
        </w:rPr>
        <w:t xml:space="preserve">” means the Guarantee Agreement among the Loan Parties and the Administrative Agent,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collectively, Holdings and the Subsidiary Loan Parties.</w:t>
      </w:r>
    </w:p>
    <w:p>
      <w:pPr>
        <w:spacing w:after="0" w:line="19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radioactive, hazardous or toxic substances, wastes or other pollutants, including petroleum or petroleum by-products or distillates, asbestos or asbestos-containing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32</w:t>
      </w:r>
    </w:p>
    <w:p>
      <w:pPr>
        <w:sectPr>
          <w:pgSz w:w="11900" w:h="16838" w:orient="portrait"/>
          <w:cols w:equalWidth="0" w:num="1">
            <w:col w:w="11240"/>
          </w:cols>
          <w:pgMar w:left="320" w:top="1440" w:right="339" w:bottom="1440" w:gutter="0" w:footer="0" w:header="0"/>
        </w:sectPr>
      </w:pPr>
    </w:p>
    <w:bookmarkStart w:id="90" w:name="page91"/>
    <w:bookmarkEnd w:id="90"/>
    <w:p>
      <w:pPr>
        <w:spacing w:after="0" w:line="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polychlorinated biphenyls, radon gas, infectious or medical wastes and all other substances or wastes of any nature regulated as hazardous or toxic, or any other term of similar import, pursuant to any Environmental Law.</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has the meaning provided in the preamble hereto, and shall include any Successor Holdings.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Identified Participating Lenders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2.11(a)(ii)(C)</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Identified Qualifying Lenders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2.11(a)(ii)(D)</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accounting standards as promulgated by the International Accounting Standards Board.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any Subsidiary that is not a Material Subsidiary.</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Immediate Family Members</w:t>
      </w:r>
      <w:r>
        <w:rPr>
          <w:rFonts w:ascii="Arial" w:cs="Arial" w:eastAsia="Arial" w:hAnsi="Arial"/>
          <w:sz w:val="16"/>
          <w:szCs w:val="16"/>
          <w:color w:val="auto"/>
        </w:rPr>
        <w:t>” means with respect to any individual, such individual’s child, stepchild, grandchild or more remote descendant, parent, stepparent, grandparent, spouse, former spouse, qualified domestic partner, sibling, mother-in-law, father-in-law, son-in-law and daughter-in-law</w:t>
      </w:r>
    </w:p>
    <w:p>
      <w:pPr>
        <w:jc w:val="both"/>
        <w:spacing w:after="0" w:line="218" w:lineRule="auto"/>
        <w:rPr>
          <w:sz w:val="20"/>
          <w:szCs w:val="20"/>
          <w:color w:val="auto"/>
        </w:rPr>
      </w:pPr>
      <w:r>
        <w:rPr>
          <w:rFonts w:ascii="Arial" w:cs="Arial" w:eastAsia="Arial" w:hAnsi="Arial"/>
          <w:sz w:val="18"/>
          <w:szCs w:val="18"/>
          <w:color w:val="auto"/>
        </w:rPr>
        <w:t>(including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2.14(a)(ii)</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Cap</w:t>
      </w:r>
      <w:r>
        <w:rPr>
          <w:rFonts w:ascii="Arial" w:cs="Arial" w:eastAsia="Arial" w:hAnsi="Arial"/>
          <w:sz w:val="18"/>
          <w:szCs w:val="18"/>
          <w:color w:val="auto"/>
        </w:rPr>
        <w:t>” means, as of any date of determination,</w:t>
      </w:r>
    </w:p>
    <w:p>
      <w:pPr>
        <w:spacing w:after="0" w:line="185" w:lineRule="exact"/>
        <w:rPr>
          <w:sz w:val="20"/>
          <w:szCs w:val="20"/>
          <w:color w:val="auto"/>
        </w:rPr>
      </w:pPr>
    </w:p>
    <w:p>
      <w:pPr>
        <w:ind w:left="1020" w:hanging="364"/>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amount equal to the sum of (the “</w:t>
      </w:r>
      <w:r>
        <w:rPr>
          <w:rFonts w:ascii="Arial" w:cs="Arial" w:eastAsia="Arial" w:hAnsi="Arial"/>
          <w:sz w:val="18"/>
          <w:szCs w:val="18"/>
          <w:u w:val="single" w:color="auto"/>
          <w:color w:val="auto"/>
        </w:rPr>
        <w:t>Free and Clear Incremental Amount</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660" w:firstLine="644"/>
        <w:spacing w:after="0" w:line="235" w:lineRule="auto"/>
        <w:tabs>
          <w:tab w:leader="none" w:pos="1757"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the greater of (i) $130,000,000 and (ii) 100% of Consolidated EBITDA for the most recently ended Test Period as of such time determined on a Pro Forma Basis, </w:t>
      </w:r>
      <w:r>
        <w:rPr>
          <w:rFonts w:ascii="Arial" w:cs="Arial" w:eastAsia="Arial" w:hAnsi="Arial"/>
          <w:sz w:val="18"/>
          <w:szCs w:val="18"/>
          <w:u w:val="single" w:color="auto"/>
          <w:color w:val="auto"/>
        </w:rPr>
        <w:t>plus</w:t>
      </w:r>
    </w:p>
    <w:p>
      <w:pPr>
        <w:spacing w:after="0" w:line="161" w:lineRule="exact"/>
        <w:rPr>
          <w:rFonts w:ascii="Arial" w:cs="Arial" w:eastAsia="Arial" w:hAnsi="Arial"/>
          <w:sz w:val="18"/>
          <w:szCs w:val="18"/>
          <w:color w:val="auto"/>
        </w:rPr>
      </w:pPr>
    </w:p>
    <w:p>
      <w:pPr>
        <w:ind w:left="1700" w:hanging="396"/>
        <w:spacing w:after="0"/>
        <w:tabs>
          <w:tab w:leader="none" w:pos="17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the General Debt Basket Reallocated Amount, </w:t>
      </w:r>
      <w:r>
        <w:rPr>
          <w:rFonts w:ascii="Arial" w:cs="Arial" w:eastAsia="Arial" w:hAnsi="Arial"/>
          <w:sz w:val="18"/>
          <w:szCs w:val="18"/>
          <w:u w:val="single" w:color="auto"/>
          <w:color w:val="auto"/>
        </w:rPr>
        <w:t>plus</w:t>
      </w:r>
    </w:p>
    <w:p>
      <w:pPr>
        <w:spacing w:after="0" w:line="198" w:lineRule="exact"/>
        <w:rPr>
          <w:rFonts w:ascii="Arial" w:cs="Arial" w:eastAsia="Arial" w:hAnsi="Arial"/>
          <w:sz w:val="18"/>
          <w:szCs w:val="18"/>
          <w:color w:val="auto"/>
        </w:rPr>
      </w:pPr>
    </w:p>
    <w:p>
      <w:pPr>
        <w:jc w:val="both"/>
        <w:ind w:left="660" w:firstLine="644"/>
        <w:spacing w:after="0" w:line="237" w:lineRule="auto"/>
        <w:tabs>
          <w:tab w:leader="none" w:pos="1717"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the sum of the aggregate principal amount of (x) voluntary prepayments, repayments, redemptions, repurchases and debt buybacks (in an amount equal to the principal amount of the Indebtedness subject thereto) of Term Loans, any Incremental Term Loans and any Incremental Equivalent Debt or any other Indebtedness incurred under the Free and Clear Incremental Amount (including open market purchases at or below par, payments through Dutch auction procedures and payments utilizing </w:t>
      </w:r>
      <w:r>
        <w:rPr>
          <w:rFonts w:ascii="Arial" w:cs="Arial" w:eastAsia="Arial" w:hAnsi="Arial"/>
          <w:sz w:val="16"/>
          <w:szCs w:val="16"/>
          <w:u w:val="single" w:color="auto"/>
          <w:color w:val="auto"/>
        </w:rPr>
        <w:t>Section 9.04(h)</w:t>
      </w:r>
      <w:r>
        <w:rPr>
          <w:rFonts w:ascii="Arial" w:cs="Arial" w:eastAsia="Arial" w:hAnsi="Arial"/>
          <w:sz w:val="16"/>
          <w:szCs w:val="16"/>
          <w:color w:val="auto"/>
        </w:rPr>
        <w:t xml:space="preserve"> or any other analogous “yank-a-bank” provision in the documentation governing such Indebtedness) by Holdings, the Borrower or any of its Subsidiaries and (y) permanent commitment reductions in respect of the Revolving Credit Facility, any Additional/Replacement Revolving Commitments or any other revolving credit facility that is incurred under the Free and Clear Incremental Amount, except, in each case under this clause (c), to the extent funded with proceeds of long-term Indebtedness of the Borrower or the Restricted Subsidiaries (other than (1) any revolving Indebtedness, (2) any intercompany loans among the Borrower and its Restricted Subsidiaries or (3) Incremental Facilities or Incremental Equivalent Debt then being incurred in reliance on this clause</w:t>
      </w:r>
    </w:p>
    <w:p>
      <w:pPr>
        <w:ind w:left="660"/>
        <w:spacing w:after="0"/>
        <w:rPr>
          <w:rFonts w:ascii="Arial" w:cs="Arial" w:eastAsia="Arial" w:hAnsi="Arial"/>
          <w:sz w:val="16"/>
          <w:szCs w:val="16"/>
          <w:color w:val="auto"/>
        </w:rPr>
      </w:pPr>
      <w:r>
        <w:rPr>
          <w:rFonts w:ascii="Arial" w:cs="Arial" w:eastAsia="Arial" w:hAnsi="Arial"/>
          <w:sz w:val="18"/>
          <w:szCs w:val="18"/>
          <w:color w:val="auto"/>
        </w:rPr>
        <w:t xml:space="preserve">(c) or clause (d) below)), </w:t>
      </w:r>
      <w:r>
        <w:rPr>
          <w:rFonts w:ascii="Arial" w:cs="Arial" w:eastAsia="Arial" w:hAnsi="Arial"/>
          <w:sz w:val="18"/>
          <w:szCs w:val="18"/>
          <w:u w:val="single" w:color="auto"/>
          <w:color w:val="auto"/>
        </w:rPr>
        <w:t>plus</w:t>
      </w:r>
    </w:p>
    <w:p>
      <w:pPr>
        <w:spacing w:after="0" w:line="168" w:lineRule="exact"/>
        <w:rPr>
          <w:rFonts w:ascii="Arial" w:cs="Arial" w:eastAsia="Arial" w:hAnsi="Arial"/>
          <w:sz w:val="16"/>
          <w:szCs w:val="16"/>
          <w:color w:val="auto"/>
        </w:rPr>
      </w:pPr>
    </w:p>
    <w:p>
      <w:pPr>
        <w:jc w:val="both"/>
        <w:ind w:left="660" w:firstLine="644"/>
        <w:spacing w:after="0" w:line="226" w:lineRule="auto"/>
        <w:tabs>
          <w:tab w:leader="none" w:pos="1729" w:val="left"/>
        </w:tabs>
        <w:numPr>
          <w:ilvl w:val="1"/>
          <w:numId w:val="60"/>
        </w:numPr>
        <w:rPr>
          <w:rFonts w:ascii="Arial" w:cs="Arial" w:eastAsia="Arial" w:hAnsi="Arial"/>
          <w:sz w:val="17"/>
          <w:szCs w:val="17"/>
          <w:color w:val="auto"/>
        </w:rPr>
      </w:pPr>
      <w:r>
        <w:rPr>
          <w:rFonts w:ascii="Arial" w:cs="Arial" w:eastAsia="Arial" w:hAnsi="Arial"/>
          <w:sz w:val="17"/>
          <w:szCs w:val="17"/>
          <w:color w:val="auto"/>
        </w:rPr>
        <w:t xml:space="preserve">the sum of the aggregate principal amount of voluntary prepayments, repayments, redemptions, repurchases and buybacks of, and, in the case of revolving credit commitments, permanent commitment reductions in respect of (in each case, an amount equal to the principal amount of the Indebtedness subject thereto), any Credit Agreement Refinancing Indebtedness, Other Term Loan, Other Revolving Credit Commitment or any Permitted Refinancing, as applicable, previously applied, directly or indirectly, to the prepayment, repayment, redemption, repurchase, buyback or permanent commitment reduction, as applicable, of any Indebtedness or revolving credit commitment, as applicable, described in clause (c) above (including open market purchases at or below par, payments through Dutch auction procedures and payments utilizing </w:t>
      </w:r>
      <w:r>
        <w:rPr>
          <w:rFonts w:ascii="Arial" w:cs="Arial" w:eastAsia="Arial" w:hAnsi="Arial"/>
          <w:sz w:val="17"/>
          <w:szCs w:val="17"/>
          <w:u w:val="single" w:color="auto"/>
          <w:color w:val="auto"/>
        </w:rPr>
        <w:t>Section 9.04(h)</w:t>
      </w:r>
      <w:r>
        <w:rPr>
          <w:rFonts w:ascii="Arial" w:cs="Arial" w:eastAsia="Arial" w:hAnsi="Arial"/>
          <w:sz w:val="17"/>
          <w:szCs w:val="17"/>
          <w:color w:val="auto"/>
        </w:rPr>
        <w:t xml:space="preserve"> or any other analogous “yank-a-bank” provision in the documentation governing such Indebtedness) by Holdings, the Borrower or any of its Subsidiaries, except, in each case under this clause (d), to the extent funded with proceeds of long-term Indebtedness of the Borrower or the Restricted Subsidiaries (other than (1) any revolving Indebtedness, (2) any intercompany loans among the Borrower and its Restricted Subsidiaries or (3) Incremental Facilities or Incremental Equivalent Debt then being incurred in reliance on this clause (d) or clause (c) above)), </w:t>
      </w:r>
      <w:r>
        <w:rPr>
          <w:rFonts w:ascii="Arial" w:cs="Arial" w:eastAsia="Arial" w:hAnsi="Arial"/>
          <w:sz w:val="17"/>
          <w:szCs w:val="17"/>
          <w:u w:val="single" w:color="auto"/>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33</w:t>
      </w:r>
    </w:p>
    <w:p>
      <w:pPr>
        <w:sectPr>
          <w:pgSz w:w="11900" w:h="16838" w:orient="portrait"/>
          <w:cols w:equalWidth="0" w:num="1">
            <w:col w:w="11240"/>
          </w:cols>
          <w:pgMar w:left="320" w:top="1440" w:right="339" w:bottom="1440" w:gutter="0" w:footer="0" w:header="0"/>
        </w:sectPr>
      </w:pPr>
    </w:p>
    <w:bookmarkStart w:id="91" w:name="page92"/>
    <w:bookmarkEnd w:id="91"/>
    <w:p>
      <w:pPr>
        <w:spacing w:after="0" w:line="63" w:lineRule="exact"/>
        <w:rPr>
          <w:sz w:val="20"/>
          <w:szCs w:val="20"/>
          <w:color w:val="auto"/>
        </w:rPr>
      </w:pPr>
    </w:p>
    <w:p>
      <w:pPr>
        <w:ind w:left="660" w:firstLine="644"/>
        <w:spacing w:after="0" w:line="235" w:lineRule="auto"/>
        <w:tabs>
          <w:tab w:leader="none" w:pos="1725"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aggregate principal amount of all Incremental Facilities and all Incremental Equivalent Debt outstanding at such time that was incurred in reliance on the foregoing clauses (a) through (d), and</w:t>
      </w:r>
    </w:p>
    <w:p>
      <w:pPr>
        <w:spacing w:after="0" w:line="161" w:lineRule="exact"/>
        <w:rPr>
          <w:rFonts w:ascii="Arial" w:cs="Arial" w:eastAsia="Arial" w:hAnsi="Arial"/>
          <w:sz w:val="18"/>
          <w:szCs w:val="18"/>
          <w:color w:val="auto"/>
        </w:rPr>
      </w:pPr>
    </w:p>
    <w:p>
      <w:pPr>
        <w:jc w:val="both"/>
        <w:ind w:firstLine="656"/>
        <w:spacing w:after="0" w:line="245" w:lineRule="auto"/>
        <w:tabs>
          <w:tab w:leader="none" w:pos="111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maximum aggregate principal amount (the “</w:t>
      </w:r>
      <w:r>
        <w:rPr>
          <w:rFonts w:ascii="Arial" w:cs="Arial" w:eastAsia="Arial" w:hAnsi="Arial"/>
          <w:sz w:val="16"/>
          <w:szCs w:val="16"/>
          <w:u w:val="single" w:color="auto"/>
          <w:color w:val="auto"/>
        </w:rPr>
        <w:t>Ratio Incremental Amount</w:t>
      </w:r>
      <w:r>
        <w:rPr>
          <w:rFonts w:ascii="Arial" w:cs="Arial" w:eastAsia="Arial" w:hAnsi="Arial"/>
          <w:sz w:val="16"/>
          <w:szCs w:val="16"/>
          <w:color w:val="auto"/>
        </w:rPr>
        <w:t>”) that can be incurred without causing the First Lien Leverage Ratio, after giving effect to the incurrence or establishment, as applicable, of any Incremental Facilities or Incremental Equivalent Debt (which shall assume that all such Indebtedness is Consolidated First Lien Debt and the full amounts of any Incremental Revolving Commitment Increase and Additional/Replacement Revolving Commitments established at such time are fully drawn) and the use of proceeds thereof, on a Pro Forma Basis (but without giving effect to any substantially simultaneous incurrence of any Incremental Facility or Incremental Equivalent Debt made pursuant to the Free and Clear Incremental Amount or under the Revolving Credit Facility in connection therewith), to exceed either (i) 4.50 to 1.00 for the most recent Test Period then ended or (ii) if incurred in connection with a Permitted Acquisition or other Investment, the greater of (a) the First Lien Leverage Ratio immediately prior to the incurrence of such Incremental Facility or Incremental Equivalent Debt for the Test Period then last ended and (b) 4.50 to 1.00.</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Notwithstanding anything to the contrary in this Agreement, in the case of any Incremental Facility or Incremental Equivalent Debt in the form of a delayed draw term loan facility (an “</w:t>
      </w:r>
      <w:r>
        <w:rPr>
          <w:rFonts w:ascii="Arial" w:cs="Arial" w:eastAsia="Arial" w:hAnsi="Arial"/>
          <w:sz w:val="16"/>
          <w:szCs w:val="16"/>
          <w:u w:val="single" w:color="auto"/>
          <w:color w:val="auto"/>
        </w:rPr>
        <w:t>Incremental Delayed Draw Term Facility</w:t>
      </w:r>
      <w:r>
        <w:rPr>
          <w:rFonts w:ascii="Arial" w:cs="Arial" w:eastAsia="Arial" w:hAnsi="Arial"/>
          <w:sz w:val="16"/>
          <w:szCs w:val="16"/>
          <w:color w:val="auto"/>
        </w:rPr>
        <w:t xml:space="preserve">”, and the loans thereunder, “ </w:t>
      </w:r>
      <w:r>
        <w:rPr>
          <w:rFonts w:ascii="Arial" w:cs="Arial" w:eastAsia="Arial" w:hAnsi="Arial"/>
          <w:sz w:val="16"/>
          <w:szCs w:val="16"/>
          <w:u w:val="single" w:color="auto"/>
          <w:color w:val="auto"/>
        </w:rPr>
        <w:t>Incremental Delayed Draw Term Loans</w:t>
      </w:r>
      <w:r>
        <w:rPr>
          <w:rFonts w:ascii="Arial" w:cs="Arial" w:eastAsia="Arial" w:hAnsi="Arial"/>
          <w:sz w:val="16"/>
          <w:szCs w:val="16"/>
          <w:color w:val="auto"/>
        </w:rPr>
        <w:t>”), the Borrower</w:t>
      </w:r>
    </w:p>
    <w:p>
      <w:pPr>
        <w:jc w:val="both"/>
        <w:spacing w:after="0" w:line="234" w:lineRule="auto"/>
        <w:rPr>
          <w:sz w:val="20"/>
          <w:szCs w:val="20"/>
          <w:color w:val="auto"/>
        </w:rPr>
      </w:pPr>
      <w:r>
        <w:rPr>
          <w:rFonts w:ascii="Arial" w:cs="Arial" w:eastAsia="Arial" w:hAnsi="Arial"/>
          <w:sz w:val="16"/>
          <w:szCs w:val="16"/>
          <w:color w:val="auto"/>
        </w:rPr>
        <w:t>may elect, in its sole discretion, to incur such Incremental Delayed Draw Term Facility under the Incremental Cap either (A) at the time the delayed draw term loan commitments in respect of such Incremental Delayed Draw Term Facility (the “</w:t>
      </w:r>
      <w:r>
        <w:rPr>
          <w:rFonts w:ascii="Arial" w:cs="Arial" w:eastAsia="Arial" w:hAnsi="Arial"/>
          <w:sz w:val="16"/>
          <w:szCs w:val="16"/>
          <w:u w:val="single" w:color="auto"/>
          <w:color w:val="auto"/>
        </w:rPr>
        <w:t>Incremental Delayed Draw Term Commitments</w:t>
      </w:r>
      <w:r>
        <w:rPr>
          <w:rFonts w:ascii="Arial" w:cs="Arial" w:eastAsia="Arial" w:hAnsi="Arial"/>
          <w:sz w:val="16"/>
          <w:szCs w:val="16"/>
          <w:color w:val="auto"/>
        </w:rPr>
        <w:t>”) are established, in which case, solely for purposes of determining availability under the Incremental Cap, such Incremental Delayed Draw Term Commitments shall be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deemed to be fully drawn at the time the relevant Incremental Delayed Draw Term Facility is established (and, for the avoidance of doubt, the subsequent funding of Incremental Delayed Draw Term Loans under such Incremental Delayed Draw Term Facility shall not further reduce available capacity under the Incremental Cap) or (B) at the time the relevant Incremental Delayed Draw Term Loans are funded, in which case available capacity under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Incremental Cap shall be reduced as and when each such Incremental Delayed Draw Term Loan is funded (and, for the avoidance of doubt, the initial establishment of Incremental Delayed Draw Term Commitments in respect of such Incremental Delayed Draw Term Facility shall not reduce available capacity under the Incremental Cap).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6.01(a)(xxiii)</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Amendment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2.20(f)</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Commitment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Loan</w:t>
      </w:r>
      <w:r>
        <w:rPr>
          <w:rFonts w:ascii="Arial" w:cs="Arial" w:eastAsia="Arial" w:hAnsi="Arial"/>
          <w:sz w:val="18"/>
          <w:szCs w:val="18"/>
          <w:color w:val="auto"/>
        </w:rPr>
        <w:t>” means Revolving Loans made pursuant to Additional/Replacement Revolving Commitments.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Incurrence-Based Amounts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w:t>
      </w:r>
    </w:p>
    <w:p>
      <w:pPr>
        <w:jc w:val="both"/>
        <w:spacing w:after="0" w:line="234" w:lineRule="auto"/>
        <w:rPr>
          <w:sz w:val="20"/>
          <w:szCs w:val="20"/>
          <w:color w:val="auto"/>
        </w:rPr>
      </w:pPr>
      <w:r>
        <w:rPr>
          <w:rFonts w:ascii="Arial" w:cs="Arial" w:eastAsia="Arial" w:hAnsi="Arial"/>
          <w:sz w:val="16"/>
          <w:szCs w:val="16"/>
          <w:color w:val="auto"/>
        </w:rPr>
        <w:t>relating to property acquired by such Person, (d) all obligations of such Person in respect of the deferred purchase price of property or services (excluding trade accounts or payables, obligations payable in the ordinary course of business and any earn-out obligation until such obligation becomes a liability on the balance sheet of such Person in accordance with GAAP and if not paid within 60 days after being due and payable), (e) all Indebtedness of others</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w:t>
      </w:r>
    </w:p>
    <w:p>
      <w:pPr>
        <w:spacing w:after="0" w:line="1" w:lineRule="exact"/>
        <w:rPr>
          <w:sz w:val="20"/>
          <w:szCs w:val="20"/>
          <w:color w:val="auto"/>
        </w:rPr>
      </w:pPr>
    </w:p>
    <w:p>
      <w:pPr>
        <w:jc w:val="both"/>
        <w:ind w:firstLine="8"/>
        <w:spacing w:after="0" w:line="247" w:lineRule="auto"/>
        <w:tabs>
          <w:tab w:leader="none" w:pos="272"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“Indebtedness” shall not include (i) deferred or prepaid revenue, (ii) purchase price holdbacks in respect of a portion of the purchase price of an asset to satisfy warranty or other unperformed obligations of the seller, (iii) any obligations attributable to the exercise of appraisal rights and the settlement of any claims or actions (whether actual, contingent or potential) with respect thereto, (iv) Indebtedness of any Parent Entity appearing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34</w:t>
      </w:r>
    </w:p>
    <w:p>
      <w:pPr>
        <w:sectPr>
          <w:pgSz w:w="11900" w:h="16838" w:orient="portrait"/>
          <w:cols w:equalWidth="0" w:num="1">
            <w:col w:w="11240"/>
          </w:cols>
          <w:pgMar w:left="320" w:top="1440" w:right="339" w:bottom="1440" w:gutter="0" w:footer="0" w:header="0"/>
        </w:sectPr>
      </w:pPr>
    </w:p>
    <w:bookmarkStart w:id="92" w:name="page93"/>
    <w:bookmarkEnd w:id="92"/>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balance sheet of the Borrower solely by reason of push down accounting under GAAP, (v) accrued expenses and royalties, (vi) asset retirement obligations and other pension related obligations (including pensions and retiree medical care) that are not overdue by more than 60 days and (vii) Non-Finance Lease Obligations. The Indebtedness of any Person shall include the Indebtedness of any other entity (including any partnership in which such Person is a general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Indebtedness and (B) the Fair Market Value of the property encumbered thereby as determined by such Person in good faith. For all purposes hereof, the Indebtedness of Holdings, the Borrower and the Restricted Subsidiaries shall exclude (i) intercompany liabilities arising from their cash management, tax, and accounting operations and intercompany loans, advances or Indebtedness having a term not exceeding 364 days (inclusive of any rollover or extensions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terms) and made in the ordinary course of business, (ii) obligations under or in respect of any Permitted Receivables Financing, (iii) obligations, to the extent such obligations would otherwise constitute Indebtedness, under any agreement that has been defeased or satisfied and discharged pursuant to the terms of such agreement or (iv) indebtedness that constitutes “Indebtedness” merely by virtue of a pledge of an Investment (without any accompanying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guaranty) in an Unrestricted Subsidiary.</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Notwithstanding the foregoing, other than in connection with making an LCT Election, Indebtedness will be deemed not to include obligations (“</w:t>
      </w:r>
      <w:r>
        <w:rPr>
          <w:rFonts w:ascii="Arial" w:cs="Arial" w:eastAsia="Arial" w:hAnsi="Arial"/>
          <w:sz w:val="16"/>
          <w:szCs w:val="16"/>
          <w:u w:val="single" w:color="auto"/>
          <w:color w:val="auto"/>
        </w:rPr>
        <w:t>Escrowed Obligations</w:t>
      </w:r>
      <w:r>
        <w:rPr>
          <w:rFonts w:ascii="Arial" w:cs="Arial" w:eastAsia="Arial" w:hAnsi="Arial"/>
          <w:sz w:val="16"/>
          <w:szCs w:val="16"/>
          <w:color w:val="auto"/>
        </w:rPr>
        <w:t>”) incurred or otherwise outstanding in advance of, and the proceeds of which are to be applied in connection with, a transaction</w:t>
      </w:r>
    </w:p>
    <w:p>
      <w:pPr>
        <w:jc w:val="both"/>
        <w:spacing w:after="0" w:line="234" w:lineRule="auto"/>
        <w:rPr>
          <w:sz w:val="20"/>
          <w:szCs w:val="20"/>
          <w:color w:val="auto"/>
        </w:rPr>
      </w:pPr>
      <w:r>
        <w:rPr>
          <w:rFonts w:ascii="Arial" w:cs="Arial" w:eastAsia="Arial" w:hAnsi="Arial"/>
          <w:sz w:val="16"/>
          <w:szCs w:val="16"/>
          <w:color w:val="auto"/>
        </w:rPr>
        <w:t>(including any repayment, prepayment or redemption as to which a notice thereof has been delivered to the applicable holders thereof), solely to the extent that the proceeds thereof are and continue to be held in an escrow, trust, collateral or similar account or arrangement (collectively, an “</w:t>
      </w:r>
      <w:r>
        <w:rPr>
          <w:rFonts w:ascii="Arial" w:cs="Arial" w:eastAsia="Arial" w:hAnsi="Arial"/>
          <w:sz w:val="16"/>
          <w:szCs w:val="16"/>
          <w:u w:val="single" w:color="auto"/>
          <w:color w:val="auto"/>
        </w:rPr>
        <w:t>Escrow</w:t>
      </w:r>
      <w:r>
        <w:rPr>
          <w:rFonts w:ascii="Arial" w:cs="Arial" w:eastAsia="Arial" w:hAnsi="Arial"/>
          <w:sz w:val="16"/>
          <w:szCs w:val="16"/>
          <w:color w:val="auto"/>
        </w:rPr>
        <w:t>”) and are not otherwise made available for any other purpose (it being understood that in any event, any such proceeds held in such Escrow shall not be deemed to</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represent Available Cash for purposes of calculating the First Lien Leverage Ratio, Secured Leverage Ratio or Total Leverage Ratio);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release of the proceeds of Escrowed Obligations from such Escrow such obligations, to the extent outstanding after such release, shall constitute Indebtedness that is incurred on such date.</w:t>
      </w:r>
    </w:p>
    <w:p>
      <w:pPr>
        <w:spacing w:after="0" w:line="17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xml:space="preserve"> ” means all Taxes, other than Excluded Taxes, imposed on or with respect to any payment made by or on account of any obligation of any Loan Party under any Loan Document.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9.12(a)</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 Memorandum</w:t>
      </w:r>
      <w:r>
        <w:rPr>
          <w:rFonts w:ascii="Arial" w:cs="Arial" w:eastAsia="Arial" w:hAnsi="Arial"/>
          <w:sz w:val="17"/>
          <w:szCs w:val="17"/>
          <w:color w:val="auto"/>
        </w:rPr>
        <w:t>” means the information memorandum in connection with the syndication of the Commitments and the Loans.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Term Commitment</w:t>
      </w:r>
      <w:r>
        <w:rPr>
          <w:rFonts w:ascii="Arial" w:cs="Arial" w:eastAsia="Arial" w:hAnsi="Arial"/>
          <w:sz w:val="16"/>
          <w:szCs w:val="16"/>
          <w:color w:val="auto"/>
        </w:rPr>
        <w:t xml:space="preserve"> ” means, with respect to each Term Lender, the commitment of such Term Lender to make a Term Loan hereunder on the Effective Date, expressed as an amount representing the maximum principal amount of the Term Loan to be made by such Term Lender hereunder, as such commitment may be (a) reduced from time to time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(b) reduced or increased from time to time pursuant to assignments by</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or to such Term Lender pursuant to an Assignment and Assumption. The initial amount of each Term Lender’s Initial Term Commitment is set forth on </w:t>
      </w:r>
      <w:r>
        <w:rPr>
          <w:rFonts w:ascii="Arial" w:cs="Arial" w:eastAsia="Arial" w:hAnsi="Arial"/>
          <w:sz w:val="18"/>
          <w:szCs w:val="18"/>
          <w:u w:val="single" w:color="auto"/>
          <w:color w:val="auto"/>
        </w:rPr>
        <w:t>Schedule 2.01(a)</w:t>
      </w:r>
      <w:r>
        <w:rPr>
          <w:rFonts w:ascii="Arial" w:cs="Arial" w:eastAsia="Arial" w:hAnsi="Arial"/>
          <w:sz w:val="18"/>
          <w:szCs w:val="18"/>
          <w:color w:val="auto"/>
        </w:rPr>
        <w:t xml:space="preserve"> or in the Assignment and Assumption pursuant to which such Term Lender shall have assumed its Initial Term Commitment, as the case may be. As of the Effective Date, the total Initial Term Commitment was $350,000,000.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w:t>
      </w:r>
      <w:r>
        <w:rPr>
          <w:rFonts w:ascii="Arial" w:cs="Arial" w:eastAsia="Arial" w:hAnsi="Arial"/>
          <w:sz w:val="18"/>
          <w:szCs w:val="18"/>
          <w:color w:val="auto"/>
        </w:rPr>
        <w:t xml:space="preserve">” means a Loan made pursuant to clause (a) of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on the Effective Date.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assigned to such term in the Collateral Agreement.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Agreements</w:t>
      </w:r>
      <w:r>
        <w:rPr>
          <w:rFonts w:ascii="Arial" w:cs="Arial" w:eastAsia="Arial" w:hAnsi="Arial"/>
          <w:sz w:val="18"/>
          <w:szCs w:val="18"/>
          <w:color w:val="auto"/>
        </w:rPr>
        <w:t>” means any First Lien Intercreditor Agreement, any Second Lien Intercreditor Agreement or any other intercreditor agreement reasonably satisfactory to the Administrative Agent and the Borrower.</w:t>
      </w:r>
    </w:p>
    <w:p>
      <w:pPr>
        <w:spacing w:after="0" w:line="15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means, as of any date, the ratio of (a) Consolidated EBITDA to (b) Consolidated Interest Expense, in each case for the Test Period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35</w:t>
      </w:r>
    </w:p>
    <w:p>
      <w:pPr>
        <w:sectPr>
          <w:pgSz w:w="11900" w:h="16838" w:orient="portrait"/>
          <w:cols w:equalWidth="0" w:num="1">
            <w:col w:w="11240"/>
          </w:cols>
          <w:pgMar w:left="320" w:top="1440" w:right="339" w:bottom="1440" w:gutter="0" w:footer="0" w:header="0"/>
        </w:sectPr>
      </w:pPr>
    </w:p>
    <w:bookmarkStart w:id="93" w:name="page94"/>
    <w:bookmarkEnd w:id="93"/>
    <w:p>
      <w:pPr>
        <w:spacing w:after="0" w:line="6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xml:space="preserve">” means a request by the Borrower in accordance with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and substantially in the form of </w:t>
      </w:r>
      <w:r>
        <w:rPr>
          <w:rFonts w:ascii="Arial" w:cs="Arial" w:eastAsia="Arial" w:hAnsi="Arial"/>
          <w:sz w:val="17"/>
          <w:szCs w:val="17"/>
          <w:u w:val="single" w:color="auto"/>
          <w:color w:val="auto"/>
        </w:rPr>
        <w:t>Exhibit R</w:t>
      </w:r>
      <w:r>
        <w:rPr>
          <w:rFonts w:ascii="Arial" w:cs="Arial" w:eastAsia="Arial" w:hAnsi="Arial"/>
          <w:sz w:val="17"/>
          <w:szCs w:val="17"/>
          <w:color w:val="auto"/>
        </w:rPr>
        <w:t xml:space="preserve"> or such other form as may be reasonably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with respect to any ABR Loan, the last Business Day of each March, June, September and December and (b) with respect to any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Loan, the last </w:t>
      </w:r>
      <w:r>
        <w:rPr>
          <w:rFonts w:ascii="Arial" w:cs="Arial" w:eastAsia="Arial" w:hAnsi="Arial"/>
          <w:sz w:val="16"/>
          <w:szCs w:val="16"/>
          <w:u w:val="single" w:color="auto"/>
          <w:color w:val="0000FF"/>
          <w:highlight w:val="lightGray"/>
        </w:rPr>
        <w:t>U</w:t>
      </w:r>
      <w:r>
        <w:rPr>
          <w:rFonts w:ascii="Arial" w:cs="Arial" w:eastAsia="Arial" w:hAnsi="Arial"/>
          <w:sz w:val="16"/>
          <w:szCs w:val="16"/>
          <w:color w:val="0000FF"/>
          <w:highlight w:val="lightGray"/>
        </w:rPr>
        <w:t>.S. Govern</w:t>
      </w:r>
      <w:r>
        <w:rPr>
          <w:rFonts w:ascii="Arial" w:cs="Arial" w:eastAsia="Arial" w:hAnsi="Arial"/>
          <w:sz w:val="16"/>
          <w:szCs w:val="16"/>
          <w:u w:val="single" w:color="auto"/>
          <w:color w:val="0000FF"/>
          <w:highlight w:val="lightGray"/>
        </w:rPr>
        <w:t>ment Securities</w:t>
      </w:r>
      <w:r>
        <w:rPr>
          <w:rFonts w:ascii="Arial" w:cs="Arial" w:eastAsia="Arial" w:hAnsi="Arial"/>
          <w:sz w:val="16"/>
          <w:szCs w:val="16"/>
          <w:color w:val="auto"/>
        </w:rPr>
        <w:t xml:space="preserve"> Business Day of the Interest Period applicable to the Borrowing of which such Loan is a part and, in the case of a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Borrowing with an Interest Period of more than three months’ duration, each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6130925</wp:posOffset>
            </wp:positionH>
            <wp:positionV relativeFrom="paragraph">
              <wp:posOffset>0</wp:posOffset>
            </wp:positionV>
            <wp:extent cx="1006475"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1006475" cy="128905"/>
                    </a:xfrm>
                    <a:prstGeom prst="rect">
                      <a:avLst/>
                    </a:prstGeom>
                    <a:noFill/>
                  </pic:spPr>
                </pic:pic>
              </a:graphicData>
            </a:graphic>
          </wp:anchor>
        </w:drawing>
      </w:r>
    </w:p>
    <w:p>
      <w:pPr>
        <w:jc w:val="both"/>
        <w:spacing w:after="0" w:line="226" w:lineRule="auto"/>
        <w:rPr>
          <w:sz w:val="20"/>
          <w:szCs w:val="20"/>
          <w:color w:val="auto"/>
        </w:rPr>
      </w:pPr>
      <w:r>
        <w:rPr>
          <w:rFonts w:ascii="Arial" w:cs="Arial" w:eastAsia="Arial" w:hAnsi="Arial"/>
          <w:sz w:val="18"/>
          <w:szCs w:val="18"/>
          <w:color w:val="auto"/>
        </w:rPr>
        <w:t xml:space="preserve">prior to the last day of such Interest Period that occurs at intervals of three months’ duration after the first day of such Interest Period </w:t>
      </w:r>
      <w:r>
        <w:rPr>
          <w:rFonts w:ascii="Arial" w:cs="Arial" w:eastAsia="Arial" w:hAnsi="Arial"/>
          <w:sz w:val="18"/>
          <w:szCs w:val="18"/>
          <w:color w:val="0000FF"/>
        </w:rPr>
        <w:t>and the maturity date</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applicable to such Loan</w:t>
      </w:r>
      <w:r>
        <w:rPr>
          <w:rFonts w:ascii="Arial" w:cs="Arial" w:eastAsia="Arial" w:hAnsi="Arial"/>
          <w:sz w:val="18"/>
          <w:szCs w:val="18"/>
          <w:color w:val="000000"/>
        </w:rPr>
        <w: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any </w:t>
      </w:r>
      <w:r>
        <w:rPr>
          <w:rFonts w:ascii="Arial" w:cs="Arial" w:eastAsia="Arial" w:hAnsi="Arial"/>
          <w:sz w:val="17"/>
          <w:szCs w:val="17"/>
          <w:color w:val="FF0000"/>
          <w:strike w:val="1"/>
        </w:rPr>
        <w:t>Eurocurrency</w:t>
      </w:r>
      <w:r>
        <w:rPr>
          <w:rFonts w:ascii="Arial" w:cs="Arial" w:eastAsia="Arial" w:hAnsi="Arial"/>
          <w:sz w:val="17"/>
          <w:szCs w:val="17"/>
          <w:u w:val="single" w:color="auto"/>
          <w:color w:val="0000FF"/>
          <w:highlight w:val="lightGray"/>
        </w:rPr>
        <w:t>Term SOFR</w:t>
      </w:r>
      <w:r>
        <w:rPr>
          <w:rFonts w:ascii="Arial" w:cs="Arial" w:eastAsia="Arial" w:hAnsi="Arial"/>
          <w:sz w:val="17"/>
          <w:szCs w:val="17"/>
          <w:color w:val="auto"/>
        </w:rPr>
        <w:t xml:space="preserve"> Borrowing, the period commencing on the date of such Borrowing and</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ending on the numerically corresponding day in the calendar month that is one, three or six months thereafter as selected by the Borrower in its Borrowing Request (or, if agreed to by each Lender participating therein, twelve months or such other period less than one month thereafter as the Borrower may 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any Interest Period would end on a day other than a Business Day, such Interest Period shall be extended to the next succeeding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Interest Period. For purposes hereof, the date of a Borrowing initially shall be the date on which such Borrowing is made and thereafter shall be the effective date of the most recent conversion or continuation of such Borrowing.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 Person, whether by means of (a) the purchase or</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other acquisition of Equity Interests or Indebtedness or other securities of another Person, (b) a loan, advance or capital contribution to, Guarantee or assumption of Indebtedness of, or purchase or other acquisition of any other Indebtedness or equity participation or interest in, another Person, including any partnership or joint venture interest in such other Person (excluding, in the case of Holdings, the Borrower and its Restricted Subsidiaries, their parent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companies and their subsidiaries (i) 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w:t>
      </w:r>
    </w:p>
    <w:p>
      <w:pPr>
        <w:spacing w:after="0" w:line="231" w:lineRule="auto"/>
        <w:rPr>
          <w:sz w:val="20"/>
          <w:szCs w:val="20"/>
          <w:color w:val="auto"/>
        </w:rPr>
      </w:pPr>
      <w:r>
        <w:rPr>
          <w:rFonts w:ascii="Arial" w:cs="Arial" w:eastAsia="Arial" w:hAnsi="Arial"/>
          <w:sz w:val="16"/>
          <w:szCs w:val="16"/>
          <w:color w:val="auto"/>
        </w:rPr>
        <w:t>business of another Person or assets constituting a business unit, line of business or division of such Person. The amount, as of any date of determination, of</w:t>
      </w:r>
    </w:p>
    <w:p>
      <w:pPr>
        <w:jc w:val="both"/>
        <w:ind w:firstLine="8"/>
        <w:spacing w:after="0"/>
        <w:tabs>
          <w:tab w:leader="none" w:pos="226"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any Investment in the form of a loan or an advance shall be the principal amount thereof outstanding on such date, minus 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(ii)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(iii) any Investment in the form of a transfer of Equity Interests or other non-cash property by the investor to the investee, including any such transfer in the form of a capital contribution, shall be the Fair Market Value of such Equity Interests or other property as of the time of the transfer, minus any payments actually received by such investor representing a return of capital of, or dividends or other distributions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(iv) any Investment (other than any Investment referred to in clause (i), (ii) or (iii)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plus (A) the cost of all additions thereto and minus (B)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this clause (B)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w:t>
      </w:r>
      <w:r>
        <w:rPr>
          <w:rFonts w:ascii="Arial" w:cs="Arial" w:eastAsia="Arial" w:hAnsi="Arial"/>
          <w:sz w:val="16"/>
          <w:szCs w:val="16"/>
          <w:u w:val="single" w:color="auto"/>
          <w:color w:val="auto"/>
        </w:rPr>
        <w:t>Section 6.04</w:t>
      </w:r>
      <w:r>
        <w:rPr>
          <w:rFonts w:ascii="Arial" w:cs="Arial" w:eastAsia="Arial" w:hAnsi="Arial"/>
          <w:sz w:val="16"/>
          <w:szCs w:val="16"/>
          <w:color w:val="auto"/>
        </w:rPr>
        <w:t>, if an Investment involves the acquisition of more than one Person, the amount of such Investment shall be allocated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36</w:t>
      </w:r>
    </w:p>
    <w:p>
      <w:pPr>
        <w:sectPr>
          <w:pgSz w:w="11900" w:h="16838" w:orient="portrait"/>
          <w:cols w:equalWidth="0" w:num="1">
            <w:col w:w="11240"/>
          </w:cols>
          <w:pgMar w:left="320" w:top="1440" w:right="339" w:bottom="1440" w:gutter="0" w:footer="0" w:header="0"/>
        </w:sectPr>
      </w:pPr>
    </w:p>
    <w:bookmarkStart w:id="94" w:name="page95"/>
    <w:bookmarkEnd w:id="94"/>
    <w:p>
      <w:pPr>
        <w:spacing w:after="0" w:line="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among the acquired Persons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pending the final determination of the amounts to be so allocated in accordance with GAAP, such allocation shall be as reasonably determined by a Financial Officer.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means a holder of Equity Interests in Holdings (or any direct or indirect parent thereof).</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public offering of common Equity Interests of Parent on or prior to the Effective Date.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CD Definitions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9.02(h)</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ISP98</w:t>
      </w:r>
      <w:r>
        <w:rPr>
          <w:rFonts w:ascii="Arial" w:cs="Arial" w:eastAsia="Arial" w:hAnsi="Arial"/>
          <w:sz w:val="18"/>
          <w:szCs w:val="18"/>
          <w:color w:val="auto"/>
        </w:rPr>
        <w:t>” means the “International Standby Practices 1998” published by the Institute of International Banking Law &amp; Practice, Inc. (or such later version thereof as may be in effect at the time of issuance).</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Issuing Bank</w:t>
      </w:r>
      <w:r>
        <w:rPr>
          <w:rFonts w:ascii="Arial" w:cs="Arial" w:eastAsia="Arial" w:hAnsi="Arial"/>
          <w:sz w:val="16"/>
          <w:szCs w:val="16"/>
          <w:color w:val="auto"/>
        </w:rPr>
        <w:t xml:space="preserve">” means (a) each Person listed on </w:t>
      </w:r>
      <w:r>
        <w:rPr>
          <w:rFonts w:ascii="Arial" w:cs="Arial" w:eastAsia="Arial" w:hAnsi="Arial"/>
          <w:sz w:val="16"/>
          <w:szCs w:val="16"/>
          <w:u w:val="single" w:color="auto"/>
          <w:color w:val="auto"/>
        </w:rPr>
        <w:t>Schedule 2.01(b)</w:t>
      </w:r>
      <w:r>
        <w:rPr>
          <w:rFonts w:ascii="Arial" w:cs="Arial" w:eastAsia="Arial" w:hAnsi="Arial"/>
          <w:sz w:val="16"/>
          <w:szCs w:val="16"/>
          <w:color w:val="auto"/>
        </w:rPr>
        <w:t xml:space="preserve"> with respect to such Person’s Letter of Credit Commitment and (b) each other Person that shall have become an Issuing Bank hereunder as provided in </w:t>
      </w:r>
      <w:r>
        <w:rPr>
          <w:rFonts w:ascii="Arial" w:cs="Arial" w:eastAsia="Arial" w:hAnsi="Arial"/>
          <w:sz w:val="16"/>
          <w:szCs w:val="16"/>
          <w:u w:val="single" w:color="auto"/>
          <w:color w:val="auto"/>
        </w:rPr>
        <w:t>Section 2.05(k)</w:t>
      </w:r>
      <w:r>
        <w:rPr>
          <w:rFonts w:ascii="Arial" w:cs="Arial" w:eastAsia="Arial" w:hAnsi="Arial"/>
          <w:sz w:val="16"/>
          <w:szCs w:val="16"/>
          <w:color w:val="auto"/>
        </w:rPr>
        <w:t xml:space="preserve"> (other than any Person that shall have ceased to be an Issuing</w:t>
      </w:r>
    </w:p>
    <w:p>
      <w:pPr>
        <w:jc w:val="both"/>
        <w:spacing w:after="0" w:line="234" w:lineRule="auto"/>
        <w:rPr>
          <w:sz w:val="20"/>
          <w:szCs w:val="20"/>
          <w:color w:val="auto"/>
        </w:rPr>
      </w:pPr>
      <w:r>
        <w:rPr>
          <w:rFonts w:ascii="Arial" w:cs="Arial" w:eastAsia="Arial" w:hAnsi="Arial"/>
          <w:sz w:val="16"/>
          <w:szCs w:val="16"/>
          <w:color w:val="auto"/>
        </w:rPr>
        <w:t xml:space="preserve">Bank as provided in </w:t>
      </w:r>
      <w:r>
        <w:rPr>
          <w:rFonts w:ascii="Arial" w:cs="Arial" w:eastAsia="Arial" w:hAnsi="Arial"/>
          <w:sz w:val="16"/>
          <w:szCs w:val="16"/>
          <w:u w:val="single" w:color="auto"/>
          <w:color w:val="auto"/>
        </w:rPr>
        <w:t>Section 2.05(l)</w:t>
      </w:r>
      <w:r>
        <w:rPr>
          <w:rFonts w:ascii="Arial" w:cs="Arial" w:eastAsia="Arial" w:hAnsi="Arial"/>
          <w:sz w:val="16"/>
          <w:szCs w:val="16"/>
          <w:color w:val="auto"/>
        </w:rPr>
        <w:t xml:space="preserve"> ),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 and for all purposes of the Loan Documents. Each Issuing Bank may cause Letters of Credit to be</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issued by unaffiliated financial institutions and such Letters of Credit shall be treated as issued by such Issuing Bank for all purposes under the Loan Documents. In the event that there is more than one Issuing Bank at any time, references herein and in the other Loan Documents to the Issuing Bank shall be deemed to refer to the Issuing Bank in respect of the applicable Letter of Credit or to all Issuing Banks, as the context requires.</w:t>
      </w:r>
    </w:p>
    <w:p>
      <w:pPr>
        <w:spacing w:after="0" w:line="170"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Bookrunners</w:t>
      </w:r>
      <w:r>
        <w:rPr>
          <w:rFonts w:ascii="Arial" w:cs="Arial" w:eastAsia="Arial" w:hAnsi="Arial"/>
          <w:sz w:val="18"/>
          <w:szCs w:val="18"/>
          <w:color w:val="auto"/>
        </w:rPr>
        <w:t>” means KKR Capital Markets LLC, Goldman Sachs Bank USA, JPMorgan Chase Bank, N.A., RBC Capital Markets</w:t>
      </w:r>
      <w:r>
        <w:rPr>
          <w:rFonts w:ascii="Arial" w:cs="Arial" w:eastAsia="Arial" w:hAnsi="Arial"/>
          <w:sz w:val="23"/>
          <w:szCs w:val="23"/>
          <w:color w:val="auto"/>
          <w:vertAlign w:val="superscript"/>
        </w:rPr>
        <w:t>2</w:t>
      </w:r>
      <w:r>
        <w:rPr>
          <w:rFonts w:ascii="Arial" w:cs="Arial" w:eastAsia="Arial" w:hAnsi="Arial"/>
          <w:sz w:val="18"/>
          <w:szCs w:val="18"/>
          <w:color w:val="auto"/>
        </w:rPr>
        <w:t>, Barclays Bank PLC, Deutsche Bank Securities Inc. and Jefferies Finance LLC.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9.14(b)</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Financing</w:t>
      </w:r>
      <w:r>
        <w:rPr>
          <w:rFonts w:ascii="Arial" w:cs="Arial" w:eastAsia="Arial" w:hAnsi="Arial"/>
          <w:sz w:val="17"/>
          <w:szCs w:val="17"/>
          <w:color w:val="auto"/>
        </w:rPr>
        <w:t>” means any Material Indebtedness of any Loan Party (other than any permitted intercompany Indebtedness owing to Holdings, the Borrower or any Restricted Subsidiary) that is contractually subordinated in right of payment to the Loan Document Obligations.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Latest Maturity Date</w:t>
      </w:r>
      <w:r>
        <w:rPr>
          <w:rFonts w:ascii="Arial" w:cs="Arial" w:eastAsia="Arial" w:hAnsi="Arial"/>
          <w:sz w:val="17"/>
          <w:szCs w:val="17"/>
          <w:color w:val="auto"/>
        </w:rPr>
        <w:t>” means, at any date of determination, the latest maturity or expiration date applicable to any Loan or Commitment</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hereunder at such time, including the latest maturity or expiration date of any Other Term Loan, any Other Term Commitment, any Other Revolving Loan or any Other Revolving Commitment, in each case as extended in accordance with this Agreement from time to time.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Exposure</w:t>
      </w:r>
      <w:r>
        <w:rPr>
          <w:rFonts w:ascii="Arial" w:cs="Arial" w:eastAsia="Arial" w:hAnsi="Arial"/>
          <w:sz w:val="16"/>
          <w:szCs w:val="16"/>
          <w:color w:val="auto"/>
        </w:rPr>
        <w:t>” means, at any time, the sum of (a) the Dollar Equivalent of the aggregate amount of all Letters of Credit that remains available for drawing at such time (including, without limitation, any and all Letters of Credit for which documents have been presented that have not been honored or dishonored) and (b) the Dollar Equivalent of the aggregate amount of all LC Disbursements that have not yet been reimbursed by or on behalf of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Rule 3.14 of the ISP98, such Letter of Credit shall be deemed to be “outstanding” in the amount so remaining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available to be drawn. Unless otherwise specified herein, the amount of a Letter of Credit at any time shall be deemed to be the stated amount of such Letter of Credit in effect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that with respect to any Letter of Credit that, by its terms or the terms of any document related thereto, provides for one or more automatic increases in the stated amount thereof, the amount of such Letter of Credit shall be deemed to be the maximum stated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amount of such Letter of Credit after giving effect to all such increases, whether or not such maximum stated amount is in effect at such time.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Election</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1.088</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1.088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714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8" w:lineRule="exact"/>
        <w:rPr>
          <w:sz w:val="20"/>
          <w:szCs w:val="20"/>
          <w:color w:val="auto"/>
        </w:rPr>
      </w:pPr>
    </w:p>
    <w:p>
      <w:pPr>
        <w:ind w:left="120" w:hanging="112"/>
        <w:spacing w:after="0"/>
        <w:tabs>
          <w:tab w:leader="none" w:pos="120" w:val="left"/>
        </w:tabs>
        <w:numPr>
          <w:ilvl w:val="0"/>
          <w:numId w:val="65"/>
        </w:numPr>
        <w:rPr>
          <w:rFonts w:ascii="Arial" w:cs="Arial" w:eastAsia="Arial" w:hAnsi="Arial"/>
          <w:sz w:val="23"/>
          <w:szCs w:val="23"/>
          <w:color w:val="auto"/>
          <w:vertAlign w:val="superscript"/>
        </w:rPr>
      </w:pPr>
      <w:r>
        <w:rPr>
          <w:rFonts w:ascii="Arial" w:cs="Arial" w:eastAsia="Arial" w:hAnsi="Arial"/>
          <w:sz w:val="18"/>
          <w:szCs w:val="18"/>
          <w:color w:val="auto"/>
        </w:rPr>
        <w:t>RBC Capital Markets is a brand name for the capital markets activities of Royal Bank of Canada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37</w:t>
      </w:r>
    </w:p>
    <w:p>
      <w:pPr>
        <w:sectPr>
          <w:pgSz w:w="11900" w:h="16838" w:orient="portrait"/>
          <w:cols w:equalWidth="0" w:num="1">
            <w:col w:w="11240"/>
          </w:cols>
          <w:pgMar w:left="320" w:top="1440" w:right="339" w:bottom="1440" w:gutter="0" w:footer="0" w:header="0"/>
        </w:sectPr>
      </w:pPr>
    </w:p>
    <w:bookmarkStart w:id="95" w:name="page96"/>
    <w:bookmarkEnd w:id="95"/>
    <w:p>
      <w:pPr>
        <w:spacing w:after="0" w:line="57"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Arrangers</w:t>
      </w:r>
      <w:r>
        <w:rPr>
          <w:rFonts w:ascii="Arial" w:cs="Arial" w:eastAsia="Arial" w:hAnsi="Arial"/>
          <w:sz w:val="18"/>
          <w:szCs w:val="18"/>
          <w:color w:val="auto"/>
        </w:rPr>
        <w:t>” means KKR Capital Markets LLC, Goldman Sachs Bank USA, JPMorgan Chase Bank, N.A., RBC Capital Markets</w:t>
      </w:r>
      <w:r>
        <w:rPr>
          <w:rFonts w:ascii="Arial" w:cs="Arial" w:eastAsia="Arial" w:hAnsi="Arial"/>
          <w:sz w:val="23"/>
          <w:szCs w:val="23"/>
          <w:color w:val="auto"/>
          <w:vertAlign w:val="superscript"/>
        </w:rPr>
        <w:t>3</w:t>
      </w:r>
      <w:r>
        <w:rPr>
          <w:rFonts w:ascii="Arial" w:cs="Arial" w:eastAsia="Arial" w:hAnsi="Arial"/>
          <w:sz w:val="18"/>
          <w:szCs w:val="18"/>
          <w:color w:val="auto"/>
        </w:rPr>
        <w:t>, Barclays Bank PLC, Deutsche Bank Securities Inc., Jefferies Finance LLC and the Amendment No. 1 Lead Arrangers.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means the Term Lenders, the Revolving Lenders and any other Person that shall have become a party hereto pursuant to an Assignment</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and Assumption, an Incremental Facility Amendment, a Loan Modification Agreement or a Refinancing Amendment, in each case, other than any such Person that ceases to be a party hereto pursuant to an Assignment and Assumption. Unless the context otherwise requires, the term “Lenders” includes each Issuing Bank.</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Lender-Related Person</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9.03(c)</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Lending Office</w:t>
      </w:r>
      <w:r>
        <w:rPr>
          <w:rFonts w:ascii="Arial" w:cs="Arial" w:eastAsia="Arial" w:hAnsi="Arial"/>
          <w:sz w:val="16"/>
          <w:szCs w:val="16"/>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w:t>
      </w:r>
    </w:p>
    <w:p>
      <w:pPr>
        <w:jc w:val="both"/>
        <w:spacing w:after="0" w:line="226" w:lineRule="auto"/>
        <w:rPr>
          <w:sz w:val="20"/>
          <w:szCs w:val="20"/>
          <w:color w:val="auto"/>
        </w:rPr>
      </w:pPr>
      <w:r>
        <w:rPr>
          <w:rFonts w:ascii="Arial" w:cs="Arial" w:eastAsia="Arial" w:hAnsi="Arial"/>
          <w:sz w:val="18"/>
          <w:szCs w:val="18"/>
          <w:color w:val="auto"/>
        </w:rPr>
        <w:t>of such Lender or any domestic or foreign branch of such Lender or such Affiliate. Unless the context otherwise requires, each reference to a Lender shall include its applicable Lending Office.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w:t>
      </w:r>
      <w:r>
        <w:rPr>
          <w:rFonts w:ascii="Arial" w:cs="Arial" w:eastAsia="Arial" w:hAnsi="Arial"/>
          <w:sz w:val="16"/>
          <w:szCs w:val="16"/>
          <w:color w:val="auto"/>
        </w:rPr>
        <w:t>” means any letter of credit issued pursuant to this Agreement other than any such letter of credit that shall have ceased to be a</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“Letter of Credit” outstanding hereunder pursuant to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A Letter of Credit may be a commercial letter of credit or a standby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no Issuing Bank shall be required to issue commercial letters of credit and (ii) if any Issuing Bank agrees to issue any commercial letter of credit hereunder, such commercial letter of credit shall provide solely for cash payment upon presentation of a sight draft. Jefferies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Finance LLC shall not be required to issue any Letters of Credit other than standby Letters of Credit denominated in US Dollars.</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Commitment</w:t>
      </w:r>
      <w:r>
        <w:rPr>
          <w:rFonts w:ascii="Arial" w:cs="Arial" w:eastAsia="Arial" w:hAnsi="Arial"/>
          <w:sz w:val="16"/>
          <w:szCs w:val="16"/>
          <w:color w:val="auto"/>
        </w:rPr>
        <w:t xml:space="preserve">” means an amount, as of the Effective Date, equal to $20,000,000;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to any Issuing Bank, such Issuing Bank’s Letter of Credit Commitment shall not exceed the amount set forth on </w:t>
      </w:r>
      <w:r>
        <w:rPr>
          <w:rFonts w:ascii="Arial" w:cs="Arial" w:eastAsia="Arial" w:hAnsi="Arial"/>
          <w:sz w:val="16"/>
          <w:szCs w:val="16"/>
          <w:u w:val="single" w:color="auto"/>
          <w:color w:val="auto"/>
        </w:rPr>
        <w:t>Schedule 2.01(b)</w:t>
      </w:r>
      <w:r>
        <w:rPr>
          <w:rFonts w:ascii="Arial" w:cs="Arial" w:eastAsia="Arial" w:hAnsi="Arial"/>
          <w:sz w:val="16"/>
          <w:szCs w:val="16"/>
          <w:color w:val="auto"/>
        </w:rPr>
        <w:t xml:space="preserve"> opposite such Issuing Bank’s name or, in the case of</w:t>
      </w:r>
    </w:p>
    <w:p>
      <w:pPr>
        <w:jc w:val="both"/>
        <w:spacing w:after="0" w:line="218" w:lineRule="auto"/>
        <w:rPr>
          <w:sz w:val="20"/>
          <w:szCs w:val="20"/>
          <w:color w:val="auto"/>
        </w:rPr>
      </w:pPr>
      <w:r>
        <w:rPr>
          <w:rFonts w:ascii="Arial" w:cs="Arial" w:eastAsia="Arial" w:hAnsi="Arial"/>
          <w:sz w:val="18"/>
          <w:szCs w:val="18"/>
          <w:color w:val="auto"/>
        </w:rPr>
        <w:t xml:space="preserve">an Issuing Bank that becomes an Issuing Bank after the Effective Date, the amount notified in writing to the Administrative Agent by the Borrower and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Letter of Credit Commitment of any Issuing Bank may be increased or decreased if agreed in writing between the Borrower and such Issuing Bank (each acting in its sole discretion) and notified to the Administrative Agent.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Expiration Date</w:t>
      </w:r>
      <w:r>
        <w:rPr>
          <w:rFonts w:ascii="Arial" w:cs="Arial" w:eastAsia="Arial" w:hAnsi="Arial"/>
          <w:sz w:val="16"/>
          <w:szCs w:val="16"/>
          <w:color w:val="auto"/>
        </w:rPr>
        <w:t>” means the day that is three (3) Business Days prior to the Maturity Date then in effect for the Revolving Credit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means the recorded liabilities (including contingent liabilities that would be recorded in accordance with GAAP) of the Borrower and</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its Subsidiaries taken as a whole, as of the Effective Date after giving effect to the consummation of the Transactions, determined in accordance with GAAP consistently applied.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LIBO Rate</w:t>
      </w:r>
      <w:r>
        <w:rPr>
          <w:rFonts w:ascii="Arial" w:cs="Arial" w:eastAsia="Arial" w:hAnsi="Arial"/>
          <w:sz w:val="18"/>
          <w:szCs w:val="18"/>
          <w:color w:val="FF0000"/>
          <w:strike w:val="1"/>
        </w:rPr>
        <w:t>” means:</w:t>
      </w:r>
    </w:p>
    <w:p>
      <w:pPr>
        <w:spacing w:after="0" w:line="198" w:lineRule="exact"/>
        <w:rPr>
          <w:sz w:val="20"/>
          <w:szCs w:val="20"/>
          <w:color w:val="auto"/>
        </w:rPr>
      </w:pPr>
    </w:p>
    <w:p>
      <w:pPr>
        <w:jc w:val="both"/>
        <w:ind w:left="660" w:firstLine="644"/>
        <w:spacing w:after="0" w:line="232" w:lineRule="auto"/>
        <w:tabs>
          <w:tab w:leader="none" w:pos="1726" w:val="left"/>
        </w:tabs>
        <w:numPr>
          <w:ilvl w:val="0"/>
          <w:numId w:val="66"/>
        </w:numPr>
        <w:rPr>
          <w:rFonts w:ascii="Arial" w:cs="Arial" w:eastAsia="Arial" w:hAnsi="Arial"/>
          <w:sz w:val="17"/>
          <w:szCs w:val="17"/>
          <w:color w:val="FF0000"/>
          <w:strike w:val="1"/>
        </w:rPr>
      </w:pPr>
      <w:r>
        <w:rPr>
          <w:rFonts w:ascii="Arial" w:cs="Arial" w:eastAsia="Arial" w:hAnsi="Arial"/>
          <w:sz w:val="17"/>
          <w:szCs w:val="17"/>
          <w:color w:val="FF0000"/>
          <w:strike w:val="1"/>
        </w:rPr>
        <w:t xml:space="preserve">for any Interest </w:t>
      </w:r>
      <w:r>
        <w:rPr>
          <w:rFonts w:ascii="Arial" w:cs="Arial" w:eastAsia="Arial" w:hAnsi="Arial"/>
          <w:sz w:val="17"/>
          <w:szCs w:val="17"/>
          <w:color w:val="008000"/>
          <w:strike w:val="1"/>
        </w:rPr>
        <w:t>Period with respect to a</w:t>
      </w:r>
      <w:r>
        <w:rPr>
          <w:rFonts w:ascii="Arial" w:cs="Arial" w:eastAsia="Arial" w:hAnsi="Arial"/>
          <w:sz w:val="17"/>
          <w:szCs w:val="17"/>
          <w:color w:val="FF0000"/>
          <w:strike w:val="1"/>
        </w:rPr>
        <w:t xml:space="preserve"> Eurocurrency Borrowing, the rate per annum equal to the London Interbank Offered Rate (“</w:t>
      </w:r>
      <w:r>
        <w:rPr>
          <w:rFonts w:ascii="Arial" w:cs="Arial" w:eastAsia="Arial" w:hAnsi="Arial"/>
          <w:sz w:val="17"/>
          <w:szCs w:val="17"/>
          <w:u w:val="single" w:color="auto"/>
          <w:color w:val="FF0000"/>
          <w:strike w:val="1"/>
        </w:rPr>
        <w:t>LIBOR</w:t>
      </w:r>
      <w:r>
        <w:rPr>
          <w:rFonts w:ascii="Arial" w:cs="Arial" w:eastAsia="Arial" w:hAnsi="Arial"/>
          <w:sz w:val="17"/>
          <w:szCs w:val="17"/>
          <w:color w:val="FF0000"/>
          <w:strike w:val="1"/>
        </w:rPr>
        <w:t xml:space="preserve">”) or a comparable or successor rate established pursuant to </w:t>
      </w:r>
      <w:r>
        <w:rPr>
          <w:rFonts w:ascii="Arial" w:cs="Arial" w:eastAsia="Arial" w:hAnsi="Arial"/>
          <w:sz w:val="17"/>
          <w:szCs w:val="17"/>
          <w:u w:val="single" w:color="auto"/>
          <w:color w:val="FF0000"/>
          <w:strike w:val="1"/>
        </w:rPr>
        <w:t>Section 2.14</w:t>
      </w:r>
      <w:r>
        <w:rPr>
          <w:rFonts w:ascii="Arial" w:cs="Arial" w:eastAsia="Arial" w:hAnsi="Arial"/>
          <w:sz w:val="17"/>
          <w:szCs w:val="17"/>
          <w:color w:val="FF0000"/>
          <w:strike w:val="1"/>
        </w:rPr>
        <w:t xml:space="preserve">, as published on the applicable Bloomberg screen page (or such other commercially available source providing quotations of LIBOR as may be designated by the Administrative Agent from time to time) at approximately 11:00 a.m., London time, two </w:t>
      </w:r>
      <w:r>
        <w:rPr>
          <w:rFonts w:ascii="Arial" w:cs="Arial" w:eastAsia="Arial" w:hAnsi="Arial"/>
          <w:sz w:val="17"/>
          <w:szCs w:val="17"/>
          <w:color w:val="008000"/>
          <w:strike w:val="1"/>
        </w:rPr>
        <w:t>Business Days prior to the commencement of such</w:t>
      </w:r>
      <w:r>
        <w:rPr>
          <w:rFonts w:ascii="Arial" w:cs="Arial" w:eastAsia="Arial" w:hAnsi="Arial"/>
          <w:sz w:val="17"/>
          <w:szCs w:val="17"/>
          <w:color w:val="FF0000"/>
          <w:strike w:val="1"/>
        </w:rPr>
        <w:t xml:space="preserve"> Interest Period, for dollar deposits (for delivery on the first day of such Interest Period) with a term equivalent to such Interest Period; and</w:t>
      </w:r>
    </w:p>
    <w:p>
      <w:pPr>
        <w:spacing w:after="0" w:line="162" w:lineRule="exact"/>
        <w:rPr>
          <w:rFonts w:ascii="Arial" w:cs="Arial" w:eastAsia="Arial" w:hAnsi="Arial"/>
          <w:sz w:val="17"/>
          <w:szCs w:val="17"/>
          <w:color w:val="FF0000"/>
          <w:strike w:val="1"/>
        </w:rPr>
      </w:pPr>
    </w:p>
    <w:p>
      <w:pPr>
        <w:jc w:val="both"/>
        <w:ind w:left="660" w:firstLine="644"/>
        <w:spacing w:after="0" w:line="229" w:lineRule="auto"/>
        <w:tabs>
          <w:tab w:leader="none" w:pos="1739" w:val="left"/>
        </w:tabs>
        <w:numPr>
          <w:ilvl w:val="0"/>
          <w:numId w:val="66"/>
        </w:numPr>
        <w:rPr>
          <w:rFonts w:ascii="Arial" w:cs="Arial" w:eastAsia="Arial" w:hAnsi="Arial"/>
          <w:sz w:val="18"/>
          <w:szCs w:val="18"/>
          <w:color w:val="FF0000"/>
          <w:strike w:val="1"/>
        </w:rPr>
      </w:pPr>
      <w:r>
        <w:rPr>
          <w:rFonts w:ascii="Arial" w:cs="Arial" w:eastAsia="Arial" w:hAnsi="Arial"/>
          <w:sz w:val="18"/>
          <w:szCs w:val="18"/>
          <w:color w:val="FF0000"/>
          <w:strike w:val="1"/>
        </w:rPr>
        <w:t>for any interest calculation with respect to an ABR Borrowing on any date</w:t>
      </w:r>
      <w:r>
        <w:rPr>
          <w:rFonts w:ascii="Arial" w:cs="Arial" w:eastAsia="Arial" w:hAnsi="Arial"/>
          <w:sz w:val="18"/>
          <w:szCs w:val="18"/>
          <w:color w:val="008000"/>
          <w:strike w:val="1"/>
        </w:rPr>
        <w:t>, the rate per annum equal to</w:t>
      </w:r>
      <w:r>
        <w:rPr>
          <w:rFonts w:ascii="Arial" w:cs="Arial" w:eastAsia="Arial" w:hAnsi="Arial"/>
          <w:sz w:val="18"/>
          <w:szCs w:val="18"/>
          <w:color w:val="FF0000"/>
          <w:strike w:val="1"/>
        </w:rPr>
        <w:t xml:space="preserve"> LIBOR, at approximately 11:00 a.m., London time determined two London Banking Days prior to such date for dollar deposits with a term of one month commencing that day;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u w:val="single" w:color="auto"/>
          <w:color w:val="FF0000"/>
          <w:strike w:val="1"/>
        </w:rPr>
        <w:t xml:space="preserve">provided </w:t>
      </w:r>
      <w:r>
        <w:rPr>
          <w:rFonts w:ascii="Arial" w:cs="Arial" w:eastAsia="Arial" w:hAnsi="Arial"/>
          <w:sz w:val="16"/>
          <w:szCs w:val="16"/>
          <w:color w:val="FF0000"/>
          <w:strike w:val="1"/>
        </w:rPr>
        <w:t>that to the extent a comparable or successor rate is established pursuant to</w:t>
      </w:r>
      <w:r>
        <w:rPr>
          <w:rFonts w:ascii="Arial" w:cs="Arial" w:eastAsia="Arial" w:hAnsi="Arial"/>
          <w:sz w:val="16"/>
          <w:szCs w:val="16"/>
          <w:u w:val="single" w:color="auto"/>
          <w:color w:val="FF0000"/>
          <w:strike w:val="1"/>
        </w:rPr>
        <w:t xml:space="preserve"> Section 2.14</w:t>
      </w:r>
      <w:r>
        <w:rPr>
          <w:rFonts w:ascii="Arial" w:cs="Arial" w:eastAsia="Arial" w:hAnsi="Arial"/>
          <w:sz w:val="16"/>
          <w:szCs w:val="16"/>
          <w:color w:val="FF0000"/>
          <w:strike w:val="1"/>
        </w:rPr>
        <w:t>, such established rate shall be applied</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008000"/>
          <w:strike w:val="1"/>
        </w:rPr>
        <w:t>to the applicable</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008000"/>
          <w:strike w:val="1"/>
        </w:rPr>
        <w:t xml:space="preserve">Interest Period </w:t>
      </w:r>
      <w:r>
        <w:rPr>
          <w:rFonts w:ascii="Arial" w:cs="Arial" w:eastAsia="Arial" w:hAnsi="Arial"/>
          <w:sz w:val="18"/>
          <w:szCs w:val="18"/>
          <w:color w:val="FF0000"/>
          <w:strike w:val="1"/>
        </w:rPr>
        <w:t>in a manner consistent with market practice;</w:t>
      </w:r>
      <w:r>
        <w:rPr>
          <w:rFonts w:ascii="Arial" w:cs="Arial" w:eastAsia="Arial" w:hAnsi="Arial"/>
          <w:sz w:val="18"/>
          <w:szCs w:val="18"/>
          <w:color w:val="008000"/>
          <w:strike w:val="1"/>
        </w:rPr>
        <w:t xml:space="preserv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w:t>
      </w:r>
      <w:r>
        <w:rPr>
          <w:rFonts w:ascii="Arial" w:cs="Arial" w:eastAsia="Arial" w:hAnsi="Arial"/>
          <w:sz w:val="18"/>
          <w:szCs w:val="18"/>
          <w:color w:val="008000"/>
          <w:strike w:val="1"/>
        </w:rPr>
        <w:t xml:space="preserve"> </w:t>
      </w:r>
      <w:r>
        <w:rPr>
          <w:rFonts w:ascii="Arial" w:cs="Arial" w:eastAsia="Arial" w:hAnsi="Arial"/>
          <w:sz w:val="18"/>
          <w:szCs w:val="18"/>
          <w:u w:val="single" w:color="auto"/>
          <w:color w:val="FF0000"/>
          <w:strike w:val="1"/>
        </w:rPr>
        <w:t>further</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that to the extent such market practice is not administratively feasible for the</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Administrative Agent, such approved rate shall be applied to the applicable Interest Period as otherwise reasonably determined by the Administrative Agent with the consent of the Borrower (such consent not to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14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6" w:lineRule="exact"/>
        <w:rPr>
          <w:sz w:val="20"/>
          <w:szCs w:val="20"/>
          <w:color w:val="auto"/>
        </w:rPr>
      </w:pPr>
    </w:p>
    <w:p>
      <w:pPr>
        <w:ind w:left="120" w:hanging="112"/>
        <w:spacing w:after="0"/>
        <w:tabs>
          <w:tab w:leader="none" w:pos="120" w:val="left"/>
        </w:tabs>
        <w:numPr>
          <w:ilvl w:val="0"/>
          <w:numId w:val="67"/>
        </w:numPr>
        <w:rPr>
          <w:rFonts w:ascii="Arial" w:cs="Arial" w:eastAsia="Arial" w:hAnsi="Arial"/>
          <w:sz w:val="23"/>
          <w:szCs w:val="23"/>
          <w:color w:val="auto"/>
          <w:vertAlign w:val="superscript"/>
        </w:rPr>
      </w:pPr>
      <w:r>
        <w:rPr>
          <w:rFonts w:ascii="Arial" w:cs="Arial" w:eastAsia="Arial" w:hAnsi="Arial"/>
          <w:sz w:val="18"/>
          <w:szCs w:val="18"/>
          <w:color w:val="auto"/>
        </w:rPr>
        <w:t>RBC Capital Markets is a brand name for the capital markets activities of Royal Bank of Canada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38</w:t>
      </w:r>
    </w:p>
    <w:p>
      <w:pPr>
        <w:sectPr>
          <w:pgSz w:w="11900" w:h="16838" w:orient="portrait"/>
          <w:cols w:equalWidth="0" w:num="1">
            <w:col w:w="11240"/>
          </w:cols>
          <w:pgMar w:left="320" w:top="1440" w:right="339" w:bottom="1440" w:gutter="0" w:footer="0" w:header="0"/>
        </w:sectPr>
      </w:pPr>
    </w:p>
    <w:bookmarkStart w:id="96" w:name="page97"/>
    <w:bookmarkEnd w:id="96"/>
    <w:p>
      <w:pPr>
        <w:spacing w:after="0" w:line="63"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FF0000"/>
          <w:strike w:val="1"/>
        </w:rPr>
        <w:t>Notwithstanding the foregoing, (i</w:t>
      </w:r>
      <w:r>
        <w:rPr>
          <w:rFonts w:ascii="Arial" w:cs="Arial" w:eastAsia="Arial" w:hAnsi="Arial"/>
          <w:sz w:val="18"/>
          <w:szCs w:val="18"/>
          <w:color w:val="008000"/>
          <w:strike w:val="1"/>
        </w:rPr>
        <w:t>) with respect to the Revolving Credit Facility,</w:t>
      </w:r>
      <w:r>
        <w:rPr>
          <w:rFonts w:ascii="Arial" w:cs="Arial" w:eastAsia="Arial" w:hAnsi="Arial"/>
          <w:sz w:val="18"/>
          <w:szCs w:val="18"/>
          <w:color w:val="FF0000"/>
          <w:strike w:val="1"/>
        </w:rPr>
        <w:t xml:space="preserve"> in no event shall the LIBO Rate be deemed to be less than 0.00% and (ii</w:t>
      </w:r>
      <w:r>
        <w:rPr>
          <w:rFonts w:ascii="Arial" w:cs="Arial" w:eastAsia="Arial" w:hAnsi="Arial"/>
          <w:sz w:val="18"/>
          <w:szCs w:val="18"/>
          <w:color w:val="008000"/>
          <w:strike w:val="1"/>
        </w:rPr>
        <w:t>) with respect to the Term Loans,</w:t>
      </w:r>
      <w:r>
        <w:rPr>
          <w:rFonts w:ascii="Arial" w:cs="Arial" w:eastAsia="Arial" w:hAnsi="Arial"/>
          <w:sz w:val="18"/>
          <w:szCs w:val="18"/>
          <w:color w:val="FF0000"/>
          <w:strike w:val="1"/>
        </w:rPr>
        <w:t xml:space="preserve"> in no event shall the LIBO Rate be deemed to be less than 0.50%.</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LIBOR</w:t>
      </w:r>
      <w:r>
        <w:rPr>
          <w:rFonts w:ascii="Arial" w:cs="Arial" w:eastAsia="Arial" w:hAnsi="Arial"/>
          <w:sz w:val="18"/>
          <w:szCs w:val="18"/>
          <w:color w:val="FF0000"/>
          <w:strike w:val="1"/>
        </w:rPr>
        <w:t>” has the meaning assigned to such term in the definition of “LIBO Rate.”</w:t>
      </w:r>
    </w:p>
    <w:p>
      <w:pPr>
        <w:spacing w:after="0" w:line="19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LIBOR Screen Rate</w:t>
      </w:r>
      <w:r>
        <w:rPr>
          <w:rFonts w:ascii="Arial" w:cs="Arial" w:eastAsia="Arial" w:hAnsi="Arial"/>
          <w:sz w:val="17"/>
          <w:szCs w:val="17"/>
          <w:color w:val="FF0000"/>
          <w:strike w:val="1"/>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LIBOR Successor Rate</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8000"/>
          <w:strike w:val="1"/>
        </w:rPr>
        <w:t>Conforming Changes</w:t>
      </w:r>
      <w:r>
        <w:rPr>
          <w:rFonts w:ascii="Arial" w:cs="Arial" w:eastAsia="Arial" w:hAnsi="Arial"/>
          <w:sz w:val="17"/>
          <w:szCs w:val="17"/>
          <w:color w:val="008000"/>
          <w:strike w:val="1"/>
        </w:rPr>
        <w:t>” means, with respect to</w:t>
      </w:r>
      <w:r>
        <w:rPr>
          <w:rFonts w:ascii="Arial" w:cs="Arial" w:eastAsia="Arial" w:hAnsi="Arial"/>
          <w:sz w:val="17"/>
          <w:szCs w:val="17"/>
          <w:color w:val="FF0000"/>
          <w:strike w:val="1"/>
        </w:rPr>
        <w:t xml:space="preserve"> any proposed LIBOR Successor Rate, any conforming </w:t>
      </w:r>
      <w:r>
        <w:rPr>
          <w:rFonts w:ascii="Arial" w:cs="Arial" w:eastAsia="Arial" w:hAnsi="Arial"/>
          <w:sz w:val="17"/>
          <w:szCs w:val="17"/>
          <w:color w:val="008000"/>
          <w:strike w:val="1"/>
        </w:rPr>
        <w:t>changes to the</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008000"/>
          <w:strike w:val="1"/>
        </w:rPr>
        <w:t xml:space="preserve">definition of </w:t>
      </w:r>
      <w:r>
        <w:rPr>
          <w:rFonts w:ascii="Arial" w:cs="Arial" w:eastAsia="Arial" w:hAnsi="Arial"/>
          <w:sz w:val="16"/>
          <w:szCs w:val="16"/>
          <w:color w:val="FF0000"/>
          <w:strike w:val="1"/>
        </w:rPr>
        <w:t>Alternate Base Rate, Interest Period and LIBO Rate</w:t>
      </w:r>
      <w:r>
        <w:rPr>
          <w:rFonts w:ascii="Arial" w:cs="Arial" w:eastAsia="Arial" w:hAnsi="Arial"/>
          <w:sz w:val="16"/>
          <w:szCs w:val="16"/>
          <w:color w:val="008000"/>
          <w:strike w:val="1"/>
        </w:rPr>
        <w:t xml:space="preserve">, timing and frequency of determining rates and making payments of interest and other technical, administrative or operational matters </w:t>
      </w:r>
      <w:r>
        <w:rPr>
          <w:rFonts w:ascii="Arial" w:cs="Arial" w:eastAsia="Arial" w:hAnsi="Arial"/>
          <w:sz w:val="16"/>
          <w:szCs w:val="16"/>
          <w:color w:val="FF0000"/>
          <w:strike w:val="1"/>
        </w:rPr>
        <w:t>as may be appropriate, in the discretion of the Administrative Agent with the consent of the Borrower (not</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 xml:space="preserve">to be unreasonably withheld), </w:t>
      </w:r>
      <w:r>
        <w:rPr>
          <w:rFonts w:ascii="Arial" w:cs="Arial" w:eastAsia="Arial" w:hAnsi="Arial"/>
          <w:sz w:val="16"/>
          <w:szCs w:val="16"/>
          <w:color w:val="008000"/>
          <w:strike w:val="1"/>
        </w:rPr>
        <w:t>to reflect the adoption and implementation of</w:t>
      </w:r>
      <w:r>
        <w:rPr>
          <w:rFonts w:ascii="Arial" w:cs="Arial" w:eastAsia="Arial" w:hAnsi="Arial"/>
          <w:sz w:val="16"/>
          <w:szCs w:val="16"/>
          <w:color w:val="FF0000"/>
          <w:strike w:val="1"/>
        </w:rPr>
        <w:t xml:space="preserve"> such LIBOR Successor Rate and to permit the </w:t>
      </w:r>
      <w:r>
        <w:rPr>
          <w:rFonts w:ascii="Arial" w:cs="Arial" w:eastAsia="Arial" w:hAnsi="Arial"/>
          <w:sz w:val="16"/>
          <w:szCs w:val="16"/>
          <w:color w:val="008000"/>
          <w:strike w:val="1"/>
        </w:rPr>
        <w:t>administration thereof by the</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008000"/>
          <w:strike w:val="1"/>
        </w:rPr>
        <w:t xml:space="preserve">Administrative Agent in a manner substantially consistent with market practice (or, if the Administrative Agent </w:t>
      </w:r>
      <w:r>
        <w:rPr>
          <w:rFonts w:ascii="Arial" w:cs="Arial" w:eastAsia="Arial" w:hAnsi="Arial"/>
          <w:sz w:val="16"/>
          <w:szCs w:val="16"/>
          <w:color w:val="FF0000"/>
          <w:strike w:val="1"/>
        </w:rPr>
        <w:t>determines</w:t>
      </w:r>
      <w:r>
        <w:rPr>
          <w:rFonts w:ascii="Arial" w:cs="Arial" w:eastAsia="Arial" w:hAnsi="Arial"/>
          <w:sz w:val="16"/>
          <w:szCs w:val="16"/>
          <w:color w:val="008000"/>
          <w:strike w:val="1"/>
        </w:rPr>
        <w:t xml:space="preserve"> that adoption of any portion of such market practice is not administratively feasible or that no market practice for the administration of </w:t>
      </w:r>
      <w:r>
        <w:rPr>
          <w:rFonts w:ascii="Arial" w:cs="Arial" w:eastAsia="Arial" w:hAnsi="Arial"/>
          <w:sz w:val="16"/>
          <w:szCs w:val="16"/>
          <w:color w:val="FF0000"/>
          <w:strike w:val="1"/>
        </w:rPr>
        <w:t>such LIBOR Successor Rate</w:t>
      </w:r>
      <w:r>
        <w:rPr>
          <w:rFonts w:ascii="Arial" w:cs="Arial" w:eastAsia="Arial" w:hAnsi="Arial"/>
          <w:sz w:val="16"/>
          <w:szCs w:val="16"/>
          <w:color w:val="008000"/>
          <w:strike w:val="1"/>
        </w:rPr>
        <w:t xml:space="preserve"> exists, in such other manner of administration as the Administrative Agent </w:t>
      </w:r>
      <w:r>
        <w:rPr>
          <w:rFonts w:ascii="Arial" w:cs="Arial" w:eastAsia="Arial" w:hAnsi="Arial"/>
          <w:sz w:val="16"/>
          <w:szCs w:val="16"/>
          <w:color w:val="FF0000"/>
          <w:strike w:val="1"/>
        </w:rPr>
        <w:t>determines with the consent of the Borrower (such consent not to be unreasonably withheld)).</w:t>
      </w:r>
    </w:p>
    <w:p>
      <w:pPr>
        <w:spacing w:after="0" w:line="17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xml:space="preserve">”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 operating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lease be deemed to constitute a Lien.</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Limited Condition Transaction</w:t>
      </w:r>
      <w:r>
        <w:rPr>
          <w:rFonts w:ascii="Arial" w:cs="Arial" w:eastAsia="Arial" w:hAnsi="Arial"/>
          <w:sz w:val="16"/>
          <w:szCs w:val="16"/>
          <w:color w:val="auto"/>
        </w:rPr>
        <w:t>” means (a) (i) any Acquisition Transaction or any other acquisition or Investment permitted by this Agreement and (ii) Investments, the incurrence or issuance of Indebtedness and Liens, repayments, repurchases, redemptions or refinancing of Indebtedness, Restricted</w:t>
      </w:r>
    </w:p>
    <w:p>
      <w:pPr>
        <w:jc w:val="both"/>
        <w:spacing w:after="0" w:line="234" w:lineRule="auto"/>
        <w:rPr>
          <w:sz w:val="20"/>
          <w:szCs w:val="20"/>
          <w:color w:val="auto"/>
        </w:rPr>
      </w:pPr>
      <w:r>
        <w:rPr>
          <w:rFonts w:ascii="Arial" w:cs="Arial" w:eastAsia="Arial" w:hAnsi="Arial"/>
          <w:sz w:val="16"/>
          <w:szCs w:val="16"/>
          <w:color w:val="auto"/>
        </w:rPr>
        <w:t>Payments and the designation of any Restricted Subsidiaries or Unrestricted Subsidiaries, in each case, in connection with any of the transactions described in the foregoing sub-clause (i), (b) any repayment, repurchase, redemption or refinancing of Indebtedness with respect to which a notice of repayment (or similar notice, which may be conditional) is required to be delivered and (c) any dividends or distributions on, or redemptions of, Equity Interests not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prohibited by this Agreement declared or requiring irrevocable notice in advance thereof.</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 Obligations</w:t>
      </w:r>
      <w:r>
        <w:rPr>
          <w:rFonts w:ascii="Arial" w:cs="Arial" w:eastAsia="Arial" w:hAnsi="Arial"/>
          <w:sz w:val="16"/>
          <w:szCs w:val="16"/>
          <w:color w:val="auto"/>
        </w:rPr>
        <w:t>” means (a) the due and punctual payment by the Borrower of (i) the principal of and interest at the applicable rate or rates provided in this Agreement (including interest accruing during the pendency of any bankruptcy, insolvency, receivership or other similar proceeding,</w:t>
      </w:r>
    </w:p>
    <w:p>
      <w:pPr>
        <w:jc w:val="both"/>
        <w:spacing w:after="0" w:line="234" w:lineRule="auto"/>
        <w:rPr>
          <w:sz w:val="20"/>
          <w:szCs w:val="20"/>
          <w:color w:val="auto"/>
        </w:rPr>
      </w:pPr>
      <w:r>
        <w:rPr>
          <w:rFonts w:ascii="Arial" w:cs="Arial" w:eastAsia="Arial" w:hAnsi="Arial"/>
          <w:sz w:val="16"/>
          <w:szCs w:val="16"/>
          <w:color w:val="auto"/>
        </w:rPr>
        <w:t>regardless of whether allowed or allowable in such proceeding) on the Loans including all obligations in respect of the L/C Exposure, when and as due, whether at maturity, by acceleration, upon one or more dates set for prepayment or otherwise and (ii) all other monetary obligations of the Borrower under or pursuant to this Agreement and each of the other Loan Documents, including obligations to reimburse LC Disbursements and pay fees, expense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(b) the due and punctual payment and performance of all other obligations of the Borrower under or pursuant to each of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Loan Documents and (c) the due and punctual payment and performance of all the obligations of each other Loan Party under or pursuant to this Agreement and each of the other Loan Documents (including interest and monetary obligations incurred during the pendency of any bankruptcy, insolvency, receivership or other similar proceeding, regardless of whether allowed or allowable in such proceeding).</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this Agreement, any Refinancing Amendment, any Incremental Facility Amendment, any Loan Modification Agreement, the Guarantee Agreement, the Collateral Agreement, the Intercreditor Agreements, the other Security Documents, Amendment No. 1, the Amendment No. 1 Reaffirmation Agreement</w:t>
      </w:r>
      <w:r>
        <w:rPr>
          <w:rFonts w:ascii="Arial" w:cs="Arial" w:eastAsia="Arial" w:hAnsi="Arial"/>
          <w:sz w:val="16"/>
          <w:szCs w:val="16"/>
          <w:u w:val="single" w:color="auto"/>
          <w:color w:val="0000FF"/>
          <w:highlight w:val="lightGray"/>
        </w:rPr>
        <w:t>, Amendment No. 2</w:t>
      </w:r>
      <w:r>
        <w:rPr>
          <w:rFonts w:ascii="Arial" w:cs="Arial" w:eastAsia="Arial" w:hAnsi="Arial"/>
          <w:sz w:val="16"/>
          <w:szCs w:val="16"/>
          <w:color w:val="auto"/>
        </w:rPr>
        <w:t xml:space="preserve"> and, except for purposes of </w:t>
      </w:r>
      <w:r>
        <w:rPr>
          <w:rFonts w:ascii="Arial" w:cs="Arial" w:eastAsia="Arial" w:hAnsi="Arial"/>
          <w:sz w:val="16"/>
          <w:szCs w:val="16"/>
          <w:u w:val="single" w:color="auto"/>
          <w:color w:val="auto"/>
        </w:rPr>
        <w:t>Section 9.02</w:t>
      </w:r>
      <w:r>
        <w:rPr>
          <w:rFonts w:ascii="Arial" w:cs="Arial" w:eastAsia="Arial" w:hAnsi="Arial"/>
          <w:sz w:val="16"/>
          <w:szCs w:val="16"/>
          <w:color w:val="auto"/>
        </w:rPr>
        <w:t>, any promissory notes delivered pursuant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2.09(e)</w:t>
      </w:r>
      <w:r>
        <w:rPr>
          <w:rFonts w:ascii="Arial" w:cs="Arial" w:eastAsia="Arial" w:hAnsi="Arial"/>
          <w:sz w:val="18"/>
          <w:szCs w:val="18"/>
          <w:color w:val="auto"/>
        </w:rPr>
        <w:t>.</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Loan Modification Agreement</w:t>
      </w:r>
      <w:r>
        <w:rPr>
          <w:rFonts w:ascii="Arial" w:cs="Arial" w:eastAsia="Arial" w:hAnsi="Arial"/>
          <w:sz w:val="16"/>
          <w:szCs w:val="16"/>
          <w:color w:val="auto"/>
        </w:rPr>
        <w:t xml:space="preserve"> ” means a Loan Modification Agreement, in form reasonably satisfactory to the Administrative Agent, among the Borrower, the Administrative Agent and one or more Accepting Lenders, effecting one or more Permitted Amendments and such other amendments hereto</w:t>
      </w:r>
    </w:p>
    <w:p>
      <w:pPr>
        <w:spacing w:after="0"/>
        <w:rPr>
          <w:sz w:val="20"/>
          <w:szCs w:val="20"/>
          <w:color w:val="auto"/>
        </w:rPr>
      </w:pPr>
      <w:r>
        <w:rPr>
          <w:rFonts w:ascii="Arial" w:cs="Arial" w:eastAsia="Arial" w:hAnsi="Arial"/>
          <w:sz w:val="18"/>
          <w:szCs w:val="18"/>
          <w:color w:val="auto"/>
        </w:rPr>
        <w:t xml:space="preserve">and to the other Loan Documents as are contemplated by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39</w:t>
      </w:r>
    </w:p>
    <w:p>
      <w:pPr>
        <w:sectPr>
          <w:pgSz w:w="11900" w:h="16838" w:orient="portrait"/>
          <w:cols w:equalWidth="0" w:num="1">
            <w:col w:w="11240"/>
          </w:cols>
          <w:pgMar w:left="320" w:top="1440" w:right="339" w:bottom="1440" w:gutter="0" w:footer="0" w:header="0"/>
        </w:sectPr>
      </w:pPr>
    </w:p>
    <w:bookmarkStart w:id="97" w:name="page98"/>
    <w:bookmarkEnd w:id="97"/>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Modification Offer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Holdings, the Borrower and the Subsidiary Loan Parties.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London Banking Day</w:t>
      </w:r>
      <w:r>
        <w:rPr>
          <w:rFonts w:ascii="Arial" w:cs="Arial" w:eastAsia="Arial" w:hAnsi="Arial"/>
          <w:sz w:val="16"/>
          <w:szCs w:val="16"/>
          <w:color w:val="FF0000"/>
          <w:strike w:val="1"/>
        </w:rPr>
        <w:t>” means any day on which dealings in dollar deposits are conducted by and between banks in the London interbank market.</w:t>
      </w:r>
    </w:p>
    <w:p>
      <w:pPr>
        <w:spacing w:after="0" w:line="20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Management Investors</w:t>
      </w:r>
      <w:r>
        <w:rPr>
          <w:rFonts w:ascii="Arial" w:cs="Arial" w:eastAsia="Arial" w:hAnsi="Arial"/>
          <w:sz w:val="16"/>
          <w:szCs w:val="16"/>
          <w:color w:val="auto"/>
        </w:rPr>
        <w:t>” means the present, future and/or former directors, officers, partners, members and employees of any Parent Entity, Holdings, the Borrower and/or any of their respective subsidiaries who are (directly or indirectly through one or more investment vehicles) Investors and</w:t>
      </w:r>
    </w:p>
    <w:p>
      <w:pPr>
        <w:spacing w:after="0"/>
        <w:rPr>
          <w:sz w:val="20"/>
          <w:szCs w:val="20"/>
          <w:color w:val="auto"/>
        </w:rPr>
      </w:pPr>
      <w:r>
        <w:rPr>
          <w:rFonts w:ascii="Arial" w:cs="Arial" w:eastAsia="Arial" w:hAnsi="Arial"/>
          <w:sz w:val="18"/>
          <w:szCs w:val="18"/>
          <w:color w:val="auto"/>
        </w:rPr>
        <w:t>any such Persons who become holders of Equity Interests in the Borrower (or any direct or indirect parent thereof).</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assigned to such term in the definition of “Swap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Acquisition</w:t>
      </w:r>
      <w:r>
        <w:rPr>
          <w:rFonts w:ascii="Arial" w:cs="Arial" w:eastAsia="Arial" w:hAnsi="Arial"/>
          <w:sz w:val="18"/>
          <w:szCs w:val="18"/>
          <w:color w:val="auto"/>
        </w:rPr>
        <w:t>” means any acquisition by the Borrower or any Restricted Subsidiary for consideration (including any assumed</w:t>
      </w:r>
    </w:p>
    <w:p>
      <w:pPr>
        <w:jc w:val="both"/>
        <w:spacing w:after="0" w:line="226" w:lineRule="auto"/>
        <w:rPr>
          <w:sz w:val="20"/>
          <w:szCs w:val="20"/>
          <w:color w:val="auto"/>
        </w:rPr>
      </w:pPr>
      <w:r>
        <w:rPr>
          <w:rFonts w:ascii="Arial" w:cs="Arial" w:eastAsia="Arial" w:hAnsi="Arial"/>
          <w:sz w:val="18"/>
          <w:szCs w:val="18"/>
          <w:color w:val="auto"/>
        </w:rPr>
        <w:t>Indebtedness) in an aggregate amount equal to or greater than the lesser of (a) $33,000,000 and (b) 25% of Consolidated EBITDA for the most recently ended Test Period as of such time determined on a Pro Forma Basis.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event, circumstance or condition that has had, or would reasonably be expected to have, a materially adverse</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effect on (a) the business or financial condition of the Borrower and the Restricted Subsidiaries, taken as a whole, (b) the ability of the Borrower and the Guarantors, taken as a whole, to perform their payment obligations under the Loan Documents or (c) the rights and remedies of the Administrative Agent and the Lenders (taken as a whole) under the Loan Documents.</w:t>
      </w:r>
    </w:p>
    <w:p>
      <w:pPr>
        <w:spacing w:after="0" w:line="17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Disposition</w:t>
      </w:r>
      <w:r>
        <w:rPr>
          <w:rFonts w:ascii="Arial" w:cs="Arial" w:eastAsia="Arial" w:hAnsi="Arial"/>
          <w:sz w:val="18"/>
          <w:szCs w:val="18"/>
          <w:color w:val="auto"/>
        </w:rPr>
        <w:t>” means any Disposition by the Borrower or any Restricted Subsidiary for consideration (including any assumed Indebtedness) in an aggregate amount equal to or greater than the lesser of (a) $33,000,000 and (b) 25% of Consolidated EBITDA for the most recently ended Test Period as of such time determined on a Pro Forma Basis.</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on any date of determination, any Indebtedness for borrowed money (other than the Loan Document Obligations), Capital Lease Obligations (other than, for the avoidance of doubt, Non-Finance Lease Obligations), unreimbursed drawings under letters of credit, third party Indebtedness obligations evidenced by notes or similar instruments or obligations in respect of one or more Swap Agreements, of any one or more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the Borrower and the Restricted Subsidiaries in an aggregate principal amount exceeding the greater of (a) $52,000,000 and (b) 40% of Consolidated EBITDA for the most recently ended Test Period as of such time determined on a Pro Forma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Permitted Receivables Financing be considered Material Indebtedness for any purpose. For purposes of determining Material Indebtedness, the “principal amount” of</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obligations in respect of any Swap Agreement at any time shall be the maximum aggregate amount (giving effect to any netting agreements) that the Borrower or such Restricted Subsidiary would be required to pay if such Swap Agreement were terminated at such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Subsidiary</w:t>
      </w:r>
      <w:r>
        <w:rPr>
          <w:rFonts w:ascii="Arial" w:cs="Arial" w:eastAsia="Arial" w:hAnsi="Arial"/>
          <w:sz w:val="17"/>
          <w:szCs w:val="17"/>
          <w:color w:val="auto"/>
        </w:rPr>
        <w:t>” means (a) each wholly-owned Restricted Subsidiary that, as of the last day of the fiscal quarter of the Borrower most</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recently ended for which financial statements are available, had revenues or total assets for such quarter in excess of 5.0% of the consolidated revenues or total assets, as applicable, of the Borrower for such quarter or that is designated by the Borrower as a Material Subsidiary and (b) any group comprising wholly-owned Restricted Subsidiaries that each would not have been a Material Subsidiary under clause (a) but that, taken together, as of the last day of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fiscal quarter of the Borrower most recently ended for which financial statements are available, had revenues or total assets for such quarter in excess of 10.0% of the consolidated revenues or total assets, as applicable, of the Borrower for such quarter.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Carveout Amount</w:t>
      </w:r>
      <w:r>
        <w:rPr>
          <w:rFonts w:ascii="Arial" w:cs="Arial" w:eastAsia="Arial" w:hAnsi="Arial"/>
          <w:sz w:val="16"/>
          <w:szCs w:val="16"/>
          <w:color w:val="auto"/>
        </w:rPr>
        <w:t>” means, at the option of the Borrower (in its sole discretion), Indebtedness incurred with a final maturity date prior to</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earliest maturity date otherwise expressly required under this Agreement with respect to such Indebtedness and/or a Weighted Average Life to Maturity shorter than the minimum Weighted Average Life to Maturity otherwise expressly required under this Agreement with respect to such Indebtedness in an aggregate outstanding principal amount not to exceed the greater (a) $130,000,000 and (b) 100.0% of Consolidated EBITDA for Test Period then last ended</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determined on a Pro Forma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any Incremental Facility or Incremental Equivalent Debt incurred under the General Debt Basket Reallocated Amount (or any Credit Agreement Refinancing Indebtedness, Other Term Loan, Other Revolving Loan or Permitted Refinancing, as applicable, that directly or indirectly refinances or replaces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40</w:t>
      </w:r>
    </w:p>
    <w:p>
      <w:pPr>
        <w:sectPr>
          <w:pgSz w:w="11900" w:h="16838" w:orient="portrait"/>
          <w:cols w:equalWidth="0" w:num="1">
            <w:col w:w="11240"/>
          </w:cols>
          <w:pgMar w:left="320" w:top="1440" w:right="339" w:bottom="1440" w:gutter="0" w:footer="0" w:header="0"/>
        </w:sectPr>
      </w:pPr>
    </w:p>
    <w:bookmarkStart w:id="98" w:name="page99"/>
    <w:bookmarkEnd w:id="98"/>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Incremental Facility) shall be permitted under the Maturity Carveout Amount and shall be deemed not to reduce the Maturity Carveout Amount).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9.17</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MFN Protection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2.20(b)</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means, with respect to any event, (a) the proceeds received in respect of such event in cash or Permitted Investments, including (i)</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awards and similar payments that are actually received,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sum of (i) all fees and out-of-pocket expenses paid by the Borrower and the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and brokerage, consultant, accountant and other customary fees), (ii) in the case of a Disposition of an asset (including pursuant to a Sale Leaseback or Casualty Event or similar proceeding), (A) any funded escrow established pursuant to the documents evidencing any Disposition to secure any indemnification obligations or adjustments to the purchase price associated with any such sale, transfer or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subsequent reduction of such escrow (other than in connection with a payment in respect of any such liability) shall be deemed to be Net Proceeds occurring on the date of such reduction solely to the extent that the Borrower and/or any Restricted Subsidiaries receives cash in an amount equal to the amount of such reduction, (B) the amount of all payments that are permitted hereunder and are made by the Borrower and the Restricted Subsidiaries as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result of such event to repay Indebtedness (other than the Loans and any Indebtedness that is secured by a Lien on the Collateral ranking equal in priority (but without regard to the control of remedies)) secured by such asset or otherwise subject to mandatory prepayment as a result of such event, (C) the pro rata portion of net cash proceeds thereof (calculated without regard to this clause (C)) attributable to minority interests and not available for distribution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or for the account of the Borrower and the Restricted Subsidiaries as a result thereof and (D) the amount of any liabilities directly associated with such asset and retained by the Borrower or the Restricted Subsidiaries and (iii) the amount of all taxes paid (or reasonably estimated to be payable), including any withholding taxes estimated to be payable in connection with the repatriation of such Net Proceeds from a Foreign Subsidiary, and the amount of any</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 xml:space="preserve">reserves established by the Borrower and the Restricted Subsidiaries to fund contingent liabilities reasonably estimated to be payable, in each case, in respect of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reduction at any time in the amount of any such reserves (other than as a result of payments made in respect thereof) shall be deemed to constitute the receipt by the Borrower at such time of Net Proceeds in the amount of such reduction.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Short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9.02(h)</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Contracts</w:t>
      </w:r>
      <w:r>
        <w:rPr>
          <w:rFonts w:ascii="Arial" w:cs="Arial" w:eastAsia="Arial" w:hAnsi="Arial"/>
          <w:sz w:val="18"/>
          <w:szCs w:val="18"/>
          <w:color w:val="auto"/>
        </w:rPr>
        <w:t>” has the meaning assigned to such term in the definition of “Consolidated EBITDA.”</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Project</w:t>
      </w:r>
      <w:r>
        <w:rPr>
          <w:rFonts w:ascii="Arial" w:cs="Arial" w:eastAsia="Arial" w:hAnsi="Arial"/>
          <w:sz w:val="17"/>
          <w:szCs w:val="17"/>
          <w:color w:val="auto"/>
        </w:rPr>
        <w:t>” means (a) each facility which is either a new facility, branch, data center or office or an expansion, relocation, remodeling or</w:t>
      </w:r>
    </w:p>
    <w:p>
      <w:pPr>
        <w:spacing w:after="0" w:line="10"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substantial modernization of an existing facility, branch, data center or office owned by the Borrower or the Subsidiaries which in fact commences operations and (b) each creation (in one or a series of related transactions) of a business unit to the extent such business unit commences operations or each expansion (in one or a series of related transactions) of business into a new market.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Non-Accepting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2.24(c)</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Non-Cash Compensation Expense</w:t>
      </w:r>
      <w:r>
        <w:rPr>
          <w:rFonts w:ascii="Arial" w:cs="Arial" w:eastAsia="Arial" w:hAnsi="Arial"/>
          <w:sz w:val="18"/>
          <w:szCs w:val="18"/>
          <w:color w:val="auto"/>
        </w:rPr>
        <w:t>” means any non-cash expenses and costs that result from the issuance of stock-based awards, partnership interest-based awards and similar incentive based compensation awards or arrangements.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41</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Non-Finance Lease Obligation</w:t>
      </w:r>
      <w:r>
        <w:rPr>
          <w:rFonts w:ascii="Arial" w:cs="Arial" w:eastAsia="Arial" w:hAnsi="Arial"/>
          <w:sz w:val="16"/>
          <w:szCs w:val="16"/>
          <w:color w:val="auto"/>
        </w:rPr>
        <w:t xml:space="preserve">” means, as applied to any Person, any lease of any property (whether real, personal or mixed) by that Person as lessee that, in conformity with GAAP (for the avoidance of doubt, subject to </w:t>
      </w:r>
      <w:r>
        <w:rPr>
          <w:rFonts w:ascii="Arial" w:cs="Arial" w:eastAsia="Arial" w:hAnsi="Arial"/>
          <w:sz w:val="16"/>
          <w:szCs w:val="16"/>
          <w:u w:val="single" w:color="auto"/>
          <w:color w:val="auto"/>
        </w:rPr>
        <w:t>Section 1.04(g)</w:t>
      </w:r>
      <w:r>
        <w:rPr>
          <w:rFonts w:ascii="Arial" w:cs="Arial" w:eastAsia="Arial" w:hAnsi="Arial"/>
          <w:sz w:val="16"/>
          <w:szCs w:val="16"/>
          <w:color w:val="auto"/>
        </w:rPr>
        <w:t>), is not and is not required to be accounted for as a capital lease or finance lease on the balance sheet of that Person. For the avoidance of doubt, a straight-line or operating lease shall be considered a Non-Finance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Lease Obligation.</w:t>
      </w:r>
    </w:p>
    <w:p>
      <w:pPr>
        <w:spacing w:after="0" w:line="16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 Otherwise Applied</w:t>
      </w:r>
      <w:r>
        <w:rPr>
          <w:rFonts w:ascii="Arial" w:cs="Arial" w:eastAsia="Arial" w:hAnsi="Arial"/>
          <w:sz w:val="18"/>
          <w:szCs w:val="18"/>
          <w:color w:val="auto"/>
        </w:rPr>
        <w:t xml:space="preserve">” means, with reference to the Available Amount or the Available Equity Amount, as applicable, that was not previously applied pursuant to </w:t>
      </w:r>
      <w:r>
        <w:rPr>
          <w:rFonts w:ascii="Arial" w:cs="Arial" w:eastAsia="Arial" w:hAnsi="Arial"/>
          <w:sz w:val="18"/>
          <w:szCs w:val="18"/>
          <w:u w:val="single" w:color="auto"/>
          <w:color w:val="auto"/>
        </w:rPr>
        <w:t>Section 6.04(n)</w:t>
      </w:r>
      <w:r>
        <w:rPr>
          <w:rFonts w:ascii="Arial" w:cs="Arial" w:eastAsia="Arial" w:hAnsi="Arial"/>
          <w:sz w:val="18"/>
          <w:szCs w:val="18"/>
          <w:color w:val="auto"/>
        </w:rPr>
        <w:t xml:space="preserve"> , </w:t>
      </w:r>
      <w:r>
        <w:rPr>
          <w:rFonts w:ascii="Arial" w:cs="Arial" w:eastAsia="Arial" w:hAnsi="Arial"/>
          <w:sz w:val="18"/>
          <w:szCs w:val="18"/>
          <w:u w:val="single" w:color="auto"/>
          <w:color w:val="auto"/>
        </w:rPr>
        <w:t>Section 6.08(a)(viii)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6.08(b)(iv)</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Loan Prepayment</w:t>
      </w:r>
      <w:r>
        <w:rPr>
          <w:rFonts w:ascii="Arial" w:cs="Arial" w:eastAsia="Arial" w:hAnsi="Arial"/>
          <w:sz w:val="18"/>
          <w:szCs w:val="18"/>
          <w:color w:val="auto"/>
        </w:rPr>
        <w:t xml:space="preserve">” means a notice of prepayment with respect to a Loan, which shall be substantially in the form of </w:t>
      </w:r>
      <w:r>
        <w:rPr>
          <w:rFonts w:ascii="Arial" w:cs="Arial" w:eastAsia="Arial" w:hAnsi="Arial"/>
          <w:sz w:val="18"/>
          <w:szCs w:val="18"/>
          <w:u w:val="single" w:color="auto"/>
          <w:color w:val="auto"/>
        </w:rPr>
        <w:t>Exhibit S</w:t>
      </w:r>
      <w:r>
        <w:rPr>
          <w:rFonts w:ascii="Arial" w:cs="Arial" w:eastAsia="Arial" w:hAnsi="Arial"/>
          <w:sz w:val="18"/>
          <w:szCs w:val="18"/>
          <w:color w:val="auto"/>
        </w:rPr>
        <w:t xml:space="preserve"> or such other form as may be reasonably approved by the Administrative Agent (including any form on an electronic platform or electronic transmission system as shall be approved by the Administrative Agent), appropriately completed and signed by a Responsible Officer.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NYFRB’s Website</w:t>
      </w:r>
      <w:r>
        <w:rPr>
          <w:rFonts w:ascii="Arial" w:cs="Arial" w:eastAsia="Arial" w:hAnsi="Arial"/>
          <w:sz w:val="18"/>
          <w:szCs w:val="18"/>
          <w:color w:val="auto"/>
        </w:rPr>
        <w:t>” means the website of the NYFRB at http://www.newyorkfed.org, or any successor source.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 Rate</w:t>
      </w:r>
      <w:r>
        <w:rPr>
          <w:rFonts w:ascii="Arial" w:cs="Arial" w:eastAsia="Arial" w:hAnsi="Arial"/>
          <w:sz w:val="16"/>
          <w:szCs w:val="16"/>
          <w:color w:val="auto"/>
        </w:rPr>
        <w:t>” means, for any day, the greater of (a) the Federal Funds Effective Rate in effect on such day and (b) the Overnight Bank Funding</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Rate in effect on such day (or for any day that is not a Business Day, for the immediately preceding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so determined be less than 0.00%, such rate shall be deemed to be 0.00% for purposes of this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3.18(c)</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2.11(a)(ii)(D)</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Discount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2.11(a)(ii)(D)</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2.20(b)</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(a) with respect to any corporation, the certificate or articles of incorporation and the bylaws (or equivalent or</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comparable constitutive documents with respect to any non-U.S. jurisdiction); (b) with respect to any limited liability company, the certificate or articles of formation or organization and operating agreement (or equivalent or comparable constitutive documents with respect to any non-U.S. jurisdiction); and (c) with respect to any partnership, joint venture, trust or other form of business entity, the partnership, joint venture or other applicable agreement of</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Applicable Indebtedness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2.11(c)</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performed its obligations under, received payments under, received or perfected a security interest under, engaged in any other transaction pursuant to or enforced any Loan Document, or Letter of Credit or sold or assigned an interest in any Loan, Letter of Credit or Loan Document).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Loans</w:t>
      </w:r>
      <w:r>
        <w:rPr>
          <w:rFonts w:ascii="Arial" w:cs="Arial" w:eastAsia="Arial" w:hAnsi="Arial"/>
          <w:sz w:val="18"/>
          <w:szCs w:val="18"/>
          <w:color w:val="auto"/>
        </w:rPr>
        <w:t>” means one or more Classes of Loans that result from a Refinancing Amendment or a Loan Modification Agreement.</w:t>
      </w:r>
    </w:p>
    <w:p>
      <w:pPr>
        <w:spacing w:after="0" w:line="19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Other Revolving Commitments</w:t>
      </w:r>
      <w:r>
        <w:rPr>
          <w:rFonts w:ascii="Arial" w:cs="Arial" w:eastAsia="Arial" w:hAnsi="Arial"/>
          <w:sz w:val="18"/>
          <w:szCs w:val="18"/>
          <w:color w:val="auto"/>
        </w:rPr>
        <w:t>” means one or more Classes of revolving credit commitments hereunder or extended Revolving Commitments that result from a Refinancing Amendment or a Loan Modification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42</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Revolving Loans</w:t>
      </w:r>
      <w:r>
        <w:rPr>
          <w:rFonts w:ascii="Arial" w:cs="Arial" w:eastAsia="Arial" w:hAnsi="Arial"/>
          <w:sz w:val="16"/>
          <w:szCs w:val="16"/>
          <w:color w:val="auto"/>
        </w:rPr>
        <w:t>” means the Revolving Loans made pursuant to any Other Revolving Commitment or a Loan Modification Agreement.</w:t>
      </w:r>
    </w:p>
    <w:p>
      <w:pPr>
        <w:spacing w:after="0" w:line="20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all present or future recording, filing, stamp, documentary, intangible, transfer, sales, property or similar Taxes arising from any payment made under any Loan Document or from the execution, delivery, performance, enforcement or registration of, from the receipt or perfection</w:t>
      </w:r>
    </w:p>
    <w:p>
      <w:pPr>
        <w:jc w:val="both"/>
        <w:spacing w:after="0" w:line="226" w:lineRule="auto"/>
        <w:rPr>
          <w:sz w:val="20"/>
          <w:szCs w:val="20"/>
          <w:color w:val="auto"/>
        </w:rPr>
      </w:pPr>
      <w:r>
        <w:rPr>
          <w:rFonts w:ascii="Arial" w:cs="Arial" w:eastAsia="Arial" w:hAnsi="Arial"/>
          <w:sz w:val="18"/>
          <w:szCs w:val="18"/>
          <w:color w:val="auto"/>
        </w:rPr>
        <w:t xml:space="preserve">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Term Commitments</w:t>
      </w:r>
      <w:r>
        <w:rPr>
          <w:rFonts w:ascii="Arial" w:cs="Arial" w:eastAsia="Arial" w:hAnsi="Arial"/>
          <w:sz w:val="18"/>
          <w:szCs w:val="18"/>
          <w:color w:val="auto"/>
        </w:rPr>
        <w:t>” means one or more Classes of term loan commitments hereunder that result from a Refinancing Amendment or Loan Modification Agreement.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Term Loans</w:t>
      </w:r>
      <w:r>
        <w:rPr>
          <w:rFonts w:ascii="Arial" w:cs="Arial" w:eastAsia="Arial" w:hAnsi="Arial"/>
          <w:sz w:val="17"/>
          <w:szCs w:val="17"/>
          <w:color w:val="auto"/>
        </w:rPr>
        <w:t>” means one or more Classes of Term Loans that result from a Refinancing Amendment or Loan Modification Agreement.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eurocurrency</w:t>
      </w:r>
    </w:p>
    <w:p>
      <w:pPr>
        <w:jc w:val="both"/>
        <w:spacing w:after="0" w:line="218" w:lineRule="auto"/>
        <w:rPr>
          <w:sz w:val="20"/>
          <w:szCs w:val="20"/>
          <w:color w:val="auto"/>
        </w:rPr>
      </w:pPr>
      <w:r>
        <w:rPr>
          <w:rFonts w:ascii="Arial" w:cs="Arial" w:eastAsia="Arial" w:hAnsi="Arial"/>
          <w:sz w:val="18"/>
          <w:szCs w:val="18"/>
          <w:color w:val="FF0000"/>
          <w:strike w:val="1"/>
        </w:rPr>
        <w:t>borrowings</w:t>
      </w:r>
      <w:r>
        <w:rPr>
          <w:rFonts w:ascii="Arial" w:cs="Arial" w:eastAsia="Arial" w:hAnsi="Arial"/>
          <w:sz w:val="18"/>
          <w:szCs w:val="18"/>
          <w:u w:val="single" w:color="auto"/>
          <w:color w:val="0000FF"/>
          <w:highlight w:val="lightGray"/>
        </w:rPr>
        <w:t>transactions denominated in Dollars</w:t>
      </w:r>
      <w:r>
        <w:rPr>
          <w:rFonts w:ascii="Arial" w:cs="Arial" w:eastAsia="Arial" w:hAnsi="Arial"/>
          <w:sz w:val="18"/>
          <w:szCs w:val="18"/>
          <w:color w:val="FF0000"/>
        </w:rPr>
        <w:t xml:space="preserve"> </w:t>
      </w:r>
      <w:r>
        <w:rPr>
          <w:rFonts w:ascii="Arial" w:cs="Arial" w:eastAsia="Arial" w:hAnsi="Arial"/>
          <w:sz w:val="18"/>
          <w:szCs w:val="18"/>
          <w:color w:val="000000"/>
        </w:rPr>
        <w:t>by U.S.-managed banking offices of depository institutions, as such composite rate shall be determined by</w:t>
      </w:r>
      <w:r>
        <w:rPr>
          <w:rFonts w:ascii="Arial" w:cs="Arial" w:eastAsia="Arial" w:hAnsi="Arial"/>
          <w:sz w:val="18"/>
          <w:szCs w:val="18"/>
          <w:color w:val="FF0000"/>
        </w:rPr>
        <w:t xml:space="preserve"> </w:t>
      </w:r>
      <w:r>
        <w:rPr>
          <w:rFonts w:ascii="Arial" w:cs="Arial" w:eastAsia="Arial" w:hAnsi="Arial"/>
          <w:sz w:val="18"/>
          <w:szCs w:val="18"/>
          <w:color w:val="000000"/>
        </w:rPr>
        <w:t>the NYFRB as set forth on the NYFRB’s Website from time to time, and published on the next succeeding Business Day by the NYFRB as an overnight bank funding rate.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EverCommerce Inc., a Delaware corporation.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Entity</w:t>
      </w:r>
      <w:r>
        <w:rPr>
          <w:rFonts w:ascii="Arial" w:cs="Arial" w:eastAsia="Arial" w:hAnsi="Arial"/>
          <w:sz w:val="18"/>
          <w:szCs w:val="18"/>
          <w:color w:val="auto"/>
        </w:rPr>
        <w:t>” means Parent and any other Person that is a direct or indirect parent of Holdings.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9.04(c)(i)</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9.04(c)(iii)</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2.11(a)(ii)(C)</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Notice</w:t>
      </w:r>
      <w:r>
        <w:rPr>
          <w:rFonts w:ascii="Arial" w:cs="Arial" w:eastAsia="Arial" w:hAnsi="Arial"/>
          <w:sz w:val="18"/>
          <w:szCs w:val="18"/>
          <w:color w:val="auto"/>
        </w:rPr>
        <w:t>” has the meaning assigned to it in Article VIII.</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Recipient</w:t>
      </w:r>
      <w:r>
        <w:rPr>
          <w:rFonts w:ascii="Arial" w:cs="Arial" w:eastAsia="Arial" w:hAnsi="Arial"/>
          <w:sz w:val="18"/>
          <w:szCs w:val="18"/>
          <w:color w:val="auto"/>
        </w:rPr>
        <w:t>” has the meaning assigned to it in Article VIII.</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an Acquisition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with respect to each such Acquisition Transaction, all actions required to be taken with respect to any such newly created or acquired Subsidiary (including each subsidiary thereof) or assets in order to satisfy the requirements set forth in clauses (a), (b), (c) and (d) of the definition of the term “Collateral and Guarantee Requirement” to the extent applicable shall have</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been taken or arrangements for the taking of such actions within the timeframes required by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shall have been made (unless such newly created or acquired Subsidiary is designated as an Unrestricted Subsidiary pursuant to </w:t>
      </w:r>
      <w:r>
        <w:rPr>
          <w:rFonts w:ascii="Arial" w:cs="Arial" w:eastAsia="Arial" w:hAnsi="Arial"/>
          <w:sz w:val="16"/>
          <w:szCs w:val="16"/>
          <w:u w:val="single" w:color="auto"/>
          <w:color w:val="auto"/>
        </w:rPr>
        <w:t>Section 5.15</w:t>
      </w:r>
      <w:r>
        <w:rPr>
          <w:rFonts w:ascii="Arial" w:cs="Arial" w:eastAsia="Arial" w:hAnsi="Arial"/>
          <w:sz w:val="16"/>
          <w:szCs w:val="16"/>
          <w:color w:val="auto"/>
        </w:rPr>
        <w:t xml:space="preserve"> or is otherwise an Excluded Subsidiary) and (b) after giving effect to any such purchase or other acquisition, no Event of Default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shall have occurred and be continuing.</w:t>
      </w:r>
    </w:p>
    <w:p>
      <w:pPr>
        <w:spacing w:after="0" w:line="170"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Amendment</w:t>
      </w:r>
      <w:r>
        <w:rPr>
          <w:rFonts w:ascii="Arial" w:cs="Arial" w:eastAsia="Arial" w:hAnsi="Arial"/>
          <w:sz w:val="17"/>
          <w:szCs w:val="17"/>
          <w:color w:val="auto"/>
        </w:rPr>
        <w:t xml:space="preserve">” means an amendment to this Agreement and, if applicable, the other Loan Documents, effected in connection with a Loan Modification Offer pursuant to </w:t>
      </w:r>
      <w:r>
        <w:rPr>
          <w:rFonts w:ascii="Arial" w:cs="Arial" w:eastAsia="Arial" w:hAnsi="Arial"/>
          <w:sz w:val="17"/>
          <w:szCs w:val="17"/>
          <w:u w:val="single" w:color="auto"/>
          <w:color w:val="auto"/>
        </w:rPr>
        <w:t>Section 2.24</w:t>
      </w:r>
      <w:r>
        <w:rPr>
          <w:rFonts w:ascii="Arial" w:cs="Arial" w:eastAsia="Arial" w:hAnsi="Arial"/>
          <w:sz w:val="17"/>
          <w:szCs w:val="17"/>
          <w:color w:val="auto"/>
        </w:rPr>
        <w:t>, applicable to all, or any portion of, the Loans and/or Commitments of any Class of the Accepting Lenders and, providing for (a) an extension of a maturity date and/or (b) a change in the Applicable Rate or other pricing terms (including any “MFN”</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provisions) with respect to the Loans and/or Commitments of the Accepting Lenders and/or (c) a change in the fees payable to, or the inclusion of new fees to be payable to, the Accepting Lenders and/or (d) a change to any prepayment provisions with respect to the Loans of such Accepting Lenders that are less favorable to such Accepting Lenders than to the Non-Accepting Lenders with respect to such applicable Loans and/or (e) call protection with respect to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Loans and/or commitments of the Accepting Lenders (including any “soft call” protection) and/or (f) additional covenants or other provisions applicable only to periods after the Latest Maturity Date at the time of such Loan Modification Offer (it being understood that to the extent that any financial maintenance covenant and any related equity cure or any other covenant is added for the benefit of any such Loans and/or Commitments, no consent shall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 required by the Administrative Agent or any of the Lenders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43</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financial maintenance covenant and any related equity cure or other covenant is either (i) also added for the benefit of any corresponding Loans remaining outstanding after the issuance or incurrence of such Loans and/or Commitments or (ii) only applicable after the Latest Maturity Date at the time of such Loan Modification Offer).</w:t>
      </w:r>
    </w:p>
    <w:p>
      <w:pPr>
        <w:spacing w:after="0" w:line="17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Asset Swap</w:t>
      </w:r>
      <w:r>
        <w:rPr>
          <w:rFonts w:ascii="Arial" w:cs="Arial" w:eastAsia="Arial" w:hAnsi="Arial"/>
          <w:sz w:val="18"/>
          <w:szCs w:val="18"/>
          <w:color w:val="auto"/>
        </w:rPr>
        <w:t>” means the concurrent purchase and sale or exchange of Related Business Assets or a combination of Related Business Assets and cash or Permitted Investments between Holdings, the Borrower or a Restricted Subsidiary and another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98" w:lineRule="exact"/>
        <w:rPr>
          <w:sz w:val="20"/>
          <w:szCs w:val="20"/>
          <w:color w:val="auto"/>
        </w:rPr>
      </w:pPr>
    </w:p>
    <w:p>
      <w:pPr>
        <w:jc w:val="both"/>
        <w:ind w:left="660" w:firstLine="644"/>
        <w:spacing w:after="0" w:line="224" w:lineRule="auto"/>
        <w:tabs>
          <w:tab w:leader="none" w:pos="1709"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that are not overdue for a period of more than 60 days or that are being contested in good faith and by appropriate proceedings diligently conducted, if adequate reserves with respect thereto are maintained on the books of the applicable Person in accordance with GAAP;</w:t>
      </w:r>
    </w:p>
    <w:p>
      <w:pPr>
        <w:spacing w:after="0" w:line="176" w:lineRule="exact"/>
        <w:rPr>
          <w:rFonts w:ascii="Arial" w:cs="Arial" w:eastAsia="Arial" w:hAnsi="Arial"/>
          <w:sz w:val="18"/>
          <w:szCs w:val="18"/>
          <w:color w:val="auto"/>
        </w:rPr>
      </w:pPr>
    </w:p>
    <w:p>
      <w:pPr>
        <w:jc w:val="both"/>
        <w:ind w:left="660" w:firstLine="644"/>
        <w:spacing w:after="0" w:line="219" w:lineRule="auto"/>
        <w:tabs>
          <w:tab w:leader="none" w:pos="1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mechanics’, landlords’, materialmen’s, repairmen’s or construction contractors’ Liens and other similar Liens (including contractual landlord liens) arising in the ordinary course of business that secure amounts not overdue for a period of more than 60 days or, if more than 60 days overdue, are unfiled and no other action has been taken to enforce such Liens or that are being contested in good faith and by appropriate proceedings diligently conducted, if adequate reserves with respect thereto are maintained on the books of the applicable Person in accordance with GAAP;</w:t>
      </w:r>
    </w:p>
    <w:p>
      <w:pPr>
        <w:spacing w:after="0" w:line="162" w:lineRule="exact"/>
        <w:rPr>
          <w:rFonts w:ascii="Arial" w:cs="Arial" w:eastAsia="Arial" w:hAnsi="Arial"/>
          <w:sz w:val="18"/>
          <w:szCs w:val="18"/>
          <w:color w:val="auto"/>
        </w:rPr>
      </w:pPr>
    </w:p>
    <w:p>
      <w:pPr>
        <w:jc w:val="both"/>
        <w:ind w:left="660" w:firstLine="644"/>
        <w:spacing w:after="0" w:line="222" w:lineRule="auto"/>
        <w:tabs>
          <w:tab w:leader="none" w:pos="17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 in connection with workers’ compensation, unemployment insurance and other social security legislation and (ii) securing liability for reimbursement or indemnification obligations of (including obligations in respect of letters of credit or bank guarantees or similar instruments for the benefit of) insurance carriers providing property, casualty or liability insurance to Holdings, the Borrower or any Restricted Subsidiary or otherwise supporting the payment of items set forth in the foregoing clause (i);</w:t>
      </w:r>
    </w:p>
    <w:p>
      <w:pPr>
        <w:spacing w:after="0" w:line="163" w:lineRule="exact"/>
        <w:rPr>
          <w:rFonts w:ascii="Arial" w:cs="Arial" w:eastAsia="Arial" w:hAnsi="Arial"/>
          <w:sz w:val="18"/>
          <w:szCs w:val="18"/>
          <w:color w:val="auto"/>
        </w:rPr>
      </w:pPr>
    </w:p>
    <w:p>
      <w:pPr>
        <w:jc w:val="both"/>
        <w:ind w:left="660" w:firstLine="644"/>
        <w:spacing w:after="0" w:line="254" w:lineRule="auto"/>
        <w:tabs>
          <w:tab w:leader="none" w:pos="1769" w:val="left"/>
        </w:tabs>
        <w:numPr>
          <w:ilvl w:val="0"/>
          <w:numId w:val="68"/>
        </w:numPr>
        <w:rPr>
          <w:rFonts w:ascii="Arial" w:cs="Arial" w:eastAsia="Arial" w:hAnsi="Arial"/>
          <w:sz w:val="16"/>
          <w:szCs w:val="16"/>
          <w:color w:val="auto"/>
        </w:rPr>
      </w:pPr>
      <w:r>
        <w:rPr>
          <w:rFonts w:ascii="Arial" w:cs="Arial" w:eastAsia="Arial" w:hAnsi="Arial"/>
          <w:sz w:val="16"/>
          <w:szCs w:val="16"/>
          <w:color w:val="auto"/>
        </w:rPr>
        <w:t>Liens incurred or deposits made to secure the performance of bids, trade contracts, governmental contracts and leases, statutory obligations, surety, stay, customs and appeal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incurred in the ordinary course of business or consistent with past practices;</w:t>
      </w:r>
    </w:p>
    <w:p>
      <w:pPr>
        <w:spacing w:after="0" w:line="152" w:lineRule="exact"/>
        <w:rPr>
          <w:rFonts w:ascii="Arial" w:cs="Arial" w:eastAsia="Arial" w:hAnsi="Arial"/>
          <w:sz w:val="16"/>
          <w:szCs w:val="16"/>
          <w:color w:val="auto"/>
        </w:rPr>
      </w:pPr>
    </w:p>
    <w:p>
      <w:pPr>
        <w:jc w:val="both"/>
        <w:ind w:left="660" w:firstLine="644"/>
        <w:spacing w:after="0" w:line="222" w:lineRule="auto"/>
        <w:tabs>
          <w:tab w:leader="none" w:pos="17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easements, encumbrances, rights-of-way, reservations, restrictions, restrictive covenants, servitudes, sewers, electric lines, drains, telegraph and telephone and cable television lines, gas and oil pipelines and other similar purposes building codes, encroachments, protrusions, zoning restrictions, and other similar encumbrances and minor title defects or other irregularities in title and survey exceptions affecting real property that, in the aggregate, do not in any case materially interfere with the ordinary conduct of the business of the Borrower and the Restricted Subsidiaries, taken as a whole;</w:t>
      </w:r>
    </w:p>
    <w:p>
      <w:pPr>
        <w:spacing w:after="0" w:line="163" w:lineRule="exact"/>
        <w:rPr>
          <w:rFonts w:ascii="Arial" w:cs="Arial" w:eastAsia="Arial" w:hAnsi="Arial"/>
          <w:sz w:val="18"/>
          <w:szCs w:val="18"/>
          <w:color w:val="auto"/>
        </w:rPr>
      </w:pPr>
    </w:p>
    <w:p>
      <w:pPr>
        <w:ind w:left="1660" w:hanging="356"/>
        <w:spacing w:after="0"/>
        <w:tabs>
          <w:tab w:leader="none" w:pos="1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Liens securing, or otherwise arising from, judgments not constituting an Event of Default under </w:t>
      </w:r>
      <w:r>
        <w:rPr>
          <w:rFonts w:ascii="Arial" w:cs="Arial" w:eastAsia="Arial" w:hAnsi="Arial"/>
          <w:sz w:val="18"/>
          <w:szCs w:val="18"/>
          <w:u w:val="single" w:color="auto"/>
          <w:color w:val="auto"/>
        </w:rPr>
        <w:t>Section 7.01(j)</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660" w:firstLine="644"/>
        <w:spacing w:after="0" w:line="254" w:lineRule="auto"/>
        <w:tabs>
          <w:tab w:leader="none" w:pos="1724"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Liens on goods the purchase price of which is financed by a documentary letter of credit issued for the account of the Borrower or any of its Subsidiaries or Liens on bills of lading, drafts or other documents of title arising by operation of law or pursuant to the standard terms of agreements relating to letters of credit, bank guarantees and other similar instruments,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 secures only the obligations of the Borrower or such Subsidiaries in respect of such letter of credit to the extent such obligations are permitted by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left="660" w:firstLine="644"/>
        <w:spacing w:after="0" w:line="237" w:lineRule="auto"/>
        <w:tabs>
          <w:tab w:leader="none" w:pos="177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rights of setoff, banker’s liens, netting agreements and other Liens arising by operation of law or by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 and</w:t>
      </w:r>
    </w:p>
    <w:p>
      <w:pPr>
        <w:spacing w:after="0" w:line="176" w:lineRule="exact"/>
        <w:rPr>
          <w:rFonts w:ascii="Arial" w:cs="Arial" w:eastAsia="Arial" w:hAnsi="Arial"/>
          <w:sz w:val="17"/>
          <w:szCs w:val="17"/>
          <w:color w:val="auto"/>
        </w:rPr>
      </w:pPr>
    </w:p>
    <w:p>
      <w:pPr>
        <w:ind w:left="660" w:firstLine="644"/>
        <w:spacing w:after="0" w:line="235" w:lineRule="auto"/>
        <w:tabs>
          <w:tab w:leader="none" w:pos="1673"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Liens arising from precautionary Uniform Commercial Code financing statements or similar filings, or Liens in respect of operating leases entered into by the Borrower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44</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First Priority Refinancing Debt</w:t>
      </w:r>
      <w:r>
        <w:rPr>
          <w:rFonts w:ascii="Arial" w:cs="Arial" w:eastAsia="Arial" w:hAnsi="Arial"/>
          <w:sz w:val="16"/>
          <w:szCs w:val="16"/>
          <w:color w:val="auto"/>
        </w:rPr>
        <w:t xml:space="preserve">” means any secured Indebtedness incurred by the Borrower or any Loan Party in the form of one or more series of senior secured notes or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Indebtedness is secured by a Lien on the Collateral ranking equal in priority (but without regard to control of remedies) with the Lien on the Collateral securing the Secured Obligations and is not secured by any property or assets of</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Holdings, the Borrower or any Subsidiary other than the Collateral, (b) such Indebtedness constitutes Credit Agreement Refinancing Indebtedness in respect of Loans (including portions of Classes of Loans or Other Loans), (c) such Indebtedness (other than Customary Bridge Loans) does not have mandatory redemption features (other than Customary Exceptions) that could result in redemptions of such Indebtedness prior to the maturity of the</w:t>
      </w:r>
    </w:p>
    <w:p>
      <w:pPr>
        <w:jc w:val="both"/>
        <w:spacing w:after="0" w:line="234" w:lineRule="auto"/>
        <w:rPr>
          <w:sz w:val="20"/>
          <w:szCs w:val="20"/>
          <w:color w:val="auto"/>
        </w:rPr>
      </w:pPr>
      <w:r>
        <w:rPr>
          <w:rFonts w:ascii="Arial" w:cs="Arial" w:eastAsia="Arial" w:hAnsi="Arial"/>
          <w:sz w:val="16"/>
          <w:szCs w:val="16"/>
          <w:color w:val="auto"/>
        </w:rPr>
        <w:t>Refinanced Debt (it being understood that the Borrower and the Loan Parties shall be permitted to make any AHYDO “catch up” payments, if applicable) and (d) a Senior Representative acting on behalf of the holders of such Indebtedness shall have become party to a First Lien Intercreditor Agreement and, if applicable, a Second Lien Intercreditor Agreement. Permitted First Priority Refinancing Debt will include any Registered Equivalent Notes issued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exchange therefor.</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Permitted Holder</w:t>
      </w:r>
      <w:r>
        <w:rPr>
          <w:rFonts w:ascii="Arial" w:cs="Arial" w:eastAsia="Arial" w:hAnsi="Arial"/>
          <w:sz w:val="16"/>
          <w:szCs w:val="16"/>
          <w:color w:val="auto"/>
        </w:rPr>
        <w:t xml:space="preserve">” means any of (a) any Sponsor, (b) any of the Management Investors and their Permitted Transferees, and (c) any group of which the Persons described in clauses (a) and/or (b) are members and any other member of such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Persons described in clauses (a)</w:t>
      </w:r>
    </w:p>
    <w:p>
      <w:pPr>
        <w:jc w:val="both"/>
        <w:spacing w:after="0" w:line="226" w:lineRule="auto"/>
        <w:rPr>
          <w:sz w:val="20"/>
          <w:szCs w:val="20"/>
          <w:color w:val="auto"/>
        </w:rPr>
      </w:pPr>
      <w:r>
        <w:rPr>
          <w:rFonts w:ascii="Arial" w:cs="Arial" w:eastAsia="Arial" w:hAnsi="Arial"/>
          <w:sz w:val="18"/>
          <w:szCs w:val="18"/>
          <w:color w:val="auto"/>
        </w:rPr>
        <w:t>and (b), without giving effect to the existence of such group or any other group, collectively own, directly or indirectly, Voting Equity Interests in such Person representing a majority of the aggregate votes entitled to vote for the election of directors of such Person.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 any of the following, to the extent owned by Holdings, the Borrower or any Restricted Subsidiary:</w:t>
      </w:r>
    </w:p>
    <w:p>
      <w:pPr>
        <w:spacing w:after="0" w:line="198" w:lineRule="exact"/>
        <w:rPr>
          <w:sz w:val="20"/>
          <w:szCs w:val="20"/>
          <w:color w:val="auto"/>
        </w:rPr>
      </w:pPr>
    </w:p>
    <w:p>
      <w:pPr>
        <w:ind w:left="660" w:firstLine="644"/>
        <w:spacing w:after="0" w:line="235" w:lineRule="auto"/>
        <w:tabs>
          <w:tab w:leader="none" w:pos="1702" w:val="left"/>
        </w:tabs>
        <w:numPr>
          <w:ilvl w:val="0"/>
          <w:numId w:val="69"/>
        </w:numPr>
        <w:rPr>
          <w:rFonts w:ascii="Arial" w:cs="Arial" w:eastAsia="Arial" w:hAnsi="Arial"/>
          <w:sz w:val="18"/>
          <w:szCs w:val="18"/>
          <w:color w:val="auto"/>
        </w:rPr>
      </w:pPr>
      <w:r>
        <w:rPr>
          <w:rFonts w:ascii="Arial" w:cs="Arial" w:eastAsia="Arial" w:hAnsi="Arial"/>
          <w:sz w:val="18"/>
          <w:szCs w:val="18"/>
          <w:color w:val="auto"/>
        </w:rPr>
        <w:t>dollars, euro, pounds, Australian dollars, Swiss Francs, Canadian dollars, Yuan or such other currencies held by it from time to time in the ordinary course of business;</w:t>
      </w:r>
    </w:p>
    <w:p>
      <w:pPr>
        <w:spacing w:after="0" w:line="161" w:lineRule="exact"/>
        <w:rPr>
          <w:rFonts w:ascii="Arial" w:cs="Arial" w:eastAsia="Arial" w:hAnsi="Arial"/>
          <w:sz w:val="18"/>
          <w:szCs w:val="18"/>
          <w:color w:val="auto"/>
        </w:rPr>
      </w:pPr>
    </w:p>
    <w:p>
      <w:pPr>
        <w:jc w:val="both"/>
        <w:ind w:left="660" w:firstLine="644"/>
        <w:spacing w:after="0" w:line="222" w:lineRule="auto"/>
        <w:tabs>
          <w:tab w:leader="none" w:pos="1698"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government or any agency or instrumentality of (i) the United States, (ii) the United Kingdom or (iii) any member nation of the European Union rated A-2 (or the equivalent thereof) or better by S&amp;P or P-2 (or the equivalent thereof) or better by Moody’s, having average maturities of not more than 24 months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the United States, the United Kingdom or such member nation of the European Union is pledged in support thereof;</w:t>
      </w:r>
    </w:p>
    <w:p>
      <w:pPr>
        <w:spacing w:after="0" w:line="163" w:lineRule="exact"/>
        <w:rPr>
          <w:rFonts w:ascii="Arial" w:cs="Arial" w:eastAsia="Arial" w:hAnsi="Arial"/>
          <w:sz w:val="18"/>
          <w:szCs w:val="18"/>
          <w:color w:val="auto"/>
        </w:rPr>
      </w:pPr>
    </w:p>
    <w:p>
      <w:pPr>
        <w:jc w:val="both"/>
        <w:ind w:left="660" w:firstLine="644"/>
        <w:spacing w:after="0" w:line="236" w:lineRule="auto"/>
        <w:tabs>
          <w:tab w:leader="none" w:pos="1705" w:val="left"/>
        </w:tabs>
        <w:numPr>
          <w:ilvl w:val="0"/>
          <w:numId w:val="69"/>
        </w:numPr>
        <w:rPr>
          <w:rFonts w:ascii="Arial" w:cs="Arial" w:eastAsia="Arial" w:hAnsi="Arial"/>
          <w:sz w:val="17"/>
          <w:szCs w:val="17"/>
          <w:color w:val="auto"/>
        </w:rPr>
      </w:pPr>
      <w:r>
        <w:rPr>
          <w:rFonts w:ascii="Arial" w:cs="Arial" w:eastAsia="Arial" w:hAnsi="Arial"/>
          <w:sz w:val="17"/>
          <w:szCs w:val="17"/>
          <w:color w:val="auto"/>
        </w:rPr>
        <w:t>time deposits or demand deposits with, or insured certificates of deposit or bankers’ acceptances of, any commercial bank that (i) is a Lender or (ii) has combined capital and surplus of at least (x) $250,000,000 in the case of U.S. banks and (y) $100,000,000 (or the Dollar Equivalent as of the date of determination) in the case of non-U.S. banks (any such bank meeting the requirements of clause (i) or (ii) above being an “</w:t>
      </w:r>
      <w:r>
        <w:rPr>
          <w:rFonts w:ascii="Arial" w:cs="Arial" w:eastAsia="Arial" w:hAnsi="Arial"/>
          <w:sz w:val="17"/>
          <w:szCs w:val="17"/>
          <w:u w:val="single" w:color="auto"/>
          <w:color w:val="auto"/>
        </w:rPr>
        <w:t>Approved Bank</w:t>
      </w:r>
      <w:r>
        <w:rPr>
          <w:rFonts w:ascii="Arial" w:cs="Arial" w:eastAsia="Arial" w:hAnsi="Arial"/>
          <w:sz w:val="17"/>
          <w:szCs w:val="17"/>
          <w:color w:val="auto"/>
        </w:rPr>
        <w:t>”), in each case with average maturities of not more than 12 months from the date of acquisition thereof;</w:t>
      </w:r>
    </w:p>
    <w:p>
      <w:pPr>
        <w:spacing w:after="0" w:line="162" w:lineRule="exact"/>
        <w:rPr>
          <w:rFonts w:ascii="Arial" w:cs="Arial" w:eastAsia="Arial" w:hAnsi="Arial"/>
          <w:sz w:val="17"/>
          <w:szCs w:val="17"/>
          <w:color w:val="auto"/>
        </w:rPr>
      </w:pPr>
    </w:p>
    <w:p>
      <w:pPr>
        <w:jc w:val="both"/>
        <w:ind w:left="660" w:firstLine="644"/>
        <w:spacing w:after="0" w:line="267" w:lineRule="auto"/>
        <w:tabs>
          <w:tab w:leader="none" w:pos="1726"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24 months from the date of acquisition thereof;</w:t>
      </w:r>
    </w:p>
    <w:p>
      <w:pPr>
        <w:spacing w:after="0" w:line="141" w:lineRule="exact"/>
        <w:rPr>
          <w:rFonts w:ascii="Arial" w:cs="Arial" w:eastAsia="Arial" w:hAnsi="Arial"/>
          <w:sz w:val="16"/>
          <w:szCs w:val="16"/>
          <w:color w:val="auto"/>
        </w:rPr>
      </w:pPr>
    </w:p>
    <w:p>
      <w:pPr>
        <w:jc w:val="both"/>
        <w:ind w:left="660" w:firstLine="644"/>
        <w:spacing w:after="0" w:line="229" w:lineRule="auto"/>
        <w:tabs>
          <w:tab w:leader="none" w:pos="1709"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repurchase agreements entered into by any Person with an Approved Bank, a bank or trust company (including any of the Lenders) or recognized securities dealer, in each case, having capital and surplus in excess of (i) $250,000,000 in the case of U.S. banks and (ii) $100,000,000 (or the Dollar Equivalent as of the date of determination) in the case of non-U.S. banks, in each case, for direct obligations issued by or fully guaranteed or insured by the government or any agency or instrumentality of (i) the United States, (ii) the United Kingdom or (iii) any member nation of the European Union rated A-2 (or the equivalent thereof) or better by S&amp;P and P-2 (or the equivalent thereof) or better by Moody’s, in which such Person shall have a perfected first priority security interest (subject to no other Liens) and having, on the date of purchase thereof, a Fair Market Value of at least 100% of the amount of the repurchase obligations;</w:t>
      </w:r>
    </w:p>
    <w:p>
      <w:pPr>
        <w:spacing w:after="0" w:line="179" w:lineRule="exact"/>
        <w:rPr>
          <w:rFonts w:ascii="Arial" w:cs="Arial" w:eastAsia="Arial" w:hAnsi="Arial"/>
          <w:sz w:val="17"/>
          <w:szCs w:val="17"/>
          <w:color w:val="auto"/>
        </w:rPr>
      </w:pPr>
    </w:p>
    <w:p>
      <w:pPr>
        <w:jc w:val="both"/>
        <w:ind w:left="660" w:firstLine="644"/>
        <w:spacing w:after="0" w:line="254" w:lineRule="auto"/>
        <w:tabs>
          <w:tab w:leader="none" w:pos="1726" w:val="left"/>
        </w:tabs>
        <w:numPr>
          <w:ilvl w:val="0"/>
          <w:numId w:val="69"/>
        </w:numPr>
        <w:rPr>
          <w:rFonts w:ascii="Arial" w:cs="Arial" w:eastAsia="Arial" w:hAnsi="Arial"/>
          <w:sz w:val="16"/>
          <w:szCs w:val="16"/>
          <w:color w:val="auto"/>
        </w:rPr>
      </w:pPr>
      <w:r>
        <w:rPr>
          <w:rFonts w:ascii="Arial" w:cs="Arial" w:eastAsia="Arial" w:hAnsi="Arial"/>
          <w:sz w:val="16"/>
          <w:szCs w:val="16"/>
          <w:color w:val="auto"/>
        </w:rPr>
        <w:t>marketable short-term money market and similar highly liquid funds either (i) having assets in excess of (x) $250,000,000 in the case of U.S. banks or other U.S. financial institutions and (y) $100,000,000 (or the Dollar Equivalent as of the date of determination) in the case of non-U.S. banks or other non-U.S. financial institutions or (ii) having a rating of at least A-2 or P-2 from either S&amp;P or Moody’s (or, if at any time neither S&amp;P nor Moody’s shall be rating such obligations, an equivalent rating from another nationally recognized rating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45</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63" w:lineRule="exact"/>
        <w:rPr>
          <w:sz w:val="20"/>
          <w:szCs w:val="20"/>
          <w:color w:val="auto"/>
        </w:rPr>
      </w:pPr>
    </w:p>
    <w:p>
      <w:pPr>
        <w:jc w:val="both"/>
        <w:ind w:left="660" w:firstLine="644"/>
        <w:spacing w:after="0" w:line="224" w:lineRule="auto"/>
        <w:tabs>
          <w:tab w:leader="none" w:pos="18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securities with average maturities of 24 months or less from the date of acquisition issued or fully guaranteed by any state, commonwealth or territory of the United States, or by any political subdivision or taxing authority of any such state, commonwealth or territory having an investment grade rating from either S&amp;P or Moody’s (or the equivalent thereof);</w:t>
      </w:r>
    </w:p>
    <w:p>
      <w:pPr>
        <w:spacing w:after="0" w:line="176" w:lineRule="exact"/>
        <w:rPr>
          <w:rFonts w:ascii="Arial" w:cs="Arial" w:eastAsia="Arial" w:hAnsi="Arial"/>
          <w:sz w:val="18"/>
          <w:szCs w:val="18"/>
          <w:color w:val="auto"/>
        </w:rPr>
      </w:pPr>
    </w:p>
    <w:p>
      <w:pPr>
        <w:ind w:left="660" w:firstLine="644"/>
        <w:spacing w:after="0" w:line="235" w:lineRule="auto"/>
        <w:tabs>
          <w:tab w:leader="none" w:pos="1756"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investments with average maturities of 24 months or less from the date of acquisition in mutual funds rated A (or the equivalent thereof) or better by S&amp;P or A2 (or the equivalent thereof) or better by Moody’s;</w:t>
      </w:r>
    </w:p>
    <w:p>
      <w:pPr>
        <w:spacing w:after="0" w:line="161" w:lineRule="exact"/>
        <w:rPr>
          <w:rFonts w:ascii="Arial" w:cs="Arial" w:eastAsia="Arial" w:hAnsi="Arial"/>
          <w:sz w:val="18"/>
          <w:szCs w:val="18"/>
          <w:color w:val="auto"/>
        </w:rPr>
      </w:pPr>
    </w:p>
    <w:p>
      <w:pPr>
        <w:jc w:val="both"/>
        <w:ind w:left="660" w:firstLine="644"/>
        <w:spacing w:after="0" w:line="223" w:lineRule="auto"/>
        <w:tabs>
          <w:tab w:leader="none" w:pos="1746"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instruments equivalent to those referred to in clauses (a) through (h) above denominated in Euro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75" w:lineRule="exact"/>
        <w:rPr>
          <w:rFonts w:ascii="Arial" w:cs="Arial" w:eastAsia="Arial" w:hAnsi="Arial"/>
          <w:sz w:val="18"/>
          <w:szCs w:val="18"/>
          <w:color w:val="auto"/>
        </w:rPr>
      </w:pPr>
    </w:p>
    <w:p>
      <w:pPr>
        <w:jc w:val="both"/>
        <w:ind w:left="660" w:firstLine="644"/>
        <w:spacing w:after="0" w:line="223" w:lineRule="auto"/>
        <w:tabs>
          <w:tab w:leader="none" w:pos="1687"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investments, classified in accordance with GAAP as current assets, in money market investment programs that are registered under the Investment Company Act of 1940 or that are administered by financial institutions having capital of at least $250,000,000, and, in either case, the portfolios of which are limited such that substantially all of such investments are of the character, quality and maturity described in clauses (a) through (i) of this definition;</w:t>
      </w:r>
    </w:p>
    <w:p>
      <w:pPr>
        <w:spacing w:after="0" w:line="162" w:lineRule="exact"/>
        <w:rPr>
          <w:rFonts w:ascii="Arial" w:cs="Arial" w:eastAsia="Arial" w:hAnsi="Arial"/>
          <w:sz w:val="18"/>
          <w:szCs w:val="18"/>
          <w:color w:val="auto"/>
        </w:rPr>
      </w:pPr>
    </w:p>
    <w:p>
      <w:pPr>
        <w:jc w:val="both"/>
        <w:ind w:left="660" w:firstLine="644"/>
        <w:spacing w:after="0" w:line="227" w:lineRule="auto"/>
        <w:tabs>
          <w:tab w:leader="none" w:pos="1723"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with respect to any Foreign Subsidiary: (i) obligations of the national government of the country in which such Foreign Subsidiary is organized or maintains its chief executive office and principal place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country is the United Kingdom, India, China, Australia, a member nation of the European Union whose legal tender is the British Pound Sterling or the Euro or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is organized or doing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country is the United Kingdom, India, China, Australia, a member state of the European Union or a member of the Organization for Economic Cooperation and Development, and whose short-term commercial paper rating from S&amp;P is at least “A-2” or the equivalent thereof or from Moody’s is at least “P-2” or the equivalent thereof (any such bank being an “</w:t>
      </w:r>
      <w:r>
        <w:rPr>
          <w:rFonts w:ascii="Arial" w:cs="Arial" w:eastAsia="Arial" w:hAnsi="Arial"/>
          <w:sz w:val="17"/>
          <w:szCs w:val="17"/>
          <w:u w:val="single" w:color="auto"/>
          <w:color w:val="auto"/>
        </w:rPr>
        <w:t>Approved Foreign Bank</w:t>
      </w:r>
      <w:r>
        <w:rPr>
          <w:rFonts w:ascii="Arial" w:cs="Arial" w:eastAsia="Arial" w:hAnsi="Arial"/>
          <w:sz w:val="17"/>
          <w:szCs w:val="17"/>
          <w:color w:val="auto"/>
        </w:rPr>
        <w:t>”), and in each case with maturities of not more than 24 months from the date of acquisition and (iii) the equivalent of demand deposit accounts which are maintained with an Approved Foreign Bank; and</w:t>
      </w:r>
    </w:p>
    <w:p>
      <w:pPr>
        <w:spacing w:after="0" w:line="162" w:lineRule="exact"/>
        <w:rPr>
          <w:rFonts w:ascii="Arial" w:cs="Arial" w:eastAsia="Arial" w:hAnsi="Arial"/>
          <w:sz w:val="17"/>
          <w:szCs w:val="17"/>
          <w:color w:val="auto"/>
        </w:rPr>
      </w:pPr>
    </w:p>
    <w:p>
      <w:pPr>
        <w:ind w:left="1660" w:hanging="356"/>
        <w:spacing w:after="0"/>
        <w:tabs>
          <w:tab w:leader="none" w:pos="1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investment funds investing substantially all of their assets in securities of the types described in clauses (a) through (k) above.</w:t>
      </w:r>
    </w:p>
    <w:p>
      <w:pPr>
        <w:spacing w:after="0" w:line="21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Financing</w:t>
      </w:r>
      <w:r>
        <w:rPr>
          <w:rFonts w:ascii="Arial" w:cs="Arial" w:eastAsia="Arial" w:hAnsi="Arial"/>
          <w:sz w:val="16"/>
          <w:szCs w:val="16"/>
          <w:color w:val="auto"/>
        </w:rPr>
        <w:t>” means receivables securitizations or other receivables financings (including any factoring program) that are non-recourse to Holdings, the Borrower and the Restricted Subsidiaries (except for (a) recourse to any Foreign Subsidiaries that own the assets underlying such financing (or have sold such assets in connection with such financing), (b) any customary limited recourse or, to the extent applicable only to Foreign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Subsidiaries, recourse that is customary in the relevant local market, (c) any performance undertaking or to the extent applicable only to Foreign Subsidiaries, any Guarantee that is customary in the relevant local market and (d) any unsecured parent Guarantee by Holdings, the Borrower or any Restricted Subsidiary that is a parent company of the relevant Restricted Subsidiary that is party thereto and, in each case, reasonable extensions thereof);</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Permitted Receivables Financings incurred in the form of a factoring program, the outstanding amount of such Permitted Receivables Financing for the purposes of this definition shall be deemed to be equal to the Permitted Receivables Net Investment for the last Test Period.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Net Investment</w:t>
      </w:r>
      <w:r>
        <w:rPr>
          <w:rFonts w:ascii="Arial" w:cs="Arial" w:eastAsia="Arial" w:hAnsi="Arial"/>
          <w:sz w:val="16"/>
          <w:szCs w:val="16"/>
          <w:color w:val="auto"/>
        </w:rPr>
        <w:t>” means the aggregate cash amount paid by the purchasers under any Permitted Receivables Financing in</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form of a factoring program in connection with their purchase of accounts receivable and customary related assets or interests therein, as the same may be reduced from time to time by collections with respect to such accounts receivable and related assets or otherwise in accordance with the terms of such Permitted Receivables Financing (but excluding any such collections used to make payments of commissions, discounts, yield and other fees and charges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incurred in connection with any Permitted Receivables Financing in the form of a factoring program which are payable to any Person other than the Borrower or a Restricted Subsidiary).</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 xml:space="preserve">” means, with respect to any Person, any modification, refinancing, refunding, renewal or extension of all or any portion of Indebtedness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principal amount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46</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accreted value, if applicable) thereof does not exceed the principal amount (or accreted value, if applicable) of the Indebtedness so modified, refinanced, refunded, renewed or extended except by an amount equal to unpaid accrued interest and premium (including tender premium) thereon plus other amounts paid, and fees and expenses incurred (including upfront fees and original issue discount), in connection with such modification, refinancing, refunding,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renewal or extension and by an amount equal to any existing commitments unutilized thereunder to the extent that the portion of any existing and unutilized commitment being refinanced was permitted to be drawn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of this Agreement immediately prior to such refinancing (other than by reference to a Permitted Refinancing) and such drawing shall be deemed to have been made, (b) other than with respect to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Permitted Refinancing incurred pursuant to the Maturity Carveout Amount, in respect of Incremental Equivalent Debt,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renewed or extended (other than Customary Bridge Loans), (c) if the Indebtedness being modified, refinanced, refunded, renewed or extended is subordinated in right of payment to the Loan Document Obligations, Indebtedness resulting from such modification, refinancing, refunding, renewal or extension is subordinated in right of payment to the Loan Document Obligations on terms at least as favorable to the Lenders as those contained in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documentation governing the Indebtedness being modified, refinanced, refunded, renewed or extended, (d) if the Indebtedness being modified, refinanced, refunded, renewed or extended constitutes Junior Financing, the terms and conditions (excluding as to subordination, interest rate (including whether such interest is payable in cash or in kind), interest rate margins, pricing, rate floors, fees, discounts, premiums and prepayment or redemption provisions)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Indebtedness resulting from such modification, refinancing, refunding, renewal or extension, taken as a whole, either (I) are not materially more favorable to the investors providing such Indebtedness than the terms and conditions (when taken as a whole) of the Indebtedness being modified, refinanced, refunded, renewed or extended (except for covenants or other provisions applicable to periods after the Latest Maturity Date at the time such Indebtedness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is incurred) (it being understood that, to the extent that any financial maintenance covenant or any other covenant is added for the benefit of any such Permitted Refinancing, the terms shall not be considered materially more favorable if such financial maintenance covenant or other covenant is either (A) also added for the benefit of any corresponding Loans remaining outstanding after the issuance or incurrence of such Permitted Refinancing or (B) only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applicable after the Latest Maturity Date at the time of such refinancing) or (II) reflect market terms and conditions (taken as a whole) at the time such Indebtedness is incurred (as determined by the Borrower in good faith);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delivered to the Administrative Agent at least five (5) Business Days prior to such modification, refinancing, refunding, renewal or extension, together with a reasonably detailed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and (e) the primary obligor in respect of, and/or the Persons (if any) that Guarantee, the Indebtedness resulting from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modification, refinancing, refunding, renewal or extension are the primary obligor in respect of, and/or Persons (if any) that Guaranteed, the Indebtedness being modified, refinanced, refunded, renewed or extended. For the avoidance of doubt, it is understood that a Permitted Refinancing may constitute a portion of an issuance of Indebtedness in excess of the amount of such Permitted Refinancing;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excess amount is otherwise permitted to</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be incurred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For the avoidance of doubt, it is understood and agreed that a Permitted Refinancing includes successive Permitted Refinancings of the same Indebtedness.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Second Priority Refinancing Debt</w:t>
      </w:r>
      <w:r>
        <w:rPr>
          <w:rFonts w:ascii="Arial" w:cs="Arial" w:eastAsia="Arial" w:hAnsi="Arial"/>
          <w:sz w:val="16"/>
          <w:szCs w:val="16"/>
          <w:color w:val="auto"/>
        </w:rPr>
        <w:t>” means any secured Indebtedness incurred by the Borrower or any Loan Party in the form of one or</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more series of junior lien secured notes or junior lien secured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 secured by a Lien on the Collateral ranking junior in priority to the Lien on the Collateral securing the Secured Obligations and is not secured by any property or assets of the Borrower or any Restricted Subsidiary other than the Collateral, (ii) such Indebtedness constitutes Credit Agreement Refinancing Indebtedness in respect of Loans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(including portions of Classes of Loans or Other Loans), (iii) such Indebtedness (other than Customary Bridge Loans) does not have mandatory redemption features (other than Customary Exceptions) that could result in redemptions of such Indebtedness prior to the maturity of the Refinanced Debt (it being understood that the Borrower and Loan Parties shall be permitted to make any AHYDO “catch up” payments, if applicable) and (iv) a Senior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Representative acting on behalf of the holders of such Indebtedness shall have become party to a Second Lien Intercreditor Agreement. Permitted Second Priority Refinancing Debt will include any Registered Equivalent Notes issued in exchange therefor.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Transferees</w:t>
      </w:r>
      <w:r>
        <w:rPr>
          <w:rFonts w:ascii="Arial" w:cs="Arial" w:eastAsia="Arial" w:hAnsi="Arial"/>
          <w:sz w:val="17"/>
          <w:szCs w:val="17"/>
          <w:color w:val="auto"/>
        </w:rPr>
        <w:t>” means, with respect to any Person that is a natural person (and any Permitted Transferee of such Person), (a) such</w:t>
      </w:r>
    </w:p>
    <w:p>
      <w:pPr>
        <w:spacing w:after="0" w:line="1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Person’s Immediate Family Members, including his or her spouse, ex-spouse, children, step-children and their respective lineal descendants and (b) without duplication with any of the foregoing, such Person’s heirs, legatees, executors and/or administrators upon the death of such Person and any other Person who was an Affiliate of such Person upon the death of such Person and who, upon such death, directly or indirectly owned Equity Interests in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47</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Unsecured Refinancing Debt</w:t>
      </w:r>
      <w:r>
        <w:rPr>
          <w:rFonts w:ascii="Arial" w:cs="Arial" w:eastAsia="Arial" w:hAnsi="Arial"/>
          <w:sz w:val="16"/>
          <w:szCs w:val="16"/>
          <w:color w:val="auto"/>
        </w:rPr>
        <w:t xml:space="preserve">” means unsecured Indebtedness incurred by the Borrower or any Loan Party in the form of one or more series of senior unsecured notes or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constitutes Credit Agreement Refinancing Indebtedness in respect of Loans (including portions of Classes of Loans or Other Loans), (ii) such Indebtedness (other than Customary Bridge Loans) does not have mandatory redemption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features (other than Customary Exceptions) that could result in redemptions of such Indebtedness prior to the maturity of the Refinanced Debt (it being understood that the Borrower and the Restricted Subsidiaries shall be permitted to make any AHYDO “catch up” payments, if applicable) and (iii) such Indebtedness is not secured by any Lien on any property or assets of the Borrower or any Restricted Subsidiary. Permitted Unsecured Refinancing Debt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will include any Registered Equivalent Notes issued in exchange therefor.</w:t>
      </w:r>
    </w:p>
    <w:p>
      <w:pPr>
        <w:spacing w:after="0" w:line="16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any “employee pension benefit plan” as defined in Section 3(2) of ERISA (other than a Multiemployer Plan) that is subject to the provisions of Title IV of ERISA or Section 412 of the Code or Section 302 of ERISA, and in respect of which a Loan Party or any ERISA Affiliate is (or, if such plan were terminated, would under Section 4069 of ERISA be deemed to be) an “employer” as defined in Section 3(5) of ERISA.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Planned Expenditures</w:t>
      </w:r>
      <w:r>
        <w:rPr>
          <w:rFonts w:ascii="Arial" w:cs="Arial" w:eastAsia="Arial" w:hAnsi="Arial"/>
          <w:sz w:val="18"/>
          <w:szCs w:val="18"/>
          <w:color w:val="auto"/>
        </w:rPr>
        <w:t>” has the meaning assigned to such term in clause (b) of the definition of the term “ECF Deductions”.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Post-Transaction Period</w:t>
      </w:r>
      <w:r>
        <w:rPr>
          <w:rFonts w:ascii="Arial" w:cs="Arial" w:eastAsia="Arial" w:hAnsi="Arial"/>
          <w:sz w:val="16"/>
          <w:szCs w:val="16"/>
          <w:color w:val="auto"/>
        </w:rPr>
        <w:t>” means, with respect to any Specified Transaction, the period beginning on the date on which such Specified Transaction</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is consummated and ending on the last day of the eighth full consecutive fiscal quarter of the Borrower immediately following the date on which such Specified Transaction is consummated.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Event</w:t>
      </w:r>
      <w:r>
        <w:rPr>
          <w:rFonts w:ascii="Arial" w:cs="Arial" w:eastAsia="Arial" w:hAnsi="Arial"/>
          <w:sz w:val="18"/>
          <w:szCs w:val="18"/>
          <w:color w:val="auto"/>
        </w:rPr>
        <w:t>” means:</w:t>
      </w:r>
    </w:p>
    <w:p>
      <w:pPr>
        <w:spacing w:after="0" w:line="198" w:lineRule="exact"/>
        <w:rPr>
          <w:sz w:val="20"/>
          <w:szCs w:val="20"/>
          <w:color w:val="auto"/>
        </w:rPr>
      </w:pPr>
    </w:p>
    <w:p>
      <w:pPr>
        <w:jc w:val="both"/>
        <w:ind w:left="660" w:firstLine="644"/>
        <w:spacing w:after="0" w:line="223" w:lineRule="auto"/>
        <w:tabs>
          <w:tab w:leader="none" w:pos="1714"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any sale, transfer or other Disposition pursuant to </w:t>
      </w:r>
      <w:r>
        <w:rPr>
          <w:rFonts w:ascii="Arial" w:cs="Arial" w:eastAsia="Arial" w:hAnsi="Arial"/>
          <w:sz w:val="18"/>
          <w:szCs w:val="18"/>
          <w:u w:val="single" w:color="auto"/>
          <w:color w:val="auto"/>
        </w:rPr>
        <w:t>Section 6.05(k)</w:t>
      </w:r>
      <w:r>
        <w:rPr>
          <w:rFonts w:ascii="Arial" w:cs="Arial" w:eastAsia="Arial" w:hAnsi="Arial"/>
          <w:sz w:val="18"/>
          <w:szCs w:val="18"/>
          <w:color w:val="auto"/>
        </w:rPr>
        <w:t xml:space="preserve"> of any property or asset of the Borrower or any of the Restricted Subsidiaries (other than Dispositions resulting in aggregate Net Proceeds not exceeding the greater of (x) $20,000,000 and (y) 15% of Consolidated EBITDA for the most recently ended Test Period as of such time determined on a Pro Forma Basis in the case of any single transaction or series of related transactions) (each such event, an “</w:t>
      </w:r>
      <w:r>
        <w:rPr>
          <w:rFonts w:ascii="Arial" w:cs="Arial" w:eastAsia="Arial" w:hAnsi="Arial"/>
          <w:sz w:val="18"/>
          <w:szCs w:val="18"/>
          <w:u w:val="single" w:color="auto"/>
          <w:color w:val="auto"/>
        </w:rPr>
        <w:t>Asset Sale Prepayment Event</w:t>
      </w:r>
      <w:r>
        <w:rPr>
          <w:rFonts w:ascii="Arial" w:cs="Arial" w:eastAsia="Arial" w:hAnsi="Arial"/>
          <w:sz w:val="18"/>
          <w:szCs w:val="18"/>
          <w:color w:val="auto"/>
        </w:rPr>
        <w:t>”); or</w:t>
      </w:r>
    </w:p>
    <w:p>
      <w:pPr>
        <w:spacing w:after="0" w:line="162" w:lineRule="exact"/>
        <w:rPr>
          <w:rFonts w:ascii="Arial" w:cs="Arial" w:eastAsia="Arial" w:hAnsi="Arial"/>
          <w:sz w:val="18"/>
          <w:szCs w:val="18"/>
          <w:color w:val="auto"/>
        </w:rPr>
      </w:pPr>
    </w:p>
    <w:p>
      <w:pPr>
        <w:jc w:val="both"/>
        <w:ind w:left="660" w:firstLine="644"/>
        <w:spacing w:after="0" w:line="267" w:lineRule="auto"/>
        <w:tabs>
          <w:tab w:leader="none" w:pos="1728"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 incurrence by the Borrower or any of the Restricted Subsidiaries of any Indebtedness, other than Indebtedness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(other than Permitted Unsecured Refinancing Debt, Permitted First Priority Refinancing Debt, Permitted Second Priority Refinancing Debt and Other Term Loans resulting from a Refinancing Amendment) or permitted by the Required Lenders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w:t>
      </w:r>
    </w:p>
    <w:p>
      <w:pPr>
        <w:spacing w:after="0" w:line="1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Present Fair Saleable Value</w:t>
      </w:r>
      <w:r>
        <w:rPr>
          <w:rFonts w:ascii="Arial" w:cs="Arial" w:eastAsia="Arial" w:hAnsi="Arial"/>
          <w:sz w:val="16"/>
          <w:szCs w:val="16"/>
          <w:color w:val="auto"/>
        </w:rPr>
        <w:t>” means the amount that could be obtained by an independent willing seller from an independent willing buyer if the assets of the Borrower and its Subsidiaries taken as a whole are sold with reasonable promptness in an arm’s-length transaction under present conditions for</w:t>
      </w:r>
    </w:p>
    <w:p>
      <w:pPr>
        <w:jc w:val="right"/>
        <w:ind w:right="4100"/>
        <w:spacing w:after="0" w:line="500" w:lineRule="auto"/>
        <w:rPr>
          <w:sz w:val="20"/>
          <w:szCs w:val="20"/>
          <w:color w:val="auto"/>
        </w:rPr>
      </w:pPr>
      <w:r>
        <w:rPr>
          <w:rFonts w:ascii="Arial" w:cs="Arial" w:eastAsia="Arial" w:hAnsi="Arial"/>
          <w:sz w:val="16"/>
          <w:szCs w:val="16"/>
          <w:color w:val="auto"/>
        </w:rPr>
        <w:t>the sale of comparable business enterprises insofar as such conditions can be reasonably evaluated. “</w:t>
      </w:r>
      <w:r>
        <w:rPr>
          <w:rFonts w:ascii="Arial" w:cs="Arial" w:eastAsia="Arial" w:hAnsi="Arial"/>
          <w:sz w:val="16"/>
          <w:szCs w:val="16"/>
          <w:u w:val="single" w:color="auto"/>
          <w:color w:val="auto"/>
        </w:rPr>
        <w:t>primary obligor</w:t>
      </w:r>
      <w:r>
        <w:rPr>
          <w:rFonts w:ascii="Arial" w:cs="Arial" w:eastAsia="Arial" w:hAnsi="Arial"/>
          <w:sz w:val="16"/>
          <w:szCs w:val="16"/>
          <w:color w:val="auto"/>
        </w:rPr>
        <w:t>” has the meaning assigned to such term in the definition of “Guarantee.”</w:t>
      </w:r>
    </w:p>
    <w:p>
      <w:pPr>
        <w:jc w:val="both"/>
        <w:ind w:firstLine="648"/>
        <w:spacing w:after="0" w:line="24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publicly announced from time to time by the Administrative Agent as its “prime rate”; each change in the Prime Rate shall be effective from and including the date such change is publicly announced as being effective.</w:t>
      </w:r>
    </w:p>
    <w:p>
      <w:pPr>
        <w:spacing w:after="0" w:line="15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Pro Forma Adjustment</w:t>
      </w:r>
      <w:r>
        <w:rPr>
          <w:rFonts w:ascii="Arial" w:cs="Arial" w:eastAsia="Arial" w:hAnsi="Arial"/>
          <w:sz w:val="18"/>
          <w:szCs w:val="18"/>
          <w:color w:val="auto"/>
        </w:rPr>
        <w:t>” means, for any Test Period, any adjustment to Consolidated EBITDA made in accordance with clause (b) of the definition of that term.</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 Forma Compliance</w:t>
      </w:r>
      <w:r>
        <w:rPr>
          <w:rFonts w:ascii="Arial" w:cs="Arial" w:eastAsia="Arial" w:hAnsi="Arial"/>
          <w:sz w:val="16"/>
          <w:szCs w:val="16"/>
          <w:color w:val="auto"/>
        </w:rPr>
        <w:t>” and “</w:t>
      </w:r>
      <w:r>
        <w:rPr>
          <w:rFonts w:ascii="Arial" w:cs="Arial" w:eastAsia="Arial" w:hAnsi="Arial"/>
          <w:sz w:val="16"/>
          <w:szCs w:val="16"/>
          <w:u w:val="single" w:color="auto"/>
          <w:color w:val="auto"/>
        </w:rPr>
        <w:t>Pro Forma Effect</w:t>
      </w:r>
      <w:r>
        <w:rPr>
          <w:rFonts w:ascii="Arial" w:cs="Arial" w:eastAsia="Arial" w:hAnsi="Arial"/>
          <w:sz w:val="16"/>
          <w:szCs w:val="16"/>
          <w:color w:val="auto"/>
        </w:rPr>
        <w:t>” means, with respect to compliance with any test, financial ratio or covenant (including, without limitation, any Incurrence-Based Amount or any Fixed Amount) hereunder required by the terms of this Agreement to be made on a Pro Forma Basis, that (a) to the extent applicable, the Pro Forma Adjustment shall have been made and (b) all Specified Transactions and the following</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transactions in connection therewith that have been made during the applicable period of measurement or subsequent to such period and prior to or simultaneously with the event for which the calculation is made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48</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deemed to have occurred as of the first day of the applicable period of measurement in such test, financial ratio or covenant: (i) income statement items (whether positive or negative) attributable to the property or Person subject to such Specified Transaction, (A) in the case of a Disposition of Equity Interests in a Restricted Subsidiary such that such entity is no longer a Restricted Subsidiary or any division, business unit, line of business or product line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the Borrower or any of the Restricted Subsidiaries, shall be excluded, and (B) in the case of a Permitted Acquisition or Investment described in the definition of “Specified Transaction,” shall be included, (ii) any retirement or repayment of Indebtedness, (iii) any Indebtedness incurred or assumed by the Borrower or any of the Restricted Subsidiaries in connection therewith (but without giving effect to any concurrent incurrence of any Indebtedness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pursuant to any Fixed Amount or Consolidated EBITDA grower basket or under any Revolving Credit Facility)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(iv) Available Cash shall be calculated on the date of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consummation of the Specified Transaction after giving pro forma effect to such Specified Transaction (other than, for the avoidance of doubt, the cash proceeds of any Indebtedness the incurrence of which is a Specified Transaction or that is incurred to finance such Specified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limiting the application of the Pro Forma Adjustment pursuant to clause (a) above, the foregoing pro forma adjustments may be applied to any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test, financial ratio or covenant solely to the extent that such adjustments are consistent with the definition of “Consolidated EBITDA” (and subject to the provisions set forth in clause (b) thereof) and give effect to events (including Run Rate Benefits) that are (i) (x) directly attributable to such transaction, (y) expected to have a continuing impact on the Borrower or any of the Restricted Subsidiaries and (z) factually supportable or (ii) otherwise consistent with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definition of “Pro Forma Adjustment”.</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Disposal Adjustment</w:t>
      </w:r>
      <w:r>
        <w:rPr>
          <w:rFonts w:ascii="Arial" w:cs="Arial" w:eastAsia="Arial" w:hAnsi="Arial"/>
          <w:sz w:val="16"/>
          <w:szCs w:val="16"/>
          <w:color w:val="auto"/>
        </w:rPr>
        <w:t>” means, for any four-quarter period that includes all or a portion of a fiscal quarter included in any Post-Transaction Period with respect to any Sold Entity or Business, the pro forma increase or decrease in Consolidated EBITDA projected by the Borrower in</w:t>
      </w:r>
    </w:p>
    <w:p>
      <w:pPr>
        <w:jc w:val="both"/>
        <w:spacing w:after="0" w:line="218" w:lineRule="auto"/>
        <w:rPr>
          <w:sz w:val="20"/>
          <w:szCs w:val="20"/>
          <w:color w:val="auto"/>
        </w:rPr>
      </w:pPr>
      <w:r>
        <w:rPr>
          <w:rFonts w:ascii="Arial" w:cs="Arial" w:eastAsia="Arial" w:hAnsi="Arial"/>
          <w:sz w:val="18"/>
          <w:szCs w:val="18"/>
          <w:color w:val="auto"/>
        </w:rPr>
        <w:t>good faith as a result of contractual arrangements between the Borrower or any Restricted Subsidiary entered into with such Sold Entity or Business at the time of its disposal or within the Post-Transaction Period and which represent an increase or decrease in Consolidated EBITDA which is incremental to the Disposed EBITDA of such Sold Entity or Business for the most recent Test Period prior to its disposal.</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Entity</w:t>
      </w:r>
      <w:r>
        <w:rPr>
          <w:rFonts w:ascii="Arial" w:cs="Arial" w:eastAsia="Arial" w:hAnsi="Arial"/>
          <w:sz w:val="18"/>
          <w:szCs w:val="18"/>
          <w:color w:val="auto"/>
        </w:rPr>
        <w:t>” means any Acquired Entity or Business or any Converted Restricted Subsidiary.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Change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Company Costs</w:t>
      </w:r>
      <w:r>
        <w:rPr>
          <w:rFonts w:ascii="Arial" w:cs="Arial" w:eastAsia="Arial" w:hAnsi="Arial"/>
          <w:sz w:val="16"/>
          <w:szCs w:val="16"/>
          <w:color w:val="auto"/>
        </w:rPr>
        <w:t xml:space="preserve"> ” means costs relating to compliance with the provisions of the Securities Act of 1933, as amended, and the Exchange Act (and any similar Requirement of Law under any other applicable jurisdiction), as applicable to companies with equity or debt securities held by the public,</w:t>
      </w:r>
    </w:p>
    <w:p>
      <w:pPr>
        <w:jc w:val="both"/>
        <w:spacing w:after="0" w:line="231" w:lineRule="auto"/>
        <w:rPr>
          <w:sz w:val="20"/>
          <w:szCs w:val="20"/>
          <w:color w:val="auto"/>
        </w:rPr>
      </w:pPr>
      <w:r>
        <w:rPr>
          <w:rFonts w:ascii="Arial" w:cs="Arial" w:eastAsia="Arial" w:hAnsi="Arial"/>
          <w:sz w:val="17"/>
          <w:szCs w:val="17"/>
          <w:color w:val="auto"/>
        </w:rPr>
        <w:t>the rules of national securities exchange companies with listed equity or debt securities, directors’ or managers’ and employees’ compensation, fees and expense reimbursement, costs relating to investor relations, shareholder meetings and reports to shareholders or debtholders, directors’ and officers’ insurance and other executive costs, legal and other professional fees, listing fees and other costs associated with being a public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Purchasing Borrower Party</w:t>
      </w:r>
      <w:r>
        <w:rPr>
          <w:rFonts w:ascii="Arial" w:cs="Arial" w:eastAsia="Arial" w:hAnsi="Arial"/>
          <w:sz w:val="18"/>
          <w:szCs w:val="18"/>
          <w:color w:val="auto"/>
        </w:rPr>
        <w:t>” means Holdings or any subsidiary of Holdings.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9.21</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in the Borrower, Holdings or any parent of Holdings other than, in each case, Disqualified Equity Interests.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2.11(a)(ii)(D)</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any of (a) Moody’s, (b) S&amp;P or (c) Fitch.</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Subsidiary</w:t>
      </w:r>
      <w:r>
        <w:rPr>
          <w:rFonts w:ascii="Arial" w:cs="Arial" w:eastAsia="Arial" w:hAnsi="Arial"/>
          <w:sz w:val="18"/>
          <w:szCs w:val="18"/>
          <w:color w:val="auto"/>
        </w:rPr>
        <w:t>” means any Special Purpose Entity established in connection with a Permitted Receivables Financing and any other subsidiary (other than any Loan Party) involved in a Permitted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49</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Financing which is not permitted by the terms of such Permitted Receivables Financing to guarantee the Loan Document Obligations or provide Collateral.</w:t>
      </w:r>
    </w:p>
    <w:p>
      <w:pPr>
        <w:spacing w:after="0" w:line="20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0000FF"/>
          <w:highlight w:val="lightGray"/>
        </w:rPr>
        <w:t xml:space="preserve">“Reference Time” means, with respect to any setting of the then-current Benchmark, (a) if such Benchmark is Term SOFR, 5:00 a.m. (Chicago </w:t>
      </w:r>
      <w:r>
        <w:rPr>
          <w:rFonts w:ascii="Arial" w:cs="Arial" w:eastAsia="Arial" w:hAnsi="Arial"/>
          <w:sz w:val="16"/>
          <w:szCs w:val="16"/>
          <w:u w:val="single" w:color="auto"/>
          <w:color w:val="0000FF"/>
          <w:highlight w:val="lightGray"/>
        </w:rPr>
        <w:t>time) on the day that is two U.S. Government Securities Business Days preceding the date of such setting, (b) if such Benchmark is Daily Simple SOFR,</w:t>
      </w:r>
    </w:p>
    <w:p>
      <w:pPr>
        <w:jc w:val="both"/>
        <w:spacing w:after="0" w:line="226" w:lineRule="auto"/>
        <w:rPr>
          <w:sz w:val="20"/>
          <w:szCs w:val="20"/>
          <w:color w:val="auto"/>
        </w:rPr>
      </w:pPr>
      <w:r>
        <w:rPr>
          <w:rFonts w:ascii="Arial" w:cs="Arial" w:eastAsia="Arial" w:hAnsi="Arial"/>
          <w:sz w:val="18"/>
          <w:szCs w:val="18"/>
          <w:color w:val="0000FF"/>
          <w:highlight w:val="lightGray"/>
        </w:rPr>
        <w:t xml:space="preserve">four U.S. Government Securities Business Days prior to such setting or (c) if such </w:t>
      </w:r>
      <w:r>
        <w:rPr>
          <w:rFonts w:ascii="Arial" w:cs="Arial" w:eastAsia="Arial" w:hAnsi="Arial"/>
          <w:sz w:val="18"/>
          <w:szCs w:val="18"/>
          <w:u w:val="single" w:color="auto"/>
          <w:color w:val="0000FF"/>
          <w:highlight w:val="lightGray"/>
        </w:rPr>
        <w:t>Benchmark is neither Term SOFR nor Daily Simple SOFR, the time</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reasonably determined by the Administrative Agent in consultation with the Borrower.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Debt</w:t>
      </w:r>
      <w:r>
        <w:rPr>
          <w:rFonts w:ascii="Arial" w:cs="Arial" w:eastAsia="Arial" w:hAnsi="Arial"/>
          <w:sz w:val="18"/>
          <w:szCs w:val="18"/>
          <w:color w:val="auto"/>
        </w:rPr>
        <w:t>” has the meaning assigned to such term in the definition of “Credit Agreement Refinancing Indebtedness.”</w:t>
      </w:r>
    </w:p>
    <w:p>
      <w:pPr>
        <w:spacing w:after="0" w:line="19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Amendment</w:t>
      </w:r>
      <w:r>
        <w:rPr>
          <w:rFonts w:ascii="Arial" w:cs="Arial" w:eastAsia="Arial" w:hAnsi="Arial"/>
          <w:sz w:val="18"/>
          <w:szCs w:val="18"/>
          <w:color w:val="auto"/>
        </w:rPr>
        <w:t xml:space="preserve">” means an amendment to this Agreement executed by each of (a) the Borrower and Holdings, (b) the Administrative Agent and (c) each Additional Lender and Lender that agrees to provide all or any portion of the Credit Agreement Refinancing Indebtedness being incurred pursuant thereto, in accordance with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9.04(b)(iv)</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Registered Equivalent Notes</w:t>
      </w:r>
      <w:r>
        <w:rPr>
          <w:rFonts w:ascii="Arial" w:cs="Arial" w:eastAsia="Arial" w:hAnsi="Arial"/>
          <w:sz w:val="16"/>
          <w:szCs w:val="16"/>
          <w:color w:val="auto"/>
        </w:rPr>
        <w:t>” means, with respect to any notes originally issued in a Rule 144A or other private placement transaction under the Securities Act of 1933, substantially identical notes (having substantially the same Guarantees) issued in a dollar-for-dollar exchange therefor pursuant to</w:t>
      </w:r>
    </w:p>
    <w:p>
      <w:pPr>
        <w:spacing w:after="0"/>
        <w:rPr>
          <w:sz w:val="20"/>
          <w:szCs w:val="20"/>
          <w:color w:val="auto"/>
        </w:rPr>
      </w:pPr>
      <w:r>
        <w:rPr>
          <w:rFonts w:ascii="Arial" w:cs="Arial" w:eastAsia="Arial" w:hAnsi="Arial"/>
          <w:sz w:val="18"/>
          <w:szCs w:val="18"/>
          <w:color w:val="auto"/>
        </w:rPr>
        <w:t>an exchange offer registered with the SEC.</w:t>
      </w:r>
    </w:p>
    <w:p>
      <w:pPr>
        <w:spacing w:after="0" w:line="16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Regulated Bank</w:t>
      </w:r>
      <w:r>
        <w:rPr>
          <w:rFonts w:ascii="Arial" w:cs="Arial" w:eastAsia="Arial" w:hAnsi="Arial"/>
          <w:sz w:val="17"/>
          <w:szCs w:val="17"/>
          <w:color w:val="auto"/>
        </w:rPr>
        <w:t>” means an Approved Bank that is (i) a U.S. depository institution the deposits of which are insured by the Federal Deposit Insurance Corporation; (ii) a corporation organized under section 25A of the U.S. Federal Reserve Act of 1913; (iii) a branch, agency or commercial</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7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Business Assets</w:t>
      </w:r>
      <w:r>
        <w:rPr>
          <w:rFonts w:ascii="Arial" w:cs="Arial" w:eastAsia="Arial" w:hAnsi="Arial"/>
          <w:sz w:val="18"/>
          <w:szCs w:val="18"/>
          <w:color w:val="auto"/>
        </w:rPr>
        <w:t>” means assets (other than cash or Permitted Investments) used or useful in a Similar Business (which may consist of securities of a Person, including the Equity Interests of any Subsidiary (other than the Borrower)).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Parties</w:t>
      </w:r>
      <w:r>
        <w:rPr>
          <w:rFonts w:ascii="Arial" w:cs="Arial" w:eastAsia="Arial" w:hAnsi="Arial"/>
          <w:sz w:val="16"/>
          <w:szCs w:val="16"/>
          <w:color w:val="auto"/>
        </w:rPr>
        <w:t>” means, with respect to any specified Person, such Person’s Affiliates and the partners, directors, officers, employees, trustees,</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agents, controlling persons, advisors, attorneys and other representatives of such Person and of each of such Person’s Affiliates and successors and permitted assigns.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means any release, spill, emission, leaking, dumping, injection, pouring, deposit, disposal, discharge, dispersal, leaching or migration</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into the environment (including ambient air, surface water, groundwater, land surface or subsurface strata) and including the environment within any building or other structure.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Governmental Body</w:t>
      </w:r>
      <w:r>
        <w:rPr>
          <w:rFonts w:ascii="Arial" w:cs="Arial" w:eastAsia="Arial" w:hAnsi="Arial"/>
          <w:sz w:val="17"/>
          <w:szCs w:val="17"/>
          <w:color w:val="auto"/>
        </w:rPr>
        <w:t xml:space="preserve">” means the Federal Reserve Board and/or the </w:t>
      </w:r>
      <w:r>
        <w:rPr>
          <w:rFonts w:ascii="Arial" w:cs="Arial" w:eastAsia="Arial" w:hAnsi="Arial"/>
          <w:sz w:val="17"/>
          <w:szCs w:val="17"/>
          <w:color w:val="FF0000"/>
          <w:strike w:val="1"/>
        </w:rPr>
        <w:t>Federal Reserve Bank of New York</w:t>
      </w:r>
      <w:r>
        <w:rPr>
          <w:rFonts w:ascii="Arial" w:cs="Arial" w:eastAsia="Arial" w:hAnsi="Arial"/>
          <w:sz w:val="17"/>
          <w:szCs w:val="17"/>
          <w:u w:val="single" w:color="auto"/>
          <w:color w:val="0000FF"/>
          <w:highlight w:val="lightGray"/>
        </w:rPr>
        <w:t>NYFRB</w:t>
      </w:r>
      <w:r>
        <w:rPr>
          <w:rFonts w:ascii="Arial" w:cs="Arial" w:eastAsia="Arial" w:hAnsi="Arial"/>
          <w:sz w:val="17"/>
          <w:szCs w:val="17"/>
          <w:color w:val="auto"/>
        </w:rPr>
        <w:t>, or a committee</w:t>
      </w:r>
    </w:p>
    <w:p>
      <w:pPr>
        <w:spacing w:after="0" w:line="1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officially endorsed or convened by the Federal Reserve Board and/or the </w:t>
      </w:r>
      <w:r>
        <w:rPr>
          <w:rFonts w:ascii="Arial" w:cs="Arial" w:eastAsia="Arial" w:hAnsi="Arial"/>
          <w:sz w:val="17"/>
          <w:szCs w:val="17"/>
          <w:color w:val="FF0000"/>
          <w:strike w:val="1"/>
        </w:rPr>
        <w:t>Federal Reserve Bank of New York for the purpose of recommending a</w:t>
      </w:r>
      <w:r>
        <w:rPr>
          <w:rFonts w:ascii="Arial" w:cs="Arial" w:eastAsia="Arial" w:hAnsi="Arial"/>
          <w:sz w:val="17"/>
          <w:szCs w:val="17"/>
          <w:color w:val="auto"/>
        </w:rPr>
        <w:t xml:space="preserve"> </w:t>
      </w:r>
      <w:r>
        <w:rPr>
          <w:rFonts w:ascii="Arial" w:cs="Arial" w:eastAsia="Arial" w:hAnsi="Arial"/>
          <w:sz w:val="17"/>
          <w:szCs w:val="17"/>
          <w:color w:val="FF0000"/>
          <w:strike w:val="1"/>
        </w:rPr>
        <w:t>benchmark rate to replace LIBOR in loan agreements similar to this Agreement</w:t>
      </w:r>
      <w:r>
        <w:rPr>
          <w:rFonts w:ascii="Arial" w:cs="Arial" w:eastAsia="Arial" w:hAnsi="Arial"/>
          <w:sz w:val="17"/>
          <w:szCs w:val="17"/>
          <w:u w:val="single" w:color="auto"/>
          <w:color w:val="0000FF"/>
          <w:highlight w:val="lightGray"/>
        </w:rPr>
        <w:t>NYFRB or, in each case, any successor thereto</w:t>
      </w:r>
      <w:r>
        <w:rPr>
          <w:rFonts w:ascii="Arial" w:cs="Arial" w:eastAsia="Arial" w:hAnsi="Arial"/>
          <w:sz w:val="17"/>
          <w:szCs w:val="17"/>
          <w:color w:val="000000"/>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Repricing Transaction</w:t>
      </w:r>
      <w:r>
        <w:rPr>
          <w:rFonts w:ascii="Arial" w:cs="Arial" w:eastAsia="Arial" w:hAnsi="Arial"/>
          <w:sz w:val="16"/>
          <w:szCs w:val="16"/>
          <w:color w:val="auto"/>
        </w:rPr>
        <w:t>” means (a) the incurrence by the Borrower of any Indebtedness, other than any Indebtedness incurred in connection with any transaction that would, if consummated, constitute a Change in Control, a Material Acquisition, a Material Disposition or an increase in the aggregate principal amount of Term Loans (including by adding a new Class of Term Loans), in the form of a dollar-denominated term B loan that is broadly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marketed or syndicated to banks and other institutional investors and that is secured on a pari passu basis with the Term Loans (i) having an Effective Yield for the respective Type of such Indebtedness that is less than the Effective Yield for the Term Loans of the respective equivalent Type, and (ii) the proceeds of which are used to prepay (or, in the case of a conversion, deemed to prepay or replace), in whole or in part, outstanding principal of Term Loans or (b)</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any effective reduction in the Effective Yield for the Term Loans (e.g., by way of amendment, waiver or otherwise), except for a reduction in connection with any transaction that would, if consummated,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50</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constitute a Change in Control, a Material Acquisition, a Material Disposition or an increase in the aggregate principal amount of Term Loans (including by adding a new Class of Term Loans). Any determination by the Administrative Agent with respect to whether a Repricing Transaction shall have occurred shall be conclusive and binding on all Lenders holding the Term Loans.</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Required Additional Debt Terms</w:t>
      </w:r>
      <w:r>
        <w:rPr>
          <w:rFonts w:ascii="Arial" w:cs="Arial" w:eastAsia="Arial" w:hAnsi="Arial"/>
          <w:sz w:val="16"/>
          <w:szCs w:val="16"/>
          <w:color w:val="auto"/>
        </w:rPr>
        <w:t>” means with respect to any Indebtedness, (a) except with respect to Customary Bridge Loans and except with respect to an amount equal to the Maturity Carveout Amount at such time, such Indebtedness does not mature earlier than the Latest Maturity Date, (b) such Indebtedness (other than Customary Bridge Loans) does not have mandatory redemption features (other than Customary Exceptions) that could result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 redemptions of such Indebtedness prior to the Latest Maturity Date (it being understood that Holdings, the Borrower and the Restricted Subsidiaries shall be permitted to make any AHYDO “catch up” payments, if applicable), (c) any such Indebtedness that is secured is subject to the relevant Intercreditor Agreement(s) and (d) the terms and conditions of such Indebtedness (excluding interest rate (including whether such interest is payable in cash or in kind),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pricing, interest rate margins, rate floors, discounts, fees, premiums and prepayment or redemption provisions) either (I) are not materially more favorable (when taken as a whole) to the lenders or investors providing such Indebtedness than the terms and conditions of this Agreement (when taken as a whole) are to the Lenders (it being understood that, to the extent that any financial maintenance covenant or any other covenant is added for the benefit of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Indebtedness, no consent shall be required by the Administrative Agent or any of the Lenders if such financial maintenance covenant or other covenant is either (i) also added for the benefit of any corresponding Loans remaining outstanding after the issuance or incurrence of any such Indebtedness in connection therewith or (ii) only applicable after the Latest Maturity Date at such time), (II) include covenants or other provisions applicable only to</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 xml:space="preserve">periods after the Latest Maturity Date at such time) or (III) reflect market terms and conditions (taken as a whole) at the time of incurrence of such Indebtedness (as determined by the Borrower in good faith);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certificate of a Responsible Officer delivered to the Administrative Agent at least five (5) Business Days prior to the incurrence of such Indebtedness, together with a reasonably detailed description of the material terms and</w:t>
      </w:r>
    </w:p>
    <w:p>
      <w:pPr>
        <w:jc w:val="both"/>
        <w:spacing w:after="0" w:line="268" w:lineRule="auto"/>
        <w:rPr>
          <w:sz w:val="20"/>
          <w:szCs w:val="20"/>
          <w:color w:val="auto"/>
        </w:rPr>
      </w:pPr>
      <w:r>
        <w:rPr>
          <w:rFonts w:ascii="Arial" w:cs="Arial" w:eastAsia="Arial" w:hAnsi="Arial"/>
          <w:sz w:val="16"/>
          <w:szCs w:val="16"/>
          <w:color w:val="auto"/>
        </w:rPr>
        <w:t>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Class Lenders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9.02(b)</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Revolving Exposures, Term Loans and unused Commitments representing more than 50.0% of the aggregate Revolving Exposures, outstanding Term Loans and unused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Revolving Exposures, Term Loans and unused Commitments of the Borrower or any Affiliate thereof (other than an Affiliated Debt Fund) and (b) whenever there are one or more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Defaulting Lenders, the total outstanding Term Loans and Revolving Exposures of, and the unused Revolving Commitments of, each Defaulting Lender, shall, in each case of clauses (a) and (b), be excluded for purposes of making a determination of Required Lenders.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Revolving Lenders</w:t>
      </w:r>
      <w:r>
        <w:rPr>
          <w:rFonts w:ascii="Arial" w:cs="Arial" w:eastAsia="Arial" w:hAnsi="Arial"/>
          <w:sz w:val="17"/>
          <w:szCs w:val="17"/>
          <w:color w:val="auto"/>
        </w:rPr>
        <w:t>” means, at any time, Revolving Lenders having Revolving Exposures and unused Revolving Commitments</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representing more than 50.0% of the aggregate Revolving Exposures and unused Revolving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Revolving Exposures and unused Revolving Commitments of the Borrower or any Affiliate thereof and (b) whenever there are one or more Defaulting Lenders, the total outstanding Revolving Exposures of, and the unused Revolving Commitments of, each Defaulting Lender, shall, in each case of clauses (a) and (b), be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excluded for purposes of making a determination of Required Revolving Lenders.</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Term Loan Lenders</w:t>
      </w:r>
      <w:r>
        <w:rPr>
          <w:rFonts w:ascii="Arial" w:cs="Arial" w:eastAsia="Arial" w:hAnsi="Arial"/>
          <w:sz w:val="16"/>
          <w:szCs w:val="16"/>
          <w:color w:val="auto"/>
        </w:rPr>
        <w:t xml:space="preserve">” means, at any time, Lenders having Term Loans representing more than 50% of the aggregate outstanding Term Loans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Term Loans of the Borrower or any Affiliate thereof (other than an Affiliated Debt Fund) and (b) whenever there</w:t>
      </w:r>
    </w:p>
    <w:p>
      <w:pPr>
        <w:jc w:val="both"/>
        <w:spacing w:after="0" w:line="226" w:lineRule="auto"/>
        <w:rPr>
          <w:sz w:val="20"/>
          <w:szCs w:val="20"/>
          <w:color w:val="auto"/>
        </w:rPr>
      </w:pPr>
      <w:r>
        <w:rPr>
          <w:rFonts w:ascii="Arial" w:cs="Arial" w:eastAsia="Arial" w:hAnsi="Arial"/>
          <w:sz w:val="18"/>
          <w:szCs w:val="18"/>
          <w:color w:val="auto"/>
        </w:rPr>
        <w:t>are one or more Defaulting Lenders, the total outstanding Term Loans of each Defaulting Lender, shall, in each case of clauses (a) and (b), be excluded purposes of making a determination of Required Term Loan Lenders.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Requirements of Law</w:t>
      </w:r>
      <w:r>
        <w:rPr>
          <w:rFonts w:ascii="Arial" w:cs="Arial" w:eastAsia="Arial" w:hAnsi="Arial"/>
          <w:sz w:val="16"/>
          <w:szCs w:val="16"/>
          <w:color w:val="auto"/>
        </w:rPr>
        <w:t>” means, with respect to any Person, any statutes, laws, treaties, rules, regulations, official administrative pronouncements,</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orders, decrees, writs, injunctions or determinations of any arbitrator or court or other Governmental Authority, in each case applicable to or binding upon such Person or any of its property or to which such Person or any of its property is subject.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51</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the chief executive officer, chief financial officer, president, vice president, general counsel, treasurer or assistant treasurer or other similar officer, manager or a director of a Loan Party and with respect to certain limited liability companies, partnerships or other Loan Parties that do not have officers, any director, manager, sole member, managing member or general partner thereof, and as to any document delivered 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the Effective Date or thereafter pursuant to paragraph (a) of the definition of the term “Collateral and Guarantee Requirement,” any secretary or assistant secretary of any Loan Party and, solely for purposes of notices given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any other officer of the applicable Loan Party so designated by any of the foregoing officers in a notice to the Administrative Agent or any other officer or employee of the applicable Loan Party designated pursuant to an</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Debt Payment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6.08(b)</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any dividend or other distribution (whether in cash, securities or other property) with respect to any Equity Interests in the Borrower or any Restricted Subsidiary, or any payment (whether in cash, securities or other property), including any sinking fund or similar deposit,</w:t>
      </w:r>
    </w:p>
    <w:p>
      <w:pPr>
        <w:jc w:val="both"/>
        <w:spacing w:after="0" w:line="226" w:lineRule="auto"/>
        <w:rPr>
          <w:sz w:val="20"/>
          <w:szCs w:val="20"/>
          <w:color w:val="auto"/>
        </w:rPr>
      </w:pPr>
      <w:r>
        <w:rPr>
          <w:rFonts w:ascii="Arial" w:cs="Arial" w:eastAsia="Arial" w:hAnsi="Arial"/>
          <w:sz w:val="18"/>
          <w:szCs w:val="18"/>
          <w:color w:val="auto"/>
        </w:rPr>
        <w:t>on account of the purchase, redemption, retirement, acquisition, cancellation or termination of any Equity Interests in the Borrower or any Restricted Subsidiary or any option, warrant or other right to acquire any such Equity Interests.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other than an Unrestricted Subsidiary.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Declined Proceeds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2.11(e)</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Asset Sale Proceeds</w:t>
      </w:r>
      <w:r>
        <w:rPr>
          <w:rFonts w:ascii="Arial" w:cs="Arial" w:eastAsia="Arial" w:hAnsi="Arial"/>
          <w:sz w:val="18"/>
          <w:szCs w:val="18"/>
          <w:color w:val="auto"/>
        </w:rPr>
        <w:t xml:space="preserve">” means that portion of Net Proceeds of a Prepayment Event pursuant to clause (a) of such definition not required to be applied to prepay the Loans pursuant to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due to the Disposition/Debt Percentage being less than 100%.</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Acceleration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Availability Period</w:t>
      </w:r>
      <w:r>
        <w:rPr>
          <w:rFonts w:ascii="Arial" w:cs="Arial" w:eastAsia="Arial" w:hAnsi="Arial"/>
          <w:sz w:val="18"/>
          <w:szCs w:val="18"/>
          <w:color w:val="auto"/>
        </w:rPr>
        <w:t>” means the period from and including the Effective Date to but excluding the earlier of the Revolving Maturity Date and the date of termination of the Revolving Commitments.</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Commitment</w:t>
      </w:r>
      <w:r>
        <w:rPr>
          <w:rFonts w:ascii="Arial" w:cs="Arial" w:eastAsia="Arial" w:hAnsi="Arial"/>
          <w:sz w:val="16"/>
          <w:szCs w:val="16"/>
          <w:color w:val="auto"/>
        </w:rPr>
        <w:t xml:space="preserve"> ” means, with respect to each Lender, the commitment, if any, of such Lender to make Revolving Loans and to acquire participations in Letters of Credit hereunder, expressed as an amount representing the maximum possible aggregate amount of such Lender’s Revolving Exposure hereunder, as such commitment may be (a) reduced from time to time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(b) reduced or increased from time to time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pursuant to (i) assignments by or to such Lender pursuant to an Assignment and Assumption or (ii) a Refinancing Amendment, Incremental Facility Amendment or a Loan Modification Agreement. The initial amount of each Lender’s Revolving Commitment is set forth on </w:t>
      </w:r>
      <w:r>
        <w:rPr>
          <w:rFonts w:ascii="Arial" w:cs="Arial" w:eastAsia="Arial" w:hAnsi="Arial"/>
          <w:sz w:val="16"/>
          <w:szCs w:val="16"/>
          <w:u w:val="single" w:color="auto"/>
          <w:color w:val="auto"/>
        </w:rPr>
        <w:t>Schedule 2.01(b)</w:t>
      </w:r>
      <w:r>
        <w:rPr>
          <w:rFonts w:ascii="Arial" w:cs="Arial" w:eastAsia="Arial" w:hAnsi="Arial"/>
          <w:sz w:val="16"/>
          <w:szCs w:val="16"/>
          <w:color w:val="auto"/>
        </w:rPr>
        <w:t>, or in the Assignment and Assumption, Incremental Facility Amendment, Loan Modification Agreement or Refinancing Amendment pursuant to which such Lender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shall have assumed its Revolving Commitment, as the case may be. The initial aggregate amount of the Lenders’ Revolving Commitments as of the Effective Date is $190,000,000.</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Facility</w:t>
      </w:r>
      <w:r>
        <w:rPr>
          <w:rFonts w:ascii="Arial" w:cs="Arial" w:eastAsia="Arial" w:hAnsi="Arial"/>
          <w:sz w:val="16"/>
          <w:szCs w:val="16"/>
          <w:color w:val="auto"/>
        </w:rPr>
        <w:t>” means the Revolving Commitments and the provisions herein related to the Revolving Loans and Letters of Credit.</w:t>
      </w:r>
    </w:p>
    <w:p>
      <w:pPr>
        <w:spacing w:after="0" w:line="2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means, with respect to any Revolving Lender at any time, the sum of the Dollar Equivalent of the outstanding principal amount of such Revolving Lender’s Revolving Loans and its LC Exposure at such time.</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 Lender with a Revolving Commitment or, if the Revolving Commitments have terminated or expired, a Lender with Revolving Exposure.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means a Loan made pursuant to clause (b) of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Maturity Date</w:t>
      </w:r>
      <w:r>
        <w:rPr>
          <w:rFonts w:ascii="Arial" w:cs="Arial" w:eastAsia="Arial" w:hAnsi="Arial"/>
          <w:sz w:val="18"/>
          <w:szCs w:val="18"/>
          <w:color w:val="auto"/>
        </w:rPr>
        <w:t>” means July 6, 2026 (or, with respect to any Revolving Lender that has extended its Revolving Commitment pursuant to a Permitted Amendment, the extended maturity date set forth in any such Loan Modification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52</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Run Rate Benefits</w:t>
      </w:r>
      <w:r>
        <w:rPr>
          <w:rFonts w:ascii="Arial" w:cs="Arial" w:eastAsia="Arial" w:hAnsi="Arial"/>
          <w:sz w:val="18"/>
          <w:szCs w:val="18"/>
          <w:color w:val="auto"/>
        </w:rPr>
        <w:t>” has the meaning assigned to such term in the definition of “Consolidated EBITDA.”</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and any successor to its rating agency business.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 Leaseback</w:t>
      </w:r>
      <w:r>
        <w:rPr>
          <w:rFonts w:ascii="Arial" w:cs="Arial" w:eastAsia="Arial" w:hAnsi="Arial"/>
          <w:sz w:val="16"/>
          <w:szCs w:val="16"/>
          <w:color w:val="auto"/>
        </w:rPr>
        <w:t>” means any transaction or series of related transactions pursuant to which the Borrower or any Restricted Subsidiary (a) sells,</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w:t>
      </w:r>
    </w:p>
    <w:p>
      <w:pPr>
        <w:spacing w:after="0" w:line="17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sanctions administered or enforced by the United States Government (including without limitation, sanctions enforced by OFAC), the United Nations Security Council, the European Union or Her Majesty’s Treasury.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19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Intercreditor Agreement</w:t>
      </w:r>
      <w:r>
        <w:rPr>
          <w:rFonts w:ascii="Arial" w:cs="Arial" w:eastAsia="Arial" w:hAnsi="Arial"/>
          <w:sz w:val="18"/>
          <w:szCs w:val="18"/>
          <w:color w:val="auto"/>
        </w:rPr>
        <w:t>” means the First Lien/Second Lien Intercreditor Agreement substantially in the form of Exhibit F or any other intercreditor agreement reasonably satisfactory to the Administrative Agent and the Borrower.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Cash Management Obligations</w:t>
      </w:r>
      <w:r>
        <w:rPr>
          <w:rFonts w:ascii="Arial" w:cs="Arial" w:eastAsia="Arial" w:hAnsi="Arial"/>
          <w:sz w:val="16"/>
          <w:szCs w:val="16"/>
          <w:color w:val="auto"/>
        </w:rPr>
        <w:t>” means the due and punctual payment and performance of all obligations of Holdings, the Borrower and</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Restricted Subsidiaries in respect of any overdraft, reimbursement and related liabilities arising from treasury, depository, cash pooling arrangements and cash management services, corporate credit and purchasing cards and related programs, letters of credit or any automated clearing house transfers of funds (collectively, “</w:t>
      </w:r>
      <w:r>
        <w:rPr>
          <w:rFonts w:ascii="Arial" w:cs="Arial" w:eastAsia="Arial" w:hAnsi="Arial"/>
          <w:sz w:val="16"/>
          <w:szCs w:val="16"/>
          <w:u w:val="single" w:color="auto"/>
          <w:color w:val="auto"/>
        </w:rPr>
        <w:t>Cash Management Services</w:t>
      </w:r>
      <w:r>
        <w:rPr>
          <w:rFonts w:ascii="Arial" w:cs="Arial" w:eastAsia="Arial" w:hAnsi="Arial"/>
          <w:sz w:val="16"/>
          <w:szCs w:val="16"/>
          <w:color w:val="auto"/>
        </w:rPr>
        <w:t>”) provided to Holdings, the Borrower or any Subsidiary (whether absolute or contingent and howsoever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whenever created, arising, evidenced or acquired (including all renewals, extensions and modifications thereof and substitutions therefor)) that are (a) owed to the Administrative Agent or any of its Affiliates, (b) owed on the Effective Date to a Person that is a Lender or an Affiliate of a Lender as of the Effective Date, (c) owed to a Person that is an Agent, a Lender or an Affiliate of an Agent or Lender at the time such obligations are incurred or (d) owed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any other Person identified by the Borrower to the Administrative Agent; it being understood that each such provider of such Cash Management Services to Holdings, the Borrower or any Subsidiary shall be deemed (i) to appoint the Administrative Agent and the Collateral Agent as its agents under the applicable Loan Documents and (ii) to agree to be bound by the provisions of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9.09</w:t>
      </w:r>
      <w:r>
        <w:rPr>
          <w:rFonts w:ascii="Arial" w:cs="Arial" w:eastAsia="Arial" w:hAnsi="Arial"/>
          <w:sz w:val="16"/>
          <w:szCs w:val="16"/>
          <w:color w:val="auto"/>
        </w:rPr>
        <w:t xml:space="preserve"> and any applicable Intercreditor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Agreement as if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Dollar Equivalent of the aggregate face amount of letters of credit issued and outstanding constituting Cash Management Services shall not at any time exceed $5,000,000.</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Leverage Ratio</w:t>
      </w:r>
      <w:r>
        <w:rPr>
          <w:rFonts w:ascii="Arial" w:cs="Arial" w:eastAsia="Arial" w:hAnsi="Arial"/>
          <w:sz w:val="18"/>
          <w:szCs w:val="18"/>
          <w:color w:val="auto"/>
        </w:rPr>
        <w:t>” means, on any date, the ratio of (a) Consolidated Secured Debt as of such date to (b) Consolidated EBITDA for the Test Period as of such date.</w:t>
      </w:r>
    </w:p>
    <w:p>
      <w:pPr>
        <w:spacing w:after="0" w:line="15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(a) the Loan Document Obligations, (b) the Secured Cash Management Obligations and (c) the Secured Swap Obligations (excluding with respect to any Loan Party, Excluded Swap Obligations of such Loan Party).</w:t>
      </w:r>
    </w:p>
    <w:p>
      <w:pPr>
        <w:spacing w:after="0" w:line="17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(a) each Lender and Issuing Bank, (b) the Administrative Agent and the Collateral Agent, (c) each Joint Bookrunner, (d) each Person to whom any Secured Cash Management Obligations are owed, (e) each counterparty to any Swap Agreement the obligations under which constitute Secured Swap Obligations and (f) the permitted successors and assigns of each of the foregoing.</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Swap Obligations</w:t>
      </w:r>
      <w:r>
        <w:rPr>
          <w:rFonts w:ascii="Arial" w:cs="Arial" w:eastAsia="Arial" w:hAnsi="Arial"/>
          <w:sz w:val="16"/>
          <w:szCs w:val="16"/>
          <w:color w:val="auto"/>
        </w:rPr>
        <w:t>” means all obligations of Holdings, the Borrower and the Restricted Subsidiaries under each Swap Agreement that (a) is with a counterparty that is the Administrative Agent or any of its Affiliates, (b) is in effect on the Effective Date with a counterparty that is a Lender, an Agent or an Affiliate of a Lender or an Agent as of the Effective Date, (c) is entered into after the Effective Date with any counterparty that is a Lender, an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Agent or an Affiliate of a Lender or an Agent at the time such Swap Agreement is entered into or (d) is entered into with any other Person specified by the Borrower to the Administrative Agent in writing from time to time, in each case, to the extent designated in writing as a Secured Swap Obligation by the Borrower to the Administrative Agent (unless otherwise constituting a Secured Swap Obligation immediately prior to the Effective Date); it being</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understood that each such provider of such Secured Swap Obligations to Holdings, the Borrower or any Subsidiary shall be deemed (i) to appoint the Administrative Agent and the Collateral Agent as its agents under the applicable Loan Documents and (ii) to agree to be bound by the provisions of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9.09</w:t>
      </w:r>
      <w:r>
        <w:rPr>
          <w:rFonts w:ascii="Arial" w:cs="Arial" w:eastAsia="Arial" w:hAnsi="Arial"/>
          <w:sz w:val="18"/>
          <w:szCs w:val="18"/>
          <w:color w:val="auto"/>
        </w:rPr>
        <w:t xml:space="preserve"> and any applicable Intercreditor Agreement as if it were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53</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6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Documents</w:t>
      </w:r>
      <w:r>
        <w:rPr>
          <w:rFonts w:ascii="Arial" w:cs="Arial" w:eastAsia="Arial" w:hAnsi="Arial"/>
          <w:sz w:val="16"/>
          <w:szCs w:val="16"/>
          <w:color w:val="auto"/>
        </w:rPr>
        <w:t xml:space="preserve">” means the Collateral Agreement and each other security agreement or pledge agreement executed and delivered pursuant to the Collateral and Guarantee Requirement, </w:t>
      </w:r>
      <w:r>
        <w:rPr>
          <w:rFonts w:ascii="Arial" w:cs="Arial" w:eastAsia="Arial" w:hAnsi="Arial"/>
          <w:sz w:val="16"/>
          <w:szCs w:val="16"/>
          <w:u w:val="single" w:color="auto"/>
          <w:color w:val="auto"/>
        </w:rPr>
        <w:t>Section 4.01(f)</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to secure any of the Secured Obligations.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Representative</w:t>
      </w:r>
      <w:r>
        <w:rPr>
          <w:rFonts w:ascii="Arial" w:cs="Arial" w:eastAsia="Arial" w:hAnsi="Arial"/>
          <w:sz w:val="16"/>
          <w:szCs w:val="16"/>
          <w:color w:val="auto"/>
        </w:rPr>
        <w:t>” means, with respect to any series of Permitted First Priority Refinancing Debt, Permitted Second Priority Refinancing</w:t>
      </w:r>
    </w:p>
    <w:p>
      <w:pPr>
        <w:spacing w:after="0" w:line="2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Debt or other Indebtedness,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means any Restricted Subsidiary that, or any group of Restricted Subsidiaries that, taken together, as of the last day of the</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fiscal quarter of the Borrower most recently ended for which financial statements are available, had revenues or total assets for such quarter in excess of 10.0% of the consolidated revenues or total assets, as applicable, of the Borrower for such quarter.</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Similar Business</w:t>
      </w:r>
      <w:r>
        <w:rPr>
          <w:rFonts w:ascii="Arial" w:cs="Arial" w:eastAsia="Arial" w:hAnsi="Arial"/>
          <w:sz w:val="18"/>
          <w:szCs w:val="18"/>
          <w:color w:val="auto"/>
        </w:rPr>
        <w:t>” means any business conducted or proposed to be conducted by Holdings, the Borrower and the Restricted Subsidiaries on the Effective Date or any business that is similar, reasonably related, synergistic, incidental, or ancillary thereto.</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SOFR</w:t>
      </w:r>
      <w:r>
        <w:rPr>
          <w:rFonts w:ascii="Arial" w:cs="Arial" w:eastAsia="Arial" w:hAnsi="Arial"/>
          <w:sz w:val="16"/>
          <w:szCs w:val="16"/>
          <w:color w:val="auto"/>
        </w:rPr>
        <w:t xml:space="preserve">” means, with respect to any day, the secured overnight financing rate published for such day by the </w:t>
      </w:r>
      <w:r>
        <w:rPr>
          <w:rFonts w:ascii="Arial" w:cs="Arial" w:eastAsia="Arial" w:hAnsi="Arial"/>
          <w:sz w:val="16"/>
          <w:szCs w:val="16"/>
          <w:color w:val="FF0000"/>
          <w:strike w:val="1"/>
        </w:rPr>
        <w:t>Federal Reserve Bank of New York, as</w:t>
      </w:r>
      <w:r>
        <w:rPr>
          <w:rFonts w:ascii="Arial" w:cs="Arial" w:eastAsia="Arial" w:hAnsi="Arial"/>
          <w:sz w:val="16"/>
          <w:szCs w:val="16"/>
          <w:color w:val="auto"/>
        </w:rPr>
        <w:t xml:space="preserve"> </w:t>
      </w:r>
      <w:r>
        <w:rPr>
          <w:rFonts w:ascii="Arial" w:cs="Arial" w:eastAsia="Arial" w:hAnsi="Arial"/>
          <w:sz w:val="16"/>
          <w:szCs w:val="16"/>
          <w:color w:val="FF0000"/>
          <w:strike w:val="1"/>
        </w:rPr>
        <w:t>the administrator of the benchmark (or a successor administrator) on the Federal Reserve Bank of New York’s website (or any successor source) and, in</w:t>
      </w:r>
    </w:p>
    <w:p>
      <w:pPr>
        <w:spacing w:after="0"/>
        <w:rPr>
          <w:sz w:val="20"/>
          <w:szCs w:val="20"/>
          <w:color w:val="auto"/>
        </w:rPr>
      </w:pPr>
      <w:r>
        <w:rPr>
          <w:rFonts w:ascii="Arial" w:cs="Arial" w:eastAsia="Arial" w:hAnsi="Arial"/>
          <w:sz w:val="17"/>
          <w:szCs w:val="17"/>
          <w:color w:val="FF0000"/>
          <w:strike w:val="1"/>
        </w:rPr>
        <w:t>each case, that has been selected or recommended by the Relevant Governmental Body.</w:t>
      </w:r>
      <w:r>
        <w:rPr>
          <w:rFonts w:ascii="Arial" w:cs="Arial" w:eastAsia="Arial" w:hAnsi="Arial"/>
          <w:sz w:val="17"/>
          <w:szCs w:val="17"/>
          <w:u w:val="single" w:color="auto"/>
          <w:color w:val="0000FF"/>
          <w:highlight w:val="lightGray"/>
          <w:strike w:val="1"/>
        </w:rPr>
        <w:t>SOFR Administrator on the SOFR Administrator’s Website.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highlight w:val="lightGray"/>
        </w:rPr>
        <w:t>“SOFR Administrator” means the NYFRB (or a successor administrator of the secured overnight financing rate).</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u w:val="single" w:color="auto"/>
          <w:color w:val="0000FF"/>
          <w:highlight w:val="lightGray"/>
        </w:rPr>
        <w:t>“SOFR Administrator’s Website” means the NYFRB’s website, currently at http://www.newyorkfed.org, or any successor source for the secured overnight financing rate identified as such by the SOFR Administrator from time to time.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FF0000"/>
          <w:strike w:val="1"/>
        </w:rPr>
        <w:t>SOFR-Based Rate</w:t>
      </w:r>
      <w:r>
        <w:rPr>
          <w:rFonts w:ascii="Arial" w:cs="Arial" w:eastAsia="Arial" w:hAnsi="Arial"/>
          <w:sz w:val="17"/>
          <w:szCs w:val="17"/>
          <w:color w:val="FF0000"/>
          <w:strike w:val="1"/>
        </w:rPr>
        <w:t>” means SOFR or Term</w:t>
      </w:r>
      <w:r>
        <w:rPr>
          <w:rFonts w:ascii="Arial" w:cs="Arial" w:eastAsia="Arial" w:hAnsi="Arial"/>
          <w:sz w:val="17"/>
          <w:szCs w:val="17"/>
          <w:u w:val="single" w:color="auto"/>
          <w:color w:val="0000FF"/>
          <w:highlight w:val="lightGray"/>
        </w:rPr>
        <w:t>SOFR Determination Date” has the meaning specified in the definition of “Daily Simple</w:t>
      </w:r>
      <w:r>
        <w:rPr>
          <w:rFonts w:ascii="Arial" w:cs="Arial" w:eastAsia="Arial" w:hAnsi="Arial"/>
          <w:sz w:val="17"/>
          <w:szCs w:val="17"/>
          <w:color w:val="auto"/>
        </w:rPr>
        <w:t xml:space="preserve"> SOFR</w:t>
      </w:r>
      <w:r>
        <w:rPr>
          <w:rFonts w:ascii="Arial" w:cs="Arial" w:eastAsia="Arial" w:hAnsi="Arial"/>
          <w:sz w:val="17"/>
          <w:szCs w:val="17"/>
          <w:u w:val="single" w:color="auto"/>
          <w:color w:val="0000FF"/>
          <w:highlight w:val="lightGray"/>
        </w:rPr>
        <w:t>”</w:t>
      </w:r>
      <w:r>
        <w:rPr>
          <w:rFonts w:ascii="Arial" w:cs="Arial" w:eastAsia="Arial" w:hAnsi="Arial"/>
          <w:sz w:val="17"/>
          <w:szCs w:val="17"/>
          <w:color w:val="auto"/>
        </w:rPr>
        <w: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highlight w:val="lightGray"/>
        </w:rPr>
        <w:t>“SOFR Rate Day” has the meaning specified in the definition of “Daily Simple SOFR”.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Sold Entity or Business</w:t>
      </w:r>
      <w:r>
        <w:rPr>
          <w:rFonts w:ascii="Arial" w:cs="Arial" w:eastAsia="Arial" w:hAnsi="Arial"/>
          <w:sz w:val="18"/>
          <w:szCs w:val="18"/>
          <w:color w:val="auto"/>
        </w:rPr>
        <w:t>” has the meaning assigned to such term in the definition of “Consolidated EBITDA.”</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 Proration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2.11(a)(ii)(D)</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2.11(a)(ii)(D)</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Notice</w:t>
      </w:r>
      <w:r>
        <w:rPr>
          <w:rFonts w:ascii="Arial" w:cs="Arial" w:eastAsia="Arial" w:hAnsi="Arial"/>
          <w:sz w:val="18"/>
          <w:szCs w:val="18"/>
          <w:color w:val="auto"/>
        </w:rPr>
        <w:t xml:space="preserve">” means an irrevocable written notice of a Borrower Solicitation of Discounted Prepayment Offers made pursuant to </w:t>
      </w:r>
      <w:r>
        <w:rPr>
          <w:rFonts w:ascii="Arial" w:cs="Arial" w:eastAsia="Arial" w:hAnsi="Arial"/>
          <w:sz w:val="18"/>
          <w:szCs w:val="18"/>
          <w:u w:val="single" w:color="auto"/>
          <w:color w:val="auto"/>
        </w:rPr>
        <w:t>Section 2.11(a)(ii)(D)</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Solicited Discounted Prepayment Offer</w:t>
      </w:r>
      <w:r>
        <w:rPr>
          <w:rFonts w:ascii="Arial" w:cs="Arial" w:eastAsia="Arial" w:hAnsi="Arial"/>
          <w:sz w:val="18"/>
          <w:szCs w:val="18"/>
          <w:color w:val="auto"/>
        </w:rPr>
        <w:t xml:space="preserve">” means the irrevocable written offer by each Lender, substantially in the form of </w:t>
      </w:r>
      <w:r>
        <w:rPr>
          <w:rFonts w:ascii="Arial" w:cs="Arial" w:eastAsia="Arial" w:hAnsi="Arial"/>
          <w:sz w:val="18"/>
          <w:szCs w:val="18"/>
          <w:u w:val="single" w:color="auto"/>
          <w:color w:val="auto"/>
        </w:rPr>
        <w:t>Exhibit N</w:t>
      </w:r>
      <w:r>
        <w:rPr>
          <w:rFonts w:ascii="Arial" w:cs="Arial" w:eastAsia="Arial" w:hAnsi="Arial"/>
          <w:sz w:val="18"/>
          <w:szCs w:val="18"/>
          <w:color w:val="auto"/>
        </w:rPr>
        <w:t>, submitted following the Administrative Agent’s receipt of a Solicited Discounted Prepayment Notice.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Response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2.11(a)(ii)(D)</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means (a) the Fair Value of the assets of the Borrower and its Subsidiaries on a consolidated basis taken as a whole exceeds their</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Liabilities, (b) the Present Fair Saleable Value of the assets of the Borrower and its Subsidiaries on a consolidated basis taken as a whole exceeds their Liabilities, (c) the Borrower and its Subsidiaries on a consolidated basis taken as a whole after consummation of the Transactions is a going concern and has sufficient capital to reasonably ensure that it will continue to be a going concern for the period from the date hereof through the Latest Maturity Date</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taking into account the nature of, and the needs and anticipated needs for capital of, the particular business or businesses conducted or to be conducted by the Borrower and its Subsidiaries on a consolidated basis as reflected in the projected financial statements and in light of the anticipated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54</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capacity and (d) for the period from the date hereof through the Latest Maturity Date, the Borrower and its Subsidiaries on a consolidated basis taken as a whole will have sufficient assets and cash flow to pay their Liabilities as those liabilities mature or (in the case of contingent Liabilities) otherwise become payable, in light of business conducted or anticipated to be conducted by the Borrower and its Subsidiaries as reflected in the projected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in light of the anticipated credit capacity.</w:t>
      </w:r>
    </w:p>
    <w:p>
      <w:pPr>
        <w:spacing w:after="0" w:line="1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Purpose Entity</w:t>
      </w:r>
      <w:r>
        <w:rPr>
          <w:rFonts w:ascii="Arial" w:cs="Arial" w:eastAsia="Arial" w:hAnsi="Arial"/>
          <w:sz w:val="17"/>
          <w:szCs w:val="17"/>
          <w:color w:val="auto"/>
        </w:rPr>
        <w:t>” means a direct or indirect subsidiary of Holdings, whose organizational documents contain restrictions on its purpose and activities and impose requirements intended to preserve its separateness from Holdings and/or one or more Subsidiaries of Holdings.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2.11(a)(ii)(B)</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2.11(a)(ii)(B)</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Notice</w:t>
      </w:r>
      <w:r>
        <w:rPr>
          <w:rFonts w:ascii="Arial" w:cs="Arial" w:eastAsia="Arial" w:hAnsi="Arial"/>
          <w:sz w:val="18"/>
          <w:szCs w:val="18"/>
          <w:color w:val="auto"/>
        </w:rPr>
        <w:t xml:space="preserve">” means an irrevocable written notice of a Borrower Offer of Specified Discount Prepayment made pursuant to </w:t>
      </w:r>
      <w:r>
        <w:rPr>
          <w:rFonts w:ascii="Arial" w:cs="Arial" w:eastAsia="Arial" w:hAnsi="Arial"/>
          <w:sz w:val="18"/>
          <w:szCs w:val="18"/>
          <w:u w:val="single" w:color="auto"/>
          <w:color w:val="auto"/>
        </w:rPr>
        <w:t>Section 2.11(a)(ii)(B)</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15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Response</w:t>
      </w:r>
      <w:r>
        <w:rPr>
          <w:rFonts w:ascii="Arial" w:cs="Arial" w:eastAsia="Arial" w:hAnsi="Arial"/>
          <w:sz w:val="18"/>
          <w:szCs w:val="18"/>
          <w:color w:val="auto"/>
        </w:rPr>
        <w:t xml:space="preserve">” means the irrevocable written response by each Lender,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to a Specified Discount Prepayment Notice.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Response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2.11(a)(ii)(B)</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Proration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2.11(a)(ii)(B)</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Transaction</w:t>
      </w:r>
      <w:r>
        <w:rPr>
          <w:rFonts w:ascii="Arial" w:cs="Arial" w:eastAsia="Arial" w:hAnsi="Arial"/>
          <w:sz w:val="17"/>
          <w:szCs w:val="17"/>
          <w:color w:val="auto"/>
        </w:rPr>
        <w:t>” means, with respect to any period, any Investment (including any Permitted Acquisition), Disposition, incurrence or</w:t>
      </w:r>
    </w:p>
    <w:p>
      <w:pPr>
        <w:spacing w:after="0" w:line="1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repayment of Indebtedness, Restricted Payment, subsidiary designation, New Project or other event that by the terms of the Loan Documents requires “Pro Forma Compliance” with a test or covenant hereunder or requires such test or covenant to be calculated on a “Pro Forma Basis.”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Sponsors</w:t>
      </w:r>
      <w:r>
        <w:rPr>
          <w:rFonts w:ascii="Arial" w:cs="Arial" w:eastAsia="Arial" w:hAnsi="Arial"/>
          <w:sz w:val="17"/>
          <w:szCs w:val="17"/>
          <w:color w:val="auto"/>
        </w:rPr>
        <w:t>” means (a) collectively Silver Lake Alpine, L.P. and Silver Lake Alpine (Offshore), L.P., together with their Affiliates and any funds,</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partnerships or other co-investment vehicles managed, advised or controlled by any of the foregoing or any of their respective Affiliates, and (b) Providence Strategic Growth Capital Partners L.L.C., together with its Affiliates and any funds, partnerships or other co-investment vehicles managed, advised or controlled by any of the foregoing or any of their respective Affiliates, including, without limitation, Providence Strategic Growth II L.P.,</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Providence Strategic Growth II-A L.P., Providence Strategic Growth III L.P., Providence Strategic Growth III-A L.P. and PSG PS Co-Investors L.P.</w:t>
      </w:r>
    </w:p>
    <w:p>
      <w:pPr>
        <w:spacing w:after="0" w:line="1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Spot Rate</w:t>
      </w:r>
      <w:r>
        <w:rPr>
          <w:rFonts w:ascii="Arial" w:cs="Arial" w:eastAsia="Arial" w:hAnsi="Arial"/>
          <w:sz w:val="16"/>
          <w:szCs w:val="16"/>
          <w:color w:val="auto"/>
        </w:rPr>
        <w:t>” for a currency means the rate determined by the Administrative Agent or Issuing Bank, as applicable, to be the rate quoted by the Person acting in such capacity as the spot rate for the purchase by such Person of such currency with another currency through its principal foreign</w:t>
      </w:r>
    </w:p>
    <w:p>
      <w:pPr>
        <w:jc w:val="both"/>
        <w:spacing w:after="0" w:line="234" w:lineRule="auto"/>
        <w:rPr>
          <w:sz w:val="20"/>
          <w:szCs w:val="20"/>
          <w:color w:val="auto"/>
        </w:rPr>
      </w:pPr>
      <w:r>
        <w:rPr>
          <w:rFonts w:ascii="Arial" w:cs="Arial" w:eastAsia="Arial" w:hAnsi="Arial"/>
          <w:sz w:val="16"/>
          <w:szCs w:val="16"/>
          <w:color w:val="auto"/>
        </w:rPr>
        <w:t xml:space="preserve">exchange trading office at approximately 11:00 a.m. on the date one Business Day prior to the date as of which the foreign exchange computation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Issuing Bank may obtain such spot rate from another financial institution designated by the Administrative Agent or Issuing Bank if the Person acting in such capacity does not have as of the date of determination a spot buying rate for any such currency; and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u w:val="single" w:color="auto"/>
          <w:color w:val="auto"/>
        </w:rPr>
        <w:t>further</w:t>
      </w:r>
      <w:r>
        <w:rPr>
          <w:rFonts w:ascii="Arial" w:cs="Arial" w:eastAsia="Arial" w:hAnsi="Arial"/>
          <w:sz w:val="18"/>
          <w:szCs w:val="18"/>
          <w:color w:val="auto"/>
        </w:rPr>
        <w:t>, that an Issuing Bank may use such spot rate quoted on the date as of which the foreign exchange computation is made in the case of any Letter of Credit denominated in currency other than dollars.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SPV</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9.04(e)</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Standstill Period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7.01(d)</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Starter Basket</w:t>
      </w:r>
      <w:r>
        <w:rPr>
          <w:rFonts w:ascii="Arial" w:cs="Arial" w:eastAsia="Arial" w:hAnsi="Arial"/>
          <w:sz w:val="18"/>
          <w:szCs w:val="18"/>
          <w:color w:val="auto"/>
        </w:rPr>
        <w:t>” has the meaning assigned to such term in the definition of “Available Amount.”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Statutory Reserve Rate</w:t>
      </w:r>
      <w:r>
        <w:rPr>
          <w:rFonts w:ascii="Arial" w:cs="Arial" w:eastAsia="Arial" w:hAnsi="Arial"/>
          <w:sz w:val="16"/>
          <w:szCs w:val="16"/>
          <w:color w:val="008000"/>
          <w:strike w:val="1"/>
        </w:rPr>
        <w:t>” means, with respect to any</w:t>
      </w:r>
      <w:r>
        <w:rPr>
          <w:rFonts w:ascii="Arial" w:cs="Arial" w:eastAsia="Arial" w:hAnsi="Arial"/>
          <w:sz w:val="16"/>
          <w:szCs w:val="16"/>
          <w:color w:val="FF0000"/>
          <w:strike w:val="1"/>
        </w:rPr>
        <w:t xml:space="preserve"> currency, a fraction (expressed as a decimal), the numerator of which is the number one and</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FF0000"/>
          <w:strike w:val="1"/>
        </w:rPr>
        <w:t>the denominator of which is the number one minus the aggregate of the maximum reserve, liquid asset or similar percentages (including any marginal, special, emergency or supplemental reserves) expressed as a decimal established by any Governmental Authority of the United States or of the jurisdiction of such currency or any jurisdiction in which Loans in such currency are made to which banks in such jurisdiction are subject for any category of deposits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FF0000"/>
          <w:strike w:val="1"/>
        </w:rPr>
        <w:t>or liabilities customarily used to fund loans in such currency or by reference to which interest rates applicable to Loans in such currency are determined. Such reserve, liquid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55</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FF0000"/>
          <w:strike w:val="1"/>
        </w:rPr>
        <w:t xml:space="preserve">or similar percentages shall include those imposed pursuant to Regulation D of the Board of Governors, and, if any Lender is required to comply with the requirements of The Bank of England and/or the Prudential Regulation Authority (or any authority that replaces any of the functions thereof), the requirements of the European Central Bank. Eurocurrency </w:t>
      </w:r>
      <w:r>
        <w:rPr>
          <w:rFonts w:ascii="Arial" w:cs="Arial" w:eastAsia="Arial" w:hAnsi="Arial"/>
          <w:sz w:val="16"/>
          <w:szCs w:val="16"/>
          <w:color w:val="008000"/>
          <w:strike w:val="1"/>
        </w:rPr>
        <w:t>Loans shall be deemed to be</w:t>
      </w:r>
      <w:r>
        <w:rPr>
          <w:rFonts w:ascii="Arial" w:cs="Arial" w:eastAsia="Arial" w:hAnsi="Arial"/>
          <w:sz w:val="16"/>
          <w:szCs w:val="16"/>
          <w:color w:val="FF0000"/>
          <w:strike w:val="1"/>
        </w:rPr>
        <w:t xml:space="preserve"> subject to such reserve, liquid asset or similar requirements without</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FF0000"/>
          <w:strike w:val="1"/>
        </w:rPr>
        <w:t>benefit of or credit for proration, exemptions or offsets that may be available from time to time to any Lender under Regulation D or any other applicable law, rule or regulation. The Statutory Reserve Rate shall be adjusted automatically on and as of the effective date of any change in any reserve percentage.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Submitted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2.11(a)(ii)(C)</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Submitted Discount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2.11(a)(ii)(C)</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 any corporation, limited liability company, partnership, association or other entity of which securities or other ownership interests representing more than 50% of the equity or more than 50% of the ordinary voting power or, in</w:t>
      </w:r>
    </w:p>
    <w:p>
      <w:pPr>
        <w:jc w:val="both"/>
        <w:spacing w:after="0" w:line="231" w:lineRule="auto"/>
        <w:rPr>
          <w:sz w:val="20"/>
          <w:szCs w:val="20"/>
          <w:color w:val="auto"/>
        </w:rPr>
      </w:pPr>
      <w:r>
        <w:rPr>
          <w:rFonts w:ascii="Arial" w:cs="Arial" w:eastAsia="Arial" w:hAnsi="Arial"/>
          <w:sz w:val="17"/>
          <w:szCs w:val="17"/>
          <w:color w:val="auto"/>
        </w:rPr>
        <w:t>the case of a partnership, more than 50% of the general partnership interests are, as of such date, owned, controlled or held and (b) at the option of the Borrower, any other corporation, limited liability company, partnership, association or other entity the accounts of which would be consolidated with those the parent in the parent’s consolidated financial statements if such financial statements were prepared in accordance with GAAP.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w:t>
      </w:r>
    </w:p>
    <w:p>
      <w:pPr>
        <w:spacing w:after="0" w:line="18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Loan Party</w:t>
      </w:r>
      <w:r>
        <w:rPr>
          <w:rFonts w:ascii="Arial" w:cs="Arial" w:eastAsia="Arial" w:hAnsi="Arial"/>
          <w:sz w:val="17"/>
          <w:szCs w:val="17"/>
          <w:color w:val="auto"/>
        </w:rPr>
        <w:t>” means (a) each Subsidiary of the Borrower that is a party to the Guarantee Agreement and (b) any other Restricted Subsidiary that may be designated by the Borrower (by way of delivering to the Collateral Agent a supplement to the Collateral Agreement and a</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 xml:space="preserve">supplement to the Guarantee Agreement, in each case, duly executed by such Subsidiary) in its sole discretion from time to time to be a guarantor in respect of the Secured Obligations, whereupon such Subsidiary shall be obligated to comply with the other requirements of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as if it were newly acquired and not an Excluded Subsidiary, in each case unless it ceases to be a Subsidiary Loan Party in accordance with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Borrower</w:t>
      </w:r>
      <w:r>
        <w:rPr>
          <w:rFonts w:ascii="Arial" w:cs="Arial" w:eastAsia="Arial" w:hAnsi="Arial"/>
          <w:sz w:val="18"/>
          <w:szCs w:val="18"/>
          <w:color w:val="auto"/>
        </w:rPr>
        <w:t>” has the meaning assigned to such term in Section 6.03(d).</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 Holdings</w:t>
      </w:r>
      <w:r>
        <w:rPr>
          <w:rFonts w:ascii="Arial" w:cs="Arial" w:eastAsia="Arial" w:hAnsi="Arial"/>
          <w:sz w:val="16"/>
          <w:szCs w:val="16"/>
          <w:color w:val="auto"/>
        </w:rPr>
        <w:t>” means, if Holdings merges, amalgamates or consolidates with any other Person, either (A) Holdings, if Holdings shall be the continuing or surviving Person, or (B) if the Person formed by or surviving any such merger, amalgamation or consolidation is not Holdings or is a</w:t>
      </w:r>
    </w:p>
    <w:p>
      <w:pPr>
        <w:jc w:val="both"/>
        <w:spacing w:after="0" w:line="221" w:lineRule="auto"/>
        <w:rPr>
          <w:sz w:val="20"/>
          <w:szCs w:val="20"/>
          <w:color w:val="auto"/>
        </w:rPr>
      </w:pPr>
      <w:r>
        <w:rPr>
          <w:rFonts w:ascii="Arial" w:cs="Arial" w:eastAsia="Arial" w:hAnsi="Arial"/>
          <w:sz w:val="17"/>
          <w:szCs w:val="17"/>
          <w:color w:val="auto"/>
        </w:rPr>
        <w:t>Person into which Holdings has been liquidated, such other Person so long as (1) the Successor Holdings shall expressly assume all the obligations of Holdings under this Agreement and the other Loan Documents to which Holdings is a party pursuant to a supplement hereto or thereto in form and substance reasonably satisfactory to the Administrative Agent, (2) each Loan Party other than Holdings unless it is the other party to such merger,</w:t>
      </w:r>
    </w:p>
    <w:p>
      <w:pPr>
        <w:jc w:val="both"/>
        <w:spacing w:after="0" w:line="221" w:lineRule="auto"/>
        <w:rPr>
          <w:sz w:val="20"/>
          <w:szCs w:val="20"/>
          <w:color w:val="auto"/>
        </w:rPr>
      </w:pPr>
      <w:r>
        <w:rPr>
          <w:rFonts w:ascii="Arial" w:cs="Arial" w:eastAsia="Arial" w:hAnsi="Arial"/>
          <w:sz w:val="17"/>
          <w:szCs w:val="17"/>
          <w:color w:val="auto"/>
        </w:rPr>
        <w:t>amalgamation or consolidation, shall have reaffirmed, pursuant to an agreement in form and substance reasonably satisfactory to the Administrative Agent, that its Guarantee of and grant of any Liens as security for the Secured Obligations shall apply to the Successor Holdings’ obligations under this Agreement, (3) the Successor Holdings shall, immediately following such merger, amalgamation or consolidation, directly or indirectly own all</w:t>
      </w:r>
    </w:p>
    <w:p>
      <w:pPr>
        <w:jc w:val="both"/>
        <w:spacing w:after="0" w:line="234" w:lineRule="auto"/>
        <w:rPr>
          <w:sz w:val="20"/>
          <w:szCs w:val="20"/>
          <w:color w:val="auto"/>
        </w:rPr>
      </w:pPr>
      <w:r>
        <w:rPr>
          <w:rFonts w:ascii="Arial" w:cs="Arial" w:eastAsia="Arial" w:hAnsi="Arial"/>
          <w:sz w:val="16"/>
          <w:szCs w:val="16"/>
          <w:color w:val="auto"/>
        </w:rPr>
        <w:t xml:space="preserve">Subsidiaries owned by Holdings immediately prior to such transaction, (4) Holdings shall have delivered to the Administrative Agent a certificate of a Responsible Officer and an opinion of counsel, each stating that such merger, amalgamation or consolidation complies with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foregoing requirements are satisfied, the Successor Holdings will succeed to, and be substituted for, Holdings under this Agreement and the other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Loan Documents; provided further that Holdings agrees to use commercially reasonable efforts to provide any documentation and other information about the Successor Holdings as shall have been reasonably requested in writing by any the Lender through the Administrative Agent that such Lender shall have reasonably determined is required by regulatory authorities under applicable “know your customer” and anti-money laundering rules and regulations,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including Title III of the USA Patriot Act and the Beneficial Ownership Regulation.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9.21</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w:t>
      </w:r>
      <w:r>
        <w:rPr>
          <w:rFonts w:ascii="Arial" w:cs="Arial" w:eastAsia="Arial" w:hAnsi="Arial"/>
          <w:sz w:val="16"/>
          <w:szCs w:val="16"/>
          <w:color w:val="auto"/>
        </w:rPr>
        <w:t>” means any agreement, contract, or transaction that constitutes a “swap” within the meaning of section 1a(47) of the Commodity Exchange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w:t>
      </w:r>
    </w:p>
    <w:p>
      <w:pPr>
        <w:spacing w:after="0"/>
        <w:rPr>
          <w:sz w:val="20"/>
          <w:szCs w:val="20"/>
          <w:color w:val="auto"/>
        </w:rPr>
      </w:pPr>
      <w:r>
        <w:rPr>
          <w:rFonts w:ascii="Arial" w:cs="Arial" w:eastAsia="Arial" w:hAnsi="Arial"/>
          <w:sz w:val="16"/>
          <w:szCs w:val="16"/>
          <w:color w:val="auto"/>
        </w:rPr>
        <w:t>forward bond or forward bond price or forward bond index transactions, interest rate options, forward foreign exchange transactions, cap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56</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Person, any obligation to pay or perform under any Swap.</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Group</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6.08(a)(xviii)</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any and all present or future taxes, levies, imposts, duties, deductions, charges, fees, assessments or withholdings (including backup withholdings) imposed by any Governmental Authority, including any interest, additions to tax and penalties applicable thereto.</w:t>
      </w:r>
    </w:p>
    <w:p>
      <w:pPr>
        <w:spacing w:after="0" w:line="13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Commitment</w:t>
      </w:r>
      <w:r>
        <w:rPr>
          <w:rFonts w:ascii="Arial" w:cs="Arial" w:eastAsia="Arial" w:hAnsi="Arial"/>
          <w:sz w:val="18"/>
          <w:szCs w:val="18"/>
          <w:color w:val="auto"/>
        </w:rPr>
        <w:t xml:space="preserve">” means (x) prior to the Amendment No. 1 Effective Date, the Initial Term Commitment and (y) on or after the Amendment No. 1 Effective Date, the </w:t>
      </w:r>
      <w:r>
        <w:rPr>
          <w:rFonts w:ascii="Arial" w:cs="Arial" w:eastAsia="Arial" w:hAnsi="Arial"/>
          <w:sz w:val="18"/>
          <w:szCs w:val="18"/>
          <w:color w:val="FF0000"/>
          <w:strike w:val="1"/>
        </w:rPr>
        <w:t>the</w:t>
      </w:r>
      <w:r>
        <w:rPr>
          <w:rFonts w:ascii="Arial" w:cs="Arial" w:eastAsia="Arial" w:hAnsi="Arial"/>
          <w:sz w:val="18"/>
          <w:szCs w:val="18"/>
          <w:color w:val="auto"/>
        </w:rPr>
        <w:t xml:space="preserve"> First Additional Term Commitment.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Facility</w:t>
      </w:r>
      <w:r>
        <w:rPr>
          <w:rFonts w:ascii="Arial" w:cs="Arial" w:eastAsia="Arial" w:hAnsi="Arial"/>
          <w:sz w:val="18"/>
          <w:szCs w:val="18"/>
          <w:color w:val="auto"/>
        </w:rPr>
        <w:t>” means the Term Loans and any Incremental Term Loans or any refinancing thereof.</w:t>
      </w:r>
    </w:p>
    <w:p>
      <w:pPr>
        <w:spacing w:after="0" w:line="18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Lenders</w:t>
      </w:r>
      <w:r>
        <w:rPr>
          <w:rFonts w:ascii="Arial" w:cs="Arial" w:eastAsia="Arial" w:hAnsi="Arial"/>
          <w:sz w:val="17"/>
          <w:szCs w:val="17"/>
          <w:color w:val="auto"/>
        </w:rPr>
        <w:t xml:space="preserve">” means the Persons listed on </w:t>
      </w:r>
      <w:r>
        <w:rPr>
          <w:rFonts w:ascii="Arial" w:cs="Arial" w:eastAsia="Arial" w:hAnsi="Arial"/>
          <w:sz w:val="17"/>
          <w:szCs w:val="17"/>
          <w:u w:val="single" w:color="auto"/>
          <w:color w:val="auto"/>
        </w:rPr>
        <w:t>Schedule 2.01(a)</w:t>
      </w:r>
      <w:r>
        <w:rPr>
          <w:rFonts w:ascii="Arial" w:cs="Arial" w:eastAsia="Arial" w:hAnsi="Arial"/>
          <w:sz w:val="17"/>
          <w:szCs w:val="17"/>
          <w:color w:val="auto"/>
        </w:rPr>
        <w:t xml:space="preserve"> and any other Person that shall have become a party hereto pursuant to an Assignment and Assumption in respect of any Term Loans, an Incremental Facility Amendment in respect of any Term Loans, Loan Modification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Agreement in respect of any Term Loans or a Refinancing Amendment in respect of any Term Loans, other than any such Person that ceases to be a party hereto pursuant to an Assignment and Assumption.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means (a) the Initial Term Loans and (b) the First Additional Term Loans.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Maturity Date</w:t>
      </w:r>
      <w:r>
        <w:rPr>
          <w:rFonts w:ascii="Arial" w:cs="Arial" w:eastAsia="Arial" w:hAnsi="Arial"/>
          <w:sz w:val="18"/>
          <w:szCs w:val="18"/>
          <w:color w:val="auto"/>
        </w:rPr>
        <w:t>” means July 6, 2028.</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w:t>
      </w:r>
      <w:r>
        <w:rPr>
          <w:rFonts w:ascii="Arial" w:cs="Arial" w:eastAsia="Arial" w:hAnsi="Arial"/>
          <w:sz w:val="16"/>
          <w:szCs w:val="16"/>
          <w:color w:val="auto"/>
        </w:rPr>
        <w:t xml:space="preserve">” means </w:t>
      </w:r>
      <w:r>
        <w:rPr>
          <w:rFonts w:ascii="Arial" w:cs="Arial" w:eastAsia="Arial" w:hAnsi="Arial"/>
          <w:sz w:val="16"/>
          <w:szCs w:val="16"/>
          <w:color w:val="FF0000"/>
        </w:rPr>
        <w:t>the forward-looking term rate for any period that is approximately (as reasonably</w:t>
      </w:r>
      <w:r>
        <w:rPr>
          <w:rFonts w:ascii="Arial" w:cs="Arial" w:eastAsia="Arial" w:hAnsi="Arial"/>
          <w:sz w:val="16"/>
          <w:szCs w:val="16"/>
          <w:color w:val="auto"/>
        </w:rPr>
        <w:t xml:space="preserve"> </w:t>
      </w:r>
      <w:r>
        <w:rPr>
          <w:rFonts w:ascii="Arial" w:cs="Arial" w:eastAsia="Arial" w:hAnsi="Arial"/>
          <w:sz w:val="16"/>
          <w:szCs w:val="16"/>
          <w:color w:val="008000"/>
          <w:strike w:val="1"/>
        </w:rPr>
        <w:t>determined by the Administrative Agent</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color w:val="FF0000"/>
          <w:strike w:val="1"/>
        </w:rPr>
        <w:t>as long as any of the Interest Period options set forth in the definition of “</w:t>
      </w:r>
      <w:r>
        <w:rPr>
          <w:rFonts w:ascii="Arial" w:cs="Arial" w:eastAsia="Arial" w:hAnsi="Arial"/>
          <w:sz w:val="16"/>
          <w:szCs w:val="16"/>
          <w:u w:val="single" w:color="auto"/>
          <w:color w:val="0000FF"/>
          <w:highlight w:val="lightGray"/>
          <w:strike w:val="1"/>
        </w:rPr>
        <w:t>, with respect</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8000"/>
          <w:strike w:val="1"/>
        </w:rPr>
        <w:t>to any Loan or Borrowing</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highlight w:val="lightGray"/>
          <w:strike w:val="1"/>
        </w:rPr>
        <w:t>bearing interest at the Adjusted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-171450</wp:posOffset>
            </wp:positionV>
            <wp:extent cx="38392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839210"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u w:val="single" w:color="auto"/>
          <w:color w:val="0000FF"/>
          <w:highlight w:val="lightGray"/>
        </w:rPr>
        <w:t>SOFR Rate and for any tenor comparable to the applicable</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Interest Period,</w:t>
      </w:r>
      <w:r>
        <w:rPr>
          <w:rFonts w:ascii="Arial" w:cs="Arial" w:eastAsia="Arial" w:hAnsi="Arial"/>
          <w:sz w:val="16"/>
          <w:szCs w:val="16"/>
          <w:color w:val="FF0000"/>
          <w:strike w:val="1"/>
        </w:rPr>
        <w:t>” that is based on SOFR and that has been selected or recommended</w:t>
      </w:r>
      <w:r>
        <w:rPr>
          <w:rFonts w:ascii="Arial" w:cs="Arial" w:eastAsia="Arial" w:hAnsi="Arial"/>
          <w:sz w:val="16"/>
          <w:szCs w:val="16"/>
          <w:color w:val="0000FF"/>
          <w:highlight w:val="lightGray"/>
        </w:rPr>
        <w:t xml:space="preserve"> </w:t>
      </w:r>
      <w:r>
        <w:rPr>
          <w:rFonts w:ascii="Arial" w:cs="Arial" w:eastAsia="Arial" w:hAnsi="Arial"/>
          <w:sz w:val="16"/>
          <w:szCs w:val="16"/>
          <w:color w:val="008000"/>
          <w:strike w:val="1"/>
        </w:rPr>
        <w:t>by the</w:t>
      </w:r>
      <w:r>
        <w:rPr>
          <w:rFonts w:ascii="Arial" w:cs="Arial" w:eastAsia="Arial" w:hAnsi="Arial"/>
          <w:sz w:val="16"/>
          <w:szCs w:val="16"/>
          <w:color w:val="0000FF"/>
          <w:highlight w:val="lightGray"/>
        </w:rPr>
        <w:t xml:space="preserve"> </w:t>
      </w:r>
      <w:r>
        <w:rPr>
          <w:rFonts w:ascii="Arial" w:cs="Arial" w:eastAsia="Arial" w:hAnsi="Arial"/>
          <w:sz w:val="16"/>
          <w:szCs w:val="16"/>
          <w:color w:val="008000"/>
          <w:strike w:val="1"/>
        </w:rPr>
        <w:t>Relevant Governmental Body</w:t>
      </w:r>
      <w:r>
        <w:rPr>
          <w:rFonts w:ascii="Arial" w:cs="Arial" w:eastAsia="Arial" w:hAnsi="Arial"/>
          <w:sz w:val="16"/>
          <w:szCs w:val="16"/>
          <w:color w:val="FF0000"/>
          <w:strike w:val="1"/>
        </w:rPr>
        <w:t>, in each case as published on an information service as selected by the</w:t>
      </w:r>
      <w:r>
        <w:rPr>
          <w:rFonts w:ascii="Arial" w:cs="Arial" w:eastAsia="Arial" w:hAnsi="Arial"/>
          <w:sz w:val="16"/>
          <w:szCs w:val="16"/>
          <w:color w:val="008000"/>
        </w:rPr>
        <w:t xml:space="preserve"> </w:t>
      </w:r>
      <w:r>
        <w:rPr>
          <w:rFonts w:ascii="Arial" w:cs="Arial" w:eastAsia="Arial" w:hAnsi="Arial"/>
          <w:sz w:val="16"/>
          <w:szCs w:val="16"/>
          <w:u w:val="single" w:color="auto"/>
          <w:color w:val="0000FF"/>
          <w:highlight w:val="lightGray"/>
        </w:rPr>
        <w:t>the</w:t>
      </w:r>
      <w:r>
        <w:rPr>
          <w:rFonts w:ascii="Arial" w:cs="Arial" w:eastAsia="Arial" w:hAnsi="Arial"/>
          <w:sz w:val="16"/>
          <w:szCs w:val="16"/>
          <w:color w:val="008000"/>
        </w:rPr>
        <w:t xml:space="preserve"> </w:t>
      </w:r>
      <w:r>
        <w:rPr>
          <w:rFonts w:ascii="Arial" w:cs="Arial" w:eastAsia="Arial" w:hAnsi="Arial"/>
          <w:sz w:val="16"/>
          <w:szCs w:val="16"/>
          <w:color w:val="0000FF"/>
          <w:highlight w:val="lightGray"/>
        </w:rPr>
        <w:t>Term SOFR Refer</w:t>
      </w:r>
      <w:r>
        <w:rPr>
          <w:rFonts w:ascii="Arial" w:cs="Arial" w:eastAsia="Arial" w:hAnsi="Arial"/>
          <w:sz w:val="16"/>
          <w:szCs w:val="16"/>
          <w:u w:val="single" w:color="auto"/>
          <w:color w:val="0000FF"/>
          <w:highlight w:val="lightGray"/>
        </w:rPr>
        <w:t>ence Rate at approximately 5:00</w:t>
      </w:r>
      <w:r>
        <w:rPr>
          <w:rFonts w:ascii="Arial" w:cs="Arial" w:eastAsia="Arial" w:hAnsi="Arial"/>
          <w:sz w:val="16"/>
          <w:szCs w:val="16"/>
          <w:color w:val="008000"/>
        </w:rPr>
        <w:t xml:space="preserve"> </w:t>
      </w:r>
      <w:r>
        <w:rPr>
          <w:rFonts w:ascii="Arial" w:cs="Arial" w:eastAsia="Arial" w:hAnsi="Arial"/>
          <w:sz w:val="16"/>
          <w:szCs w:val="16"/>
          <w:u w:val="single" w:color="auto"/>
          <w:color w:val="0000FF"/>
          <w:highlight w:val="lightGray"/>
        </w:rPr>
        <w:t xml:space="preserve">a.m., Chicago time, two U.S. Government Securities </w:t>
      </w:r>
      <w:r>
        <w:rPr>
          <w:rFonts w:ascii="Arial" w:cs="Arial" w:eastAsia="Arial" w:hAnsi="Arial"/>
          <w:sz w:val="16"/>
          <w:szCs w:val="16"/>
          <w:u w:val="single" w:color="auto"/>
          <w:color w:val="008000"/>
        </w:rPr>
        <w:t>Business Days prior to the commencement of such</w:t>
      </w:r>
      <w:r>
        <w:rPr>
          <w:rFonts w:ascii="Arial" w:cs="Arial" w:eastAsia="Arial" w:hAnsi="Arial"/>
          <w:sz w:val="16"/>
          <w:szCs w:val="16"/>
          <w:u w:val="single" w:color="auto"/>
          <w:color w:val="0000FF"/>
          <w:highlight w:val="lightGray"/>
        </w:rPr>
        <w:t xml:space="preserve"> tenor comparable </w:t>
      </w:r>
      <w:r>
        <w:rPr>
          <w:rFonts w:ascii="Arial" w:cs="Arial" w:eastAsia="Arial" w:hAnsi="Arial"/>
          <w:sz w:val="16"/>
          <w:szCs w:val="16"/>
          <w:u w:val="single" w:color="auto"/>
          <w:color w:val="008000"/>
        </w:rPr>
        <w:t>to the applicable Interest Period</w:t>
      </w:r>
      <w:r>
        <w:rPr>
          <w:rFonts w:ascii="Arial" w:cs="Arial" w:eastAsia="Arial" w:hAnsi="Arial"/>
          <w:sz w:val="16"/>
          <w:szCs w:val="16"/>
          <w:u w:val="single" w:color="auto"/>
          <w:color w:val="0000FF"/>
          <w:highlight w:val="lightGray"/>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highlight w:val="lightGray"/>
        </w:rPr>
        <w:t>as such rate is published by the CME Term SOFR</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Administrat</w:t>
      </w:r>
      <w:r>
        <w:rPr>
          <w:rFonts w:ascii="Arial" w:cs="Arial" w:eastAsia="Arial" w:hAnsi="Arial"/>
          <w:sz w:val="18"/>
          <w:szCs w:val="18"/>
          <w:color w:val="FF0000"/>
          <w:strike w:val="1"/>
        </w:rPr>
        <w:t>ive</w:t>
      </w:r>
      <w:r>
        <w:rPr>
          <w:rFonts w:ascii="Arial" w:cs="Arial" w:eastAsia="Arial" w:hAnsi="Arial"/>
          <w:sz w:val="18"/>
          <w:szCs w:val="18"/>
          <w:u w:val="single" w:color="auto"/>
          <w:color w:val="0000FF"/>
          <w:highlight w:val="lightGray"/>
        </w:rPr>
        <w:t>or</w:t>
      </w:r>
      <w:r>
        <w:rPr>
          <w:rFonts w:ascii="Arial" w:cs="Arial" w:eastAsia="Arial" w:hAnsi="Arial"/>
          <w:sz w:val="18"/>
          <w:szCs w:val="18"/>
          <w:color w:val="0000FF"/>
          <w:highlight w:val="lightGray"/>
        </w:rPr>
        <w:t xml:space="preserve"> </w:t>
      </w:r>
      <w:r>
        <w:rPr>
          <w:rFonts w:ascii="Arial" w:cs="Arial" w:eastAsia="Arial" w:hAnsi="Arial"/>
          <w:sz w:val="18"/>
          <w:szCs w:val="18"/>
          <w:color w:val="FF0000"/>
          <w:strike w:val="1"/>
        </w:rPr>
        <w:t>Agent from time to time in its reasonable discretion</w:t>
      </w:r>
      <w:r>
        <w:rPr>
          <w:rFonts w:ascii="Arial" w:cs="Arial" w:eastAsia="Arial" w:hAnsi="Arial"/>
          <w:sz w:val="18"/>
          <w:szCs w:val="18"/>
          <w:color w:val="000000"/>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highlight w:val="lightGray"/>
        </w:rPr>
        <w:t>“Term SOFR Determination Day” has the meaning specified in the definition of “Term SOFR Reference Rate”.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0000FF"/>
          <w:highlight w:val="lightGray"/>
        </w:rPr>
        <w:t>“Term SOFR Reference Rate” means, for any day and time (such day, the “Term SOFR Determination Day”), with respect to any Borrowing for</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0000FF"/>
          <w:highlight w:val="lightGray"/>
        </w:rPr>
        <w:t xml:space="preserve">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w:t>
      </w:r>
      <w:r>
        <w:rPr>
          <w:rFonts w:ascii="Arial" w:cs="Arial" w:eastAsia="Arial" w:hAnsi="Arial"/>
          <w:sz w:val="16"/>
          <w:szCs w:val="16"/>
          <w:u w:val="single" w:color="auto"/>
          <w:color w:val="0000FF"/>
          <w:highlight w:val="lightGray"/>
        </w:rPr>
        <w:t>“Term SOFR Reference Rate” for the applicable tenor has not been published by the CME Term SOFR Administrator and a Benchmark Replacement Date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0000FF"/>
          <w:highlight w:val="lightGray"/>
        </w:rPr>
        <w:t xml:space="preserve">with respect to Term SOFR has not occurred, then, so long as such day is otherwise a U.S. Government Securities Business Day, the Term SOFR Reference Rate for such Term SOFR Determination Day will be the Term SOFR Reference Rate as published in respect of the first preceding U.S. Government </w:t>
      </w:r>
      <w:r>
        <w:rPr>
          <w:rFonts w:ascii="Arial" w:cs="Arial" w:eastAsia="Arial" w:hAnsi="Arial"/>
          <w:sz w:val="16"/>
          <w:szCs w:val="16"/>
          <w:u w:val="single" w:color="auto"/>
          <w:color w:val="0000FF"/>
          <w:highlight w:val="lightGray"/>
        </w:rPr>
        <w:t>Securities Business Day for which such Term SOFR Reference Rate was published by the CME Term SOFR Administrator, so long as such first preceding</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0000FF"/>
          <w:highlight w:val="lightGray"/>
        </w:rPr>
        <w:t xml:space="preserve">U.S. </w:t>
      </w:r>
      <w:r>
        <w:rPr>
          <w:rFonts w:ascii="Arial" w:cs="Arial" w:eastAsia="Arial" w:hAnsi="Arial"/>
          <w:sz w:val="18"/>
          <w:szCs w:val="18"/>
          <w:u w:val="single" w:color="auto"/>
          <w:color w:val="0000FF"/>
          <w:highlight w:val="lightGray"/>
        </w:rPr>
        <w:t>Government Securities Business Day is not more than five (5) U.S. Government Securities Business Days prior to such Term SOFR Determination</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Day.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means the date on which (a) all Commitments shall have been terminated, (b) all Loan Document Obligations (other than in</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respect of contingent indemnification and contingent expense reimbursement claims not then due) have been paid in full and (c) all Letters of Credit (other than those that have been 100% Cash Collateralized or backstopped, or with respect to which other arrangements reasonably satisfactory to the applicable Issuing Bank have been made) have been cancelled or have expired (without any drawing having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57</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thereunder that has not been rejected or honored) and all amounts drawn or paid thereunder have been reimbursed in full.</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Test Period</w:t>
      </w:r>
      <w:r>
        <w:rPr>
          <w:rFonts w:ascii="Arial" w:cs="Arial" w:eastAsia="Arial" w:hAnsi="Arial"/>
          <w:sz w:val="16"/>
          <w:szCs w:val="16"/>
          <w:color w:val="auto"/>
        </w:rPr>
        <w:t xml:space="preserve">” means, at any date of determination (a) for any determination under this Agreement (other than any determination of the Applicable Rate, the commitment fee under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compliance with the Financial Performance Covenant), the most recently completed four consecutive</w:t>
      </w:r>
    </w:p>
    <w:p>
      <w:pPr>
        <w:jc w:val="both"/>
        <w:spacing w:after="0" w:line="234" w:lineRule="auto"/>
        <w:rPr>
          <w:sz w:val="20"/>
          <w:szCs w:val="20"/>
          <w:color w:val="auto"/>
        </w:rPr>
      </w:pPr>
      <w:r>
        <w:rPr>
          <w:rFonts w:ascii="Arial" w:cs="Arial" w:eastAsia="Arial" w:hAnsi="Arial"/>
          <w:sz w:val="16"/>
          <w:szCs w:val="16"/>
          <w:color w:val="auto"/>
        </w:rPr>
        <w:t xml:space="preserve">fiscal quarters of the Borrower ending on or prior to such date for which financial statements are internally available and (b) for any determination of the Applicable Rate, the commitment fee under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compliance with the Financial Performance Covenant, the most recently completed four consecutive fiscal quarters of the Borrower ending on or prior to such date for which financial statements have been (or were required to have been)</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the first date after the Effective Date on which financial statements are internally available or have been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5.01(b)</w:t>
      </w:r>
      <w:r>
        <w:rPr>
          <w:rFonts w:ascii="Arial" w:cs="Arial" w:eastAsia="Arial" w:hAnsi="Arial"/>
          <w:sz w:val="18"/>
          <w:szCs w:val="18"/>
          <w:color w:val="auto"/>
        </w:rPr>
        <w:t>, as applicable, the Test Period in effect shall be the period of four consecutive fiscal quarters of the Borrower ended March 31, 2021.</w:t>
      </w:r>
    </w:p>
    <w:p>
      <w:pPr>
        <w:spacing w:after="0" w:line="17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means, on any date, the ratio of (a) Consolidated Net Debt as of such date to (b) Consolidated EBITDA for the Test Period as of such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means, collectively, (a) the IPO, (b) the Effective Date Refinancing, (c) the funding of the Term Loans on the Effective Date and</w:t>
      </w:r>
    </w:p>
    <w:p>
      <w:pPr>
        <w:spacing w:after="0" w:line="2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consummation of the other transactions contemplated by this Agreement, (d) the consummation of any other transactions in connection with the foregoing and (e) the payment of the fees and expenses incurred in connection with any of the foregoing (including the Transaction Costs).</w:t>
      </w:r>
    </w:p>
    <w:p>
      <w:pPr>
        <w:spacing w:after="0" w:line="16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Costs</w:t>
      </w:r>
      <w:r>
        <w:rPr>
          <w:rFonts w:ascii="Arial" w:cs="Arial" w:eastAsia="Arial" w:hAnsi="Arial"/>
          <w:sz w:val="16"/>
          <w:szCs w:val="16"/>
          <w:color w:val="auto"/>
        </w:rPr>
        <w:t>” means any fees or expenses incurred or paid by the Sponsors, the Management Investors, Holdings, the Borrower or any Subsidiary in connection with the Transactions, this Agreement and the other Loan Documents and the transactions contemplated hereby and thereby.</w:t>
      </w:r>
    </w:p>
    <w:p>
      <w:pPr>
        <w:spacing w:after="0" w:line="11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xml:space="preserve">,” when used in reference to any Loan or Borrowing, refers to whether the rate of interest on such Loan, or on the Loans comprising such Borrowing, is determined by reference to </w:t>
      </w:r>
      <w:r>
        <w:rPr>
          <w:rFonts w:ascii="Arial" w:cs="Arial" w:eastAsia="Arial" w:hAnsi="Arial"/>
          <w:sz w:val="18"/>
          <w:szCs w:val="18"/>
          <w:color w:val="FF0000"/>
          <w:strike w:val="1"/>
        </w:rPr>
        <w:t>the</w:t>
      </w:r>
      <w:r>
        <w:rPr>
          <w:rFonts w:ascii="Arial" w:cs="Arial" w:eastAsia="Arial" w:hAnsi="Arial"/>
          <w:sz w:val="18"/>
          <w:szCs w:val="18"/>
          <w:color w:val="auto"/>
        </w:rPr>
        <w:t xml:space="preserve"> Adjusted </w:t>
      </w:r>
      <w:r>
        <w:rPr>
          <w:rFonts w:ascii="Arial" w:cs="Arial" w:eastAsia="Arial" w:hAnsi="Arial"/>
          <w:sz w:val="18"/>
          <w:szCs w:val="18"/>
          <w:color w:val="FF0000"/>
          <w:strike w:val="1"/>
        </w:rPr>
        <w:t>LIBO Rate</w:t>
      </w:r>
      <w:r>
        <w:rPr>
          <w:rFonts w:ascii="Arial" w:cs="Arial" w:eastAsia="Arial" w:hAnsi="Arial"/>
          <w:sz w:val="18"/>
          <w:szCs w:val="18"/>
          <w:u w:val="single" w:color="auto"/>
          <w:color w:val="0000FF"/>
          <w:highlight w:val="lightGray"/>
        </w:rPr>
        <w:t>Term SOFR</w:t>
      </w:r>
      <w:r>
        <w:rPr>
          <w:rFonts w:ascii="Arial" w:cs="Arial" w:eastAsia="Arial" w:hAnsi="Arial"/>
          <w:sz w:val="18"/>
          <w:szCs w:val="18"/>
          <w:color w:val="auto"/>
        </w:rPr>
        <w:t xml:space="preserve"> or the Alternate Base Rate.</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or “</w:t>
      </w:r>
      <w:r>
        <w:rPr>
          <w:rFonts w:ascii="Arial" w:cs="Arial" w:eastAsia="Arial" w:hAnsi="Arial"/>
          <w:sz w:val="16"/>
          <w:szCs w:val="16"/>
          <w:u w:val="single" w:color="auto"/>
          <w:color w:val="auto"/>
        </w:rPr>
        <w:t>Uniform Commercial Code</w:t>
      </w:r>
      <w:r>
        <w:rPr>
          <w:rFonts w:ascii="Arial" w:cs="Arial" w:eastAsia="Arial" w:hAnsi="Arial"/>
          <w:sz w:val="16"/>
          <w:szCs w:val="16"/>
          <w:color w:val="auto"/>
        </w:rPr>
        <w:t xml:space="preserve">” means the Uniform Commercial Code as in effect from time to time in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any time, if by reason of mandatory provisions of law, any or all of the perfection or priority of the Collateral Agent’s security interest in any item or portion of the Collateral is governed by the Uniform Commercial Code as in effect in a U.S. jurisdiction other than the State of New York,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term “UCC” shall mean the Uniform Commercial Code as in effect, at such time, in such other jurisdiction for purposes of the provisions hereof relating to such perfection or priority and for purposes of definitions relating to such provisions.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Financial Institution</w:t>
      </w:r>
      <w:r>
        <w:rPr>
          <w:rFonts w:ascii="Arial" w:cs="Arial" w:eastAsia="Arial" w:hAnsi="Arial"/>
          <w:sz w:val="17"/>
          <w:szCs w:val="17"/>
          <w:color w:val="auto"/>
        </w:rPr>
        <w:t>” means any BRRD Undertaking (as such term is defined under the PRA Rulebook (as amended from time to time)</w:t>
      </w:r>
    </w:p>
    <w:p>
      <w:pPr>
        <w:spacing w:after="0" w:line="10"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UCP</w:t>
      </w:r>
      <w:r>
        <w:rPr>
          <w:rFonts w:ascii="Arial" w:cs="Arial" w:eastAsia="Arial" w:hAnsi="Arial"/>
          <w:sz w:val="18"/>
          <w:szCs w:val="18"/>
          <w:color w:val="auto"/>
        </w:rPr>
        <w:t>” means the Uniform Customs and Practice for Documentary Credits, International Chamber of Commerce (“</w:t>
      </w:r>
      <w:r>
        <w:rPr>
          <w:rFonts w:ascii="Arial" w:cs="Arial" w:eastAsia="Arial" w:hAnsi="Arial"/>
          <w:sz w:val="18"/>
          <w:szCs w:val="18"/>
          <w:u w:val="single" w:color="auto"/>
          <w:color w:val="auto"/>
        </w:rPr>
        <w:t>ICC</w:t>
      </w:r>
      <w:r>
        <w:rPr>
          <w:rFonts w:ascii="Arial" w:cs="Arial" w:eastAsia="Arial" w:hAnsi="Arial"/>
          <w:sz w:val="18"/>
          <w:szCs w:val="18"/>
          <w:color w:val="auto"/>
        </w:rPr>
        <w:t>”) Publication No. 600 (or such later version as may be in effect at the time of issuance).</w:t>
      </w:r>
    </w:p>
    <w:p>
      <w:pPr>
        <w:spacing w:after="0" w:line="15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 any Subsidiary (other than the Borrower) designated by the Borrower as an Unrestricted Subsidiary pursuant to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subsequent to the Effective Date and (b) any Subsidiary of any such Unrestricted Subsidiary.</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as amended from time to time.</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Bankruptcy Code</w:t>
      </w:r>
      <w:r>
        <w:rPr>
          <w:rFonts w:ascii="Arial" w:cs="Arial" w:eastAsia="Arial" w:hAnsi="Arial"/>
          <w:sz w:val="18"/>
          <w:szCs w:val="18"/>
          <w:color w:val="auto"/>
        </w:rPr>
        <w:t>” means Title 11 of the United State Code, as amended, or any similar federal or state law for the relief of debtors.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58</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6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0000FF"/>
          <w:highlight w:val="lightGray"/>
        </w:rPr>
        <w:t>“U.S. Government Securities Business Day” means any day except for (a) a Saturday, (b) a Sunday or (c) a day on which the Securities Industry and Financial Markets Association r</w:t>
      </w:r>
      <w:r>
        <w:rPr>
          <w:rFonts w:ascii="Arial" w:cs="Arial" w:eastAsia="Arial" w:hAnsi="Arial"/>
          <w:sz w:val="18"/>
          <w:szCs w:val="18"/>
          <w:u w:val="single" w:color="auto"/>
          <w:color w:val="0000FF"/>
          <w:highlight w:val="lightGray"/>
        </w:rPr>
        <w:t>ecommends that the fixed income departments of its members be closed for the entire day for purposes of trading in</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United States government securities.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9.21</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2.17(e)</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Vehicles</w:t>
      </w:r>
      <w:r>
        <w:rPr>
          <w:rFonts w:ascii="Arial" w:cs="Arial" w:eastAsia="Arial" w:hAnsi="Arial"/>
          <w:sz w:val="18"/>
          <w:szCs w:val="18"/>
          <w:color w:val="auto"/>
        </w:rPr>
        <w:t>” means all railcars, cars, trucks, trailers, construction and earth moving equipment and other vehicles, in each case, covered by a certificate of title law of any state and all tires and other appurtenances to any of the foregoing.</w:t>
      </w:r>
    </w:p>
    <w:p>
      <w:pPr>
        <w:spacing w:after="0" w:line="15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Equity Interests</w:t>
      </w:r>
      <w:r>
        <w:rPr>
          <w:rFonts w:ascii="Arial" w:cs="Arial" w:eastAsia="Arial" w:hAnsi="Arial"/>
          <w:sz w:val="17"/>
          <w:szCs w:val="17"/>
          <w:color w:val="auto"/>
        </w:rPr>
        <w:t>” means Equity Interests that are entitled to vote generally for the election of directors to the Board of Directors of the issuer thereof. Shares of preferred stock that have the right to elect one or more directors to the Board of Directors of the issuer thereof only upon the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occurrence of a breach or default by such issuer thereunder shall not be considered Voting Equity Interests as long as the directors that may be elected to the Board of Directors of the issuer upon the occurrence of such a breach or default represent a minority of the aggregate voting power of all directors of Board of Directors of the issuer. The percentage of Voting Equity Interests of any issuer thereof beneficially owned by a Person shall be determined by reference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the percentage of the aggregate voting power of all Voting Equity Interests of such issuer that are represented by the Voting Equity Interests beneficially owned by such Person.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Life to Maturity</w:t>
      </w:r>
      <w:r>
        <w:rPr>
          <w:rFonts w:ascii="Arial" w:cs="Arial" w:eastAsia="Arial" w:hAnsi="Arial"/>
          <w:sz w:val="16"/>
          <w:szCs w:val="16"/>
          <w:color w:val="auto"/>
        </w:rPr>
        <w:t>” means, when applied to any Indebtedness at any date, the number of years obtained by dividing: (a) the sum</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the products obtained by multiplying (i) the amount of each then remaining scheduled installment, sinking fund, serial maturity or other required scheduled payments of principal, including payment at final scheduled maturity, in respect thereof, by (ii) the number of years (calculated to the nearest one-twelfth) that will elapse between such date and the making of such payment; by (b) the then outstanding principal amount of such Indebtedness;</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determining the Weighted Average Life to Maturity of any Indebtedness that is being modified, refinanced, refunded, renewed, replaced or extended (the “</w:t>
      </w:r>
      <w:r>
        <w:rPr>
          <w:rFonts w:ascii="Arial" w:cs="Arial" w:eastAsia="Arial" w:hAnsi="Arial"/>
          <w:sz w:val="17"/>
          <w:szCs w:val="17"/>
          <w:u w:val="single" w:color="auto"/>
          <w:color w:val="auto"/>
        </w:rPr>
        <w:t>Applicable Indebtedness</w:t>
      </w:r>
      <w:r>
        <w:rPr>
          <w:rFonts w:ascii="Arial" w:cs="Arial" w:eastAsia="Arial" w:hAnsi="Arial"/>
          <w:sz w:val="17"/>
          <w:szCs w:val="17"/>
          <w:color w:val="auto"/>
        </w:rPr>
        <w:t>”), the effects of any prepayments or amortization made on such Applicable Indebtedness prior to the date of the applicable modification, refinancing, refunding, renewal, replacement or extension shall be disregarded.</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wholly-owned subsidiary</w:t>
      </w:r>
      <w:r>
        <w:rPr>
          <w:rFonts w:ascii="Arial" w:cs="Arial" w:eastAsia="Arial" w:hAnsi="Arial"/>
          <w:sz w:val="16"/>
          <w:szCs w:val="16"/>
          <w:color w:val="auto"/>
        </w:rPr>
        <w:t>” means, with respect to any Person at any date, a subsidiary of such Person of which securities or other ownership interests representing 100% of the Equity Interests (other than (a) directors’ qualifying shares and (b) nominal shares issued to foreign nationals or other Persons to the extent required by applicable Requirements of Law) are, as of such date, owned, controlled or held by such Person or one or more wholly-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owned subsidiaries of such Person or by such Person and one or more wholly-owned subsidiaries of such Person.</w:t>
      </w:r>
    </w:p>
    <w:p>
      <w:pPr>
        <w:spacing w:after="0" w:line="16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 any of the powers under that Bail-In Legislation that are related to or ancillary to any of those powers.</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SECTION 1.02 Classification of Loans and Borrowings. For purposes of this Agreement, Loans and Borrowings may be classified and referred to by Class (e.g., a “Term Loan”) or by Type (e.g., a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Loan”) or by Class and Type (e.g., a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1130935</wp:posOffset>
            </wp:positionH>
            <wp:positionV relativeFrom="paragraph">
              <wp:posOffset>-120015</wp:posOffset>
            </wp:positionV>
            <wp:extent cx="19621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1962150" cy="8255"/>
                    </a:xfrm>
                    <a:prstGeom prst="rect">
                      <a:avLst/>
                    </a:prstGeom>
                    <a:noFill/>
                  </pic:spPr>
                </pic:pic>
              </a:graphicData>
            </a:graphic>
          </wp:anchor>
        </w:drawing>
      </w:r>
    </w:p>
    <w:p>
      <w:pPr>
        <w:jc w:val="both"/>
        <w:spacing w:after="0" w:line="226" w:lineRule="auto"/>
        <w:rPr>
          <w:sz w:val="20"/>
          <w:szCs w:val="20"/>
          <w:color w:val="auto"/>
        </w:rPr>
      </w:pPr>
      <w:r>
        <w:rPr>
          <w:rFonts w:ascii="Arial" w:cs="Arial" w:eastAsia="Arial" w:hAnsi="Arial"/>
          <w:sz w:val="18"/>
          <w:szCs w:val="18"/>
          <w:color w:val="auto"/>
        </w:rPr>
        <w:t>Loan”). Borrowings also may be classified and referred to by Class (e.g., a “Term Loan Borrowing”) or by Type (e.g.,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SOFR</w:t>
      </w:r>
      <w:r>
        <w:rPr>
          <w:rFonts w:ascii="Arial" w:cs="Arial" w:eastAsia="Arial" w:hAnsi="Arial"/>
          <w:sz w:val="18"/>
          <w:szCs w:val="18"/>
          <w:color w:val="auto"/>
        </w:rPr>
        <w:t xml:space="preserve"> Borrowing”) or by Class and Type (e.g.,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SOFR</w:t>
      </w:r>
      <w:r>
        <w:rPr>
          <w:rFonts w:ascii="Arial" w:cs="Arial" w:eastAsia="Arial" w:hAnsi="Arial"/>
          <w:sz w:val="18"/>
          <w:szCs w:val="18"/>
          <w:color w:val="auto"/>
        </w:rPr>
        <w:t xml:space="preserve"> Term Borrowing”).</w:t>
      </w:r>
    </w:p>
    <w:p>
      <w:pPr>
        <w:spacing w:after="0" w:line="161"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SECTION 1.03 Terms Generally. The definitions of terms herein shall apply equally to the singular and plural forms of the terms defined. Whenever the context may require, any pronoun shall include the corresponding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1141730</wp:posOffset>
            </wp:positionH>
            <wp:positionV relativeFrom="paragraph">
              <wp:posOffset>-147955</wp:posOffset>
            </wp:positionV>
            <wp:extent cx="940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940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59</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masculine, feminine and neuter forms. The words “include,” “includes” and “including” are by way of example and shall be deemed to be followed by the phrase “without limitation.” The word “or” is not exclusive. The word “will” shall be construed to have the same meaning and effect as the word “shall.” In the computation of periods of time from a specified date to a later specified date, the word “from” means “from and including”; the words “to” and “until”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each mean “to but excluding”; and the word “through” means “to and including”. Unless the context requires otherwise, (a) 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securities, accounts and contract rights and (f) references to any law shall include all statutory and regulatory provisions consolidating, amending, replacing, supplementing or interpreting such law.</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color w:val="auto"/>
        </w:rPr>
        <w:t>Accounting Terms; GAAP; Certain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23253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2325370" cy="8255"/>
                    </a:xfrm>
                    <a:prstGeom prst="rect">
                      <a:avLst/>
                    </a:prstGeom>
                    <a:noFill/>
                  </pic:spPr>
                </pic:pic>
              </a:graphicData>
            </a:graphic>
          </wp:anchor>
        </w:drawing>
      </w:r>
    </w:p>
    <w:p>
      <w:pPr>
        <w:spacing w:after="0" w:line="178" w:lineRule="exact"/>
        <w:rPr>
          <w:sz w:val="20"/>
          <w:szCs w:val="20"/>
          <w:color w:val="auto"/>
        </w:rPr>
      </w:pPr>
    </w:p>
    <w:p>
      <w:pPr>
        <w:ind w:firstLine="656"/>
        <w:spacing w:after="0" w:line="258" w:lineRule="auto"/>
        <w:tabs>
          <w:tab w:leader="none" w:pos="1082" w:val="left"/>
        </w:tabs>
        <w:numPr>
          <w:ilvl w:val="0"/>
          <w:numId w:val="72"/>
        </w:numPr>
        <w:rPr>
          <w:rFonts w:ascii="Arial" w:cs="Arial" w:eastAsia="Arial" w:hAnsi="Arial"/>
          <w:sz w:val="17"/>
          <w:szCs w:val="17"/>
          <w:color w:val="auto"/>
        </w:rPr>
      </w:pPr>
      <w:r>
        <w:rPr>
          <w:rFonts w:ascii="Arial" w:cs="Arial" w:eastAsia="Arial" w:hAnsi="Arial"/>
          <w:sz w:val="17"/>
          <w:szCs w:val="17"/>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w:t>
      </w:r>
    </w:p>
    <w:p>
      <w:pPr>
        <w:spacing w:after="0" w:line="146" w:lineRule="exact"/>
        <w:rPr>
          <w:rFonts w:ascii="Arial" w:cs="Arial" w:eastAsia="Arial" w:hAnsi="Arial"/>
          <w:sz w:val="17"/>
          <w:szCs w:val="17"/>
          <w:color w:val="auto"/>
        </w:rPr>
      </w:pPr>
    </w:p>
    <w:p>
      <w:pPr>
        <w:jc w:val="both"/>
        <w:ind w:firstLine="656"/>
        <w:spacing w:after="0" w:line="241" w:lineRule="auto"/>
        <w:tabs>
          <w:tab w:leader="none" w:pos="1052"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for purposes of determining compliance with any test or utilization of any basket contained in this Agreement (including, without limitation, any Incurrence-Based Amount and any Fixed Amount), Consolidated EBITDA, Consolidated Total Assets, the Total Leverage Ratio, the First Lien Leverage Ratio, the Secured Leverage Ratio and the Interest Coverage Ratio, as applicable, shall be calculated on a Pro Forma Basis to give effect to the Transactions and all Specified Transactions that have been made during the applicable period of measurement or subsequent to such period and prior to or concurrently with the event for which the calculation is made and to the extent the proceeds of any new Indebtedness are to be used to repay other Indebtedness (including by repurchase, redemption, retirement, extinguishment, defeasance, discharge or pursuant to escrow or similar arrangements) no later than 60 days following the incurrence of such new Indebtedness, the Borrower shall be permitted to give Pro Forma Effect to such repayment of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for purposes of determining actual compliance with the Financial Performance Covenant (but not any other provision of this Agreement that requires compliance with such covenant) and the definition of “Applicable Rate”, any Specified Transaction that occurred subsequent to such period shall not be given pro forma effect.</w:t>
      </w:r>
    </w:p>
    <w:p>
      <w:pPr>
        <w:spacing w:after="0" w:line="177" w:lineRule="exact"/>
        <w:rPr>
          <w:rFonts w:ascii="Arial" w:cs="Arial" w:eastAsia="Arial" w:hAnsi="Arial"/>
          <w:sz w:val="16"/>
          <w:szCs w:val="16"/>
          <w:color w:val="auto"/>
        </w:rPr>
      </w:pPr>
    </w:p>
    <w:p>
      <w:pPr>
        <w:ind w:firstLine="656"/>
        <w:spacing w:after="0" w:line="235" w:lineRule="auto"/>
        <w:tabs>
          <w:tab w:leader="none" w:pos="1066"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Where reference is made to “the Borrower and the Restricted Subsidiaries on a consolidated basis” or similar language, such consolidation shall not include any Subsidiaries of the Borrower other than the Restricted Subsidiaries.</w:t>
      </w:r>
    </w:p>
    <w:p>
      <w:pPr>
        <w:spacing w:after="0" w:line="161" w:lineRule="exact"/>
        <w:rPr>
          <w:rFonts w:ascii="Arial" w:cs="Arial" w:eastAsia="Arial" w:hAnsi="Arial"/>
          <w:sz w:val="18"/>
          <w:szCs w:val="18"/>
          <w:color w:val="auto"/>
        </w:rPr>
      </w:pPr>
    </w:p>
    <w:p>
      <w:pPr>
        <w:jc w:val="both"/>
        <w:ind w:firstLine="656"/>
        <w:spacing w:after="0" w:line="243" w:lineRule="auto"/>
        <w:tabs>
          <w:tab w:leader="none" w:pos="1061"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the event that the Borrower elects to prepare its financial statements in accordance with IFRS and such election results in a change in the method of calculation of financial covenants, standards or terms (collectively, the “</w:t>
      </w:r>
      <w:r>
        <w:rPr>
          <w:rFonts w:ascii="Arial" w:cs="Arial" w:eastAsia="Arial" w:hAnsi="Arial"/>
          <w:sz w:val="16"/>
          <w:szCs w:val="16"/>
          <w:u w:val="single" w:color="auto"/>
          <w:color w:val="auto"/>
        </w:rPr>
        <w:t>Accounting Changes</w:t>
      </w:r>
      <w:r>
        <w:rPr>
          <w:rFonts w:ascii="Arial" w:cs="Arial" w:eastAsia="Arial" w:hAnsi="Arial"/>
          <w:sz w:val="16"/>
          <w:szCs w:val="16"/>
          <w:color w:val="auto"/>
        </w:rPr>
        <w:t>”) in this Agreement, the Borrower and the Administrative Agent agree to enter into good faith negotiations in order to amend such provisions of this Agreement (including the levels applicable herein to any computation of the Total Leverage Ratio, the First Lien Leverage Ratio, the Secured Leverage Ratio and the Interest Coverage Ratio) so as to reflect equitably the Accounting Changes with the desired result that the criteria for evaluating the Borrower’s financial condition shall be substantially the same after such change as if such change had not been made. Until such time as such an amendment shall have been executed and delivered by the Borrower, the Administrative Agent and the Required Lenders, all financial covenants, standards and terms in this Agreement shall continue to be calculated or construed in accordance with GAAP (as determined in good faith by a Responsible Officer of the Borrower) (it being agreed that the reconciliation between GAAP and IFRS used in such determination shall be made available to Lenders) as if such change had not occurred.</w:t>
      </w:r>
    </w:p>
    <w:p>
      <w:pPr>
        <w:spacing w:after="0" w:line="159" w:lineRule="exact"/>
        <w:rPr>
          <w:rFonts w:ascii="Arial" w:cs="Arial" w:eastAsia="Arial" w:hAnsi="Arial"/>
          <w:sz w:val="16"/>
          <w:szCs w:val="16"/>
          <w:color w:val="auto"/>
        </w:rPr>
      </w:pPr>
    </w:p>
    <w:p>
      <w:pPr>
        <w:jc w:val="both"/>
        <w:ind w:firstLine="656"/>
        <w:spacing w:after="0" w:line="222" w:lineRule="auto"/>
        <w:tabs>
          <w:tab w:leader="none" w:pos="10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For purposes of determining the permissibility of any action, change, transaction or event that requires a calculation of any financial ratio or test (including, without limitation,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any First Lien Leverage Ratio test, any Secured Leverage Ratio test, any Total Leverage Ratio test and/or any Interest Coverage Ratio test, the amount of Consolidated EBITDA and/or Consolidated Total Assets), such financial ratio or test shall be calculated at the time such action is taken (subject to </w:t>
      </w:r>
      <w:r>
        <w:rPr>
          <w:rFonts w:ascii="Arial" w:cs="Arial" w:eastAsia="Arial" w:hAnsi="Arial"/>
          <w:sz w:val="18"/>
          <w:szCs w:val="18"/>
          <w:u w:val="single" w:color="auto"/>
          <w:color w:val="auto"/>
        </w:rPr>
        <w:t>Section 1.08</w:t>
      </w:r>
      <w:r>
        <w:rPr>
          <w:rFonts w:ascii="Arial" w:cs="Arial" w:eastAsia="Arial" w:hAnsi="Arial"/>
          <w:sz w:val="18"/>
          <w:szCs w:val="18"/>
          <w:color w:val="auto"/>
        </w:rPr>
        <w:t>), such change is made, such transaction is consummated or such event occurs, as the case may be, and no Default or Event of Default shall be deemed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60</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6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occurred solely as a result of a change in such financial ratio or test occurring after the time such action is taken, such change is made, such transaction is consummated or such event occurs, as the case may be.</w:t>
      </w:r>
    </w:p>
    <w:p>
      <w:pPr>
        <w:spacing w:after="0" w:line="162" w:lineRule="exact"/>
        <w:rPr>
          <w:sz w:val="20"/>
          <w:szCs w:val="20"/>
          <w:color w:val="auto"/>
        </w:rPr>
      </w:pPr>
    </w:p>
    <w:p>
      <w:pPr>
        <w:jc w:val="both"/>
        <w:ind w:firstLine="656"/>
        <w:spacing w:after="0" w:line="223" w:lineRule="auto"/>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Lender and the Administrative Agent hereby acknowledges and agrees that the Borrower and its Subsidiaries may be required to restate historical financial statements as the result of the implementation of changes in GAAP or IFRS, or the respective interpretation or application thereof, and that such restatements will not, solely as a result of compliance with such change in GAAP or IFRS (or such interpretation or application), result in a Default or an Event of Default under the Loan Documents.</w:t>
      </w:r>
    </w:p>
    <w:p>
      <w:pPr>
        <w:spacing w:after="0" w:line="175" w:lineRule="exact"/>
        <w:rPr>
          <w:rFonts w:ascii="Arial" w:cs="Arial" w:eastAsia="Arial" w:hAnsi="Arial"/>
          <w:sz w:val="18"/>
          <w:szCs w:val="18"/>
          <w:color w:val="auto"/>
        </w:rPr>
      </w:pPr>
    </w:p>
    <w:p>
      <w:pPr>
        <w:jc w:val="both"/>
        <w:ind w:firstLine="656"/>
        <w:spacing w:after="0" w:line="226" w:lineRule="auto"/>
        <w:tabs>
          <w:tab w:leader="none" w:pos="1098" w:val="left"/>
        </w:tabs>
        <w:numPr>
          <w:ilvl w:val="0"/>
          <w:numId w:val="73"/>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 until such time as financial statements of the Borrower (or any applicable Parent Entity) filed with the SEC are required to reflect lease categorization in accordance with ASC 842 (</w:t>
      </w:r>
      <w:r>
        <w:rPr>
          <w:rFonts w:ascii="Arial" w:cs="Arial" w:eastAsia="Arial" w:hAnsi="Arial"/>
          <w:sz w:val="17"/>
          <w:szCs w:val="17"/>
          <w:i w:val="1"/>
          <w:iCs w:val="1"/>
          <w:color w:val="auto"/>
        </w:rPr>
        <w:t>Leases</w:t>
      </w:r>
      <w:r>
        <w:rPr>
          <w:rFonts w:ascii="Arial" w:cs="Arial" w:eastAsia="Arial" w:hAnsi="Arial"/>
          <w:sz w:val="17"/>
          <w:szCs w:val="17"/>
          <w:color w:val="auto"/>
        </w:rPr>
        <w:t>) (the “</w:t>
      </w:r>
      <w:r>
        <w:rPr>
          <w:rFonts w:ascii="Arial" w:cs="Arial" w:eastAsia="Arial" w:hAnsi="Arial"/>
          <w:sz w:val="17"/>
          <w:szCs w:val="17"/>
          <w:u w:val="single" w:color="auto"/>
          <w:color w:val="auto"/>
        </w:rPr>
        <w:t>Lease Accounting Transition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Time</w:t>
      </w:r>
      <w:r>
        <w:rPr>
          <w:rFonts w:ascii="Arial" w:cs="Arial" w:eastAsia="Arial" w:hAnsi="Arial"/>
          <w:sz w:val="17"/>
          <w:szCs w:val="17"/>
          <w:color w:val="auto"/>
        </w:rPr>
        <w:t>”), the determination of whether a lease is a Capitalized Lease or a Non-Finance Lease shall, for all purposes under this Agreement and the other Loan Documents, be made without giving effect to ASC 842 (</w:t>
      </w:r>
      <w:r>
        <w:rPr>
          <w:rFonts w:ascii="Arial" w:cs="Arial" w:eastAsia="Arial" w:hAnsi="Arial"/>
          <w:sz w:val="17"/>
          <w:szCs w:val="17"/>
          <w:i w:val="1"/>
          <w:iCs w:val="1"/>
          <w:color w:val="auto"/>
        </w:rPr>
        <w:t>Leases</w:t>
      </w:r>
      <w:r>
        <w:rPr>
          <w:rFonts w:ascii="Arial" w:cs="Arial" w:eastAsia="Arial" w:hAnsi="Arial"/>
          <w:sz w:val="17"/>
          <w:szCs w:val="17"/>
          <w:color w:val="auto"/>
        </w:rPr>
        <w:t>) and (ii) from and after the Lease Accounting Transition Time, the determination of whether a lease is a Capitalized Lease or a Non-Finance Lease shall, for all purposes under this Agreement and the other Loan Documents, be made giving effect to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other than for purposes of financial statements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the Borrower may, with respect to any Test Period ending after the Lease Accounting Transition Time, elect, by notifying the Administrative Agent in writing prior to or concurrently with the delivery of a Compliance Certificate for such Test Period pursuant to </w:t>
      </w:r>
      <w:r>
        <w:rPr>
          <w:rFonts w:ascii="Arial" w:cs="Arial" w:eastAsia="Arial" w:hAnsi="Arial"/>
          <w:sz w:val="17"/>
          <w:szCs w:val="17"/>
          <w:u w:val="single" w:color="auto"/>
          <w:color w:val="auto"/>
        </w:rPr>
        <w:t>Section 5.01(d)</w:t>
      </w:r>
      <w:r>
        <w:rPr>
          <w:rFonts w:ascii="Arial" w:cs="Arial" w:eastAsia="Arial" w:hAnsi="Arial"/>
          <w:sz w:val="17"/>
          <w:szCs w:val="17"/>
          <w:color w:val="auto"/>
        </w:rPr>
        <w:t>, to determine whether a lease is a Capitalized Lease or a Non-Finance Lease without giving effect to ASC 842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5"/>
          <w:szCs w:val="15"/>
          <w:color w:val="auto"/>
        </w:rPr>
        <w:t>Certain Calculations and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5036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1503680" cy="8255"/>
                    </a:xfrm>
                    <a:prstGeom prst="rect">
                      <a:avLst/>
                    </a:prstGeom>
                    <a:noFill/>
                  </pic:spPr>
                </pic:pic>
              </a:graphicData>
            </a:graphic>
          </wp:anchor>
        </w:drawing>
      </w:r>
    </w:p>
    <w:p>
      <w:pPr>
        <w:spacing w:after="0" w:line="165" w:lineRule="exact"/>
        <w:rPr>
          <w:sz w:val="20"/>
          <w:szCs w:val="20"/>
          <w:color w:val="auto"/>
        </w:rPr>
      </w:pPr>
    </w:p>
    <w:p>
      <w:pPr>
        <w:jc w:val="both"/>
        <w:ind w:firstLine="1304"/>
        <w:spacing w:after="0" w:line="226" w:lineRule="auto"/>
        <w:tabs>
          <w:tab w:leader="none" w:pos="1893"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with respect to any amounts incurred or transactions entered into (or consummated) in reliance on a provision of this Agreement (including, without limitation, Revolving Loans and, to the extent established or incurred under the Free and Clear Incremental Amount, Incremental Facilities and Incremental Equivalent Debt) that does not require compliance with a financial ratio or test (including, without limitation, </w:t>
      </w:r>
      <w:r>
        <w:rPr>
          <w:rFonts w:ascii="Arial" w:cs="Arial" w:eastAsia="Arial" w:hAnsi="Arial"/>
          <w:sz w:val="17"/>
          <w:szCs w:val="17"/>
          <w:u w:val="single" w:color="auto"/>
          <w:color w:val="auto"/>
        </w:rPr>
        <w:t>Section 6.10</w:t>
      </w:r>
      <w:r>
        <w:rPr>
          <w:rFonts w:ascii="Arial" w:cs="Arial" w:eastAsia="Arial" w:hAnsi="Arial"/>
          <w:sz w:val="17"/>
          <w:szCs w:val="17"/>
          <w:color w:val="auto"/>
        </w:rPr>
        <w:t>, any First Lien Leverage Ratio test, any Secured Leverage Ratio test, any Total Leverage Ratio test and/or any Interest Coverage Ratio test) (any such amounts, the “</w:t>
      </w:r>
      <w:r>
        <w:rPr>
          <w:rFonts w:ascii="Arial" w:cs="Arial" w:eastAsia="Arial" w:hAnsi="Arial"/>
          <w:sz w:val="17"/>
          <w:szCs w:val="17"/>
          <w:u w:val="single" w:color="auto"/>
          <w:color w:val="auto"/>
        </w:rPr>
        <w:t>Fixed Amounts</w:t>
      </w:r>
      <w:r>
        <w:rPr>
          <w:rFonts w:ascii="Arial" w:cs="Arial" w:eastAsia="Arial" w:hAnsi="Arial"/>
          <w:sz w:val="17"/>
          <w:szCs w:val="17"/>
          <w:color w:val="auto"/>
        </w:rPr>
        <w:t xml:space="preserve">”) substantially concurrently with any amounts incurred or transactions entered into (or consummated) in reliance on a provision of this Agreement that requires compliance with a financial ratio or test (including, without limitation, </w:t>
      </w:r>
      <w:r>
        <w:rPr>
          <w:rFonts w:ascii="Arial" w:cs="Arial" w:eastAsia="Arial" w:hAnsi="Arial"/>
          <w:sz w:val="17"/>
          <w:szCs w:val="17"/>
          <w:u w:val="single" w:color="auto"/>
          <w:color w:val="auto"/>
        </w:rPr>
        <w:t>Section 6.10</w:t>
      </w:r>
      <w:r>
        <w:rPr>
          <w:rFonts w:ascii="Arial" w:cs="Arial" w:eastAsia="Arial" w:hAnsi="Arial"/>
          <w:sz w:val="17"/>
          <w:szCs w:val="17"/>
          <w:color w:val="auto"/>
        </w:rPr>
        <w:t>, any First Lien Leverage Ratio test, any Secured Leverage Ratio test, any Total Leverage Ratio test and/or any Interest Coverage Ratio test) (any such amounts, the “</w:t>
      </w:r>
      <w:r>
        <w:rPr>
          <w:rFonts w:ascii="Arial" w:cs="Arial" w:eastAsia="Arial" w:hAnsi="Arial"/>
          <w:sz w:val="17"/>
          <w:szCs w:val="17"/>
          <w:u w:val="single" w:color="auto"/>
          <w:color w:val="auto"/>
        </w:rPr>
        <w:t>Incurrence-Based Amounts</w:t>
      </w:r>
      <w:r>
        <w:rPr>
          <w:rFonts w:ascii="Arial" w:cs="Arial" w:eastAsia="Arial" w:hAnsi="Arial"/>
          <w:sz w:val="17"/>
          <w:szCs w:val="17"/>
          <w:color w:val="auto"/>
        </w:rPr>
        <w:t xml:space="preserve">”), it is understood and agreed that the Fixed Amounts shall be disregarded in the calculation of the financial ratio or test applicable to the Incurrence-Based Amounts in connection with such substantially concurrent incurrence. Notwithstanding anything to the contrary in this </w:t>
      </w:r>
      <w:r>
        <w:rPr>
          <w:rFonts w:ascii="Arial" w:cs="Arial" w:eastAsia="Arial" w:hAnsi="Arial"/>
          <w:sz w:val="17"/>
          <w:szCs w:val="17"/>
          <w:u w:val="single" w:color="auto"/>
          <w:color w:val="auto"/>
        </w:rPr>
        <w:t>Section 1.05</w:t>
      </w:r>
      <w:r>
        <w:rPr>
          <w:rFonts w:ascii="Arial" w:cs="Arial" w:eastAsia="Arial" w:hAnsi="Arial"/>
          <w:sz w:val="17"/>
          <w:szCs w:val="17"/>
          <w:color w:val="auto"/>
        </w:rPr>
        <w:t>, cash proceeds of any simultaneous incurrence of Indebtedness shall be disregarded in calculating the amount of Available Cash for purposes of determining whether Indebtedness is permitted to be incurred.</w:t>
      </w:r>
    </w:p>
    <w:p>
      <w:pPr>
        <w:spacing w:after="0" w:line="175" w:lineRule="exact"/>
        <w:rPr>
          <w:rFonts w:ascii="Arial" w:cs="Arial" w:eastAsia="Arial" w:hAnsi="Arial"/>
          <w:sz w:val="17"/>
          <w:szCs w:val="17"/>
          <w:color w:val="auto"/>
        </w:rPr>
      </w:pPr>
    </w:p>
    <w:p>
      <w:pPr>
        <w:jc w:val="both"/>
        <w:ind w:firstLine="1304"/>
        <w:spacing w:after="0" w:line="221" w:lineRule="auto"/>
        <w:tabs>
          <w:tab w:leader="none" w:pos="1721"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For the avoidance of doubt, in connection with the incurrence of any Indebtedness under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the definitions of Required Lenders, Required Revolving Lenders and Required Term Loan Lenders shall be calculated on a Pro Forma Basis in accordance with this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and the definition of “Incremental Cap”;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waiver, amendment or modification obtained on such basis (i) will not become operative until substantially contemporaneously with the incurrence of such Indebtedness, (ii) is not required in order to avoid a covenant Default and (iii) does not affect the rights or duties under this Agreement of Lenders holding Loans or Commitments of any then outstanding Class but not the Lenders in respect of such Indebtedness to be incurred.</w:t>
      </w:r>
    </w:p>
    <w:p>
      <w:pPr>
        <w:spacing w:after="0" w:line="161" w:lineRule="exact"/>
        <w:rPr>
          <w:rFonts w:ascii="Arial" w:cs="Arial" w:eastAsia="Arial" w:hAnsi="Arial"/>
          <w:sz w:val="18"/>
          <w:szCs w:val="18"/>
          <w:color w:val="auto"/>
        </w:rPr>
      </w:pPr>
    </w:p>
    <w:p>
      <w:pPr>
        <w:ind w:left="1780" w:hanging="476"/>
        <w:spacing w:after="0"/>
        <w:tabs>
          <w:tab w:leader="none" w:pos="17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reference herein or in any other Loan Document to the ranking of Liens shall be determined without regard to control of</w:t>
      </w:r>
    </w:p>
    <w:p>
      <w:pPr>
        <w:spacing w:after="0"/>
        <w:rPr>
          <w:rFonts w:ascii="Arial" w:cs="Arial" w:eastAsia="Arial" w:hAnsi="Arial"/>
          <w:sz w:val="17"/>
          <w:szCs w:val="17"/>
          <w:color w:val="auto"/>
        </w:rPr>
      </w:pPr>
      <w:r>
        <w:rPr>
          <w:rFonts w:ascii="Arial" w:cs="Arial" w:eastAsia="Arial" w:hAnsi="Arial"/>
          <w:sz w:val="18"/>
          <w:szCs w:val="18"/>
          <w:color w:val="auto"/>
        </w:rPr>
        <w:t>remedies.</w:t>
      </w:r>
    </w:p>
    <w:p>
      <w:pPr>
        <w:spacing w:after="0" w:line="182" w:lineRule="exact"/>
        <w:rPr>
          <w:rFonts w:ascii="Arial" w:cs="Arial" w:eastAsia="Arial" w:hAnsi="Arial"/>
          <w:sz w:val="17"/>
          <w:szCs w:val="17"/>
          <w:color w:val="auto"/>
        </w:rPr>
      </w:pPr>
    </w:p>
    <w:p>
      <w:pPr>
        <w:jc w:val="both"/>
        <w:ind w:firstLine="1304"/>
        <w:spacing w:after="0" w:line="232" w:lineRule="auto"/>
        <w:tabs>
          <w:tab w:leader="none" w:pos="1746" w:val="left"/>
        </w:tabs>
        <w:numPr>
          <w:ilvl w:val="0"/>
          <w:numId w:val="74"/>
        </w:numPr>
        <w:rPr>
          <w:rFonts w:ascii="Arial" w:cs="Arial" w:eastAsia="Arial" w:hAnsi="Arial"/>
          <w:sz w:val="17"/>
          <w:szCs w:val="17"/>
          <w:color w:val="auto"/>
        </w:rPr>
      </w:pPr>
      <w:r>
        <w:rPr>
          <w:rFonts w:ascii="Arial" w:cs="Arial" w:eastAsia="Arial" w:hAnsi="Arial"/>
          <w:sz w:val="17"/>
          <w:szCs w:val="17"/>
          <w:color w:val="auto"/>
        </w:rPr>
        <w:t>For all purposes of this Agreement and the calculations subject hereto, at the Borrower’s election, the acquisition of any Person, property, business or assets (and any pro forma events to occur in connection therewith, including the assumption or incurrence of any Indebtedness or Liens and any Run Rate Benefits) shall be deemed to have “occurred” and been “consummated” upon the Borrower or any Subsidiary or entering into a binding definitive agreement or letter of intent with respect thereto, and such deemed occurrence shall continue until such transaction is actually consummated or is abandoned or such definitive agreement or letter of intent is otherwise terminated.</w:t>
      </w:r>
    </w:p>
    <w:p>
      <w:pPr>
        <w:spacing w:after="0" w:line="16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SECTION 1.06 Effectuation of Transactions. All references herein to Holdings, the Borrower and their subsidiaries shall be deemed to be references to such Persons, and all the representations and warranties of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-147955</wp:posOffset>
            </wp:positionV>
            <wp:extent cx="15017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1501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61</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6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Borrower and the other Loan Parties contained in this Agreement and the other Loan Documents shall be deemed made, in each case, after giving effect to the Acquisition and the other Transactions to occur on the Effective Date, unless the context otherwise requires.</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color w:val="auto"/>
        </w:rPr>
        <w:t>Currency Translation;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3963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spacing w:after="0" w:line="178" w:lineRule="exact"/>
        <w:rPr>
          <w:sz w:val="20"/>
          <w:szCs w:val="20"/>
          <w:color w:val="auto"/>
        </w:rPr>
      </w:pPr>
    </w:p>
    <w:p>
      <w:pPr>
        <w:jc w:val="both"/>
        <w:ind w:firstLine="1304"/>
        <w:spacing w:after="0" w:line="224" w:lineRule="auto"/>
        <w:tabs>
          <w:tab w:leader="none" w:pos="1828"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for purposes of any determination under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or Article VII or any determination under any other provision of this Agreement expressly requiring the use of a current exchange rate, all amounts incurred, outstanding or proposed to be incurred or outstanding in currencies other than dollars shall be translated into dollars at the Exchange Rate (rounded to the nearest currency unit, with 0.5 or more of a currency unit being rounded upward);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for purposes of determining compliance with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with respect to the amount of any Indebtedness, Investment, Disposition, Restricted Payment or prepayment of Indebtedness in a currency other than dollars, no Default or Event of Default shall be deemed to have occurred solely as a result of changes in rates of exchange occurring after the time such Indebtedness or Investment is incurred or Disposition, Restricted Payment or prepayment of Indebtedness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the foregoing provisions of this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shall otherwise apply to such Sections, including with respect to determining whether any Indebtedness or Investment may be incurred or Disposition, Restricted Payment or prepayment of Indebtedness made at any time under such Sections. For purposes of any determination of Consolidated Total Debt, amounts in currencies other than dollars shall be translated into dollars at the currency exchange rates used in preparing the most recently delivered financial statements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shall give effect to any Swap Agreement relating to such Indebtedness in effect on the date of determination relating to any such currencies. Each provision of this Agreement shall be subject to such reasonable changes of construction as the Administrative Agent may from time to time specify with the Borrower’s consent (such consent not to be unreasonably withheld) to appropriately reflect a change in currency of any country and any relevant market conventions or practices relating to such change in currency.</w:t>
      </w:r>
    </w:p>
    <w:p>
      <w:pPr>
        <w:spacing w:after="0" w:line="179" w:lineRule="exact"/>
        <w:rPr>
          <w:rFonts w:ascii="Arial" w:cs="Arial" w:eastAsia="Arial" w:hAnsi="Arial"/>
          <w:sz w:val="17"/>
          <w:szCs w:val="17"/>
          <w:color w:val="auto"/>
        </w:rPr>
      </w:pPr>
    </w:p>
    <w:p>
      <w:pPr>
        <w:jc w:val="both"/>
        <w:ind w:firstLine="1304"/>
        <w:spacing w:after="0" w:line="238" w:lineRule="auto"/>
        <w:tabs>
          <w:tab w:leader="none" w:pos="1738"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Administrative Agent does not warrant</w:t>
      </w:r>
      <w:r>
        <w:rPr>
          <w:rFonts w:ascii="Arial" w:cs="Arial" w:eastAsia="Arial" w:hAnsi="Arial"/>
          <w:sz w:val="16"/>
          <w:szCs w:val="16"/>
          <w:color w:val="FF0000"/>
          <w:strike w:val="1"/>
        </w:rPr>
        <w:t>, n</w:t>
      </w:r>
      <w:r>
        <w:rPr>
          <w:rFonts w:ascii="Arial" w:cs="Arial" w:eastAsia="Arial" w:hAnsi="Arial"/>
          <w:sz w:val="16"/>
          <w:szCs w:val="16"/>
          <w:color w:val="auto"/>
        </w:rPr>
        <w:t xml:space="preserve">or accept </w:t>
      </w:r>
      <w:r>
        <w:rPr>
          <w:rFonts w:ascii="Arial" w:cs="Arial" w:eastAsia="Arial" w:hAnsi="Arial"/>
          <w:sz w:val="16"/>
          <w:szCs w:val="16"/>
          <w:u w:val="single" w:color="auto"/>
          <w:color w:val="0000FF"/>
          <w:highlight w:val="lightGray"/>
        </w:rPr>
        <w:t>any</w:t>
      </w:r>
      <w:r>
        <w:rPr>
          <w:rFonts w:ascii="Arial" w:cs="Arial" w:eastAsia="Arial" w:hAnsi="Arial"/>
          <w:sz w:val="16"/>
          <w:szCs w:val="16"/>
          <w:color w:val="auto"/>
        </w:rPr>
        <w:t xml:space="preserve"> responsibility </w:t>
      </w:r>
      <w:r>
        <w:rPr>
          <w:rFonts w:ascii="Arial" w:cs="Arial" w:eastAsia="Arial" w:hAnsi="Arial"/>
          <w:sz w:val="16"/>
          <w:szCs w:val="16"/>
          <w:color w:val="0000FF"/>
        </w:rPr>
        <w:t>for</w:t>
      </w:r>
      <w:r>
        <w:rPr>
          <w:rFonts w:ascii="Arial" w:cs="Arial" w:eastAsia="Arial" w:hAnsi="Arial"/>
          <w:sz w:val="16"/>
          <w:szCs w:val="16"/>
          <w:color w:val="auto"/>
        </w:rPr>
        <w:t xml:space="preserve">, </w:t>
      </w:r>
      <w:r>
        <w:rPr>
          <w:rFonts w:ascii="Arial" w:cs="Arial" w:eastAsia="Arial" w:hAnsi="Arial"/>
          <w:sz w:val="16"/>
          <w:szCs w:val="16"/>
          <w:color w:val="FF0000"/>
          <w:strike w:val="1"/>
        </w:rPr>
        <w:t>nor</w:t>
      </w:r>
      <w:r>
        <w:rPr>
          <w:rFonts w:ascii="Arial" w:cs="Arial" w:eastAsia="Arial" w:hAnsi="Arial"/>
          <w:sz w:val="16"/>
          <w:szCs w:val="16"/>
          <w:u w:val="single" w:color="auto"/>
          <w:color w:val="0000FF"/>
          <w:highlight w:val="lightGray"/>
        </w:rPr>
        <w:t>and</w:t>
      </w:r>
      <w:r>
        <w:rPr>
          <w:rFonts w:ascii="Arial" w:cs="Arial" w:eastAsia="Arial" w:hAnsi="Arial"/>
          <w:sz w:val="16"/>
          <w:szCs w:val="16"/>
          <w:color w:val="auto"/>
        </w:rPr>
        <w:t xml:space="preserve"> shall </w:t>
      </w:r>
      <w:r>
        <w:rPr>
          <w:rFonts w:ascii="Arial" w:cs="Arial" w:eastAsia="Arial" w:hAnsi="Arial"/>
          <w:sz w:val="16"/>
          <w:szCs w:val="16"/>
          <w:color w:val="FF0000"/>
          <w:strike w:val="1"/>
        </w:rPr>
        <w:t>the Administrative Agent</w:t>
      </w:r>
      <w:r>
        <w:rPr>
          <w:rFonts w:ascii="Arial" w:cs="Arial" w:eastAsia="Arial" w:hAnsi="Arial"/>
          <w:sz w:val="16"/>
          <w:szCs w:val="16"/>
          <w:u w:val="single" w:color="auto"/>
          <w:color w:val="0000FF"/>
        </w:rPr>
        <w:t>n</w:t>
      </w:r>
      <w:r>
        <w:rPr>
          <w:rFonts w:ascii="Arial" w:cs="Arial" w:eastAsia="Arial" w:hAnsi="Arial"/>
          <w:sz w:val="16"/>
          <w:szCs w:val="16"/>
          <w:color w:val="0000FF"/>
        </w:rPr>
        <w:t>ot</w:t>
      </w:r>
      <w:r>
        <w:rPr>
          <w:rFonts w:ascii="Arial" w:cs="Arial" w:eastAsia="Arial" w:hAnsi="Arial"/>
          <w:sz w:val="16"/>
          <w:szCs w:val="16"/>
          <w:color w:val="auto"/>
        </w:rPr>
        <w:t xml:space="preserve"> have any liability with respect to</w:t>
      </w:r>
      <w:r>
        <w:rPr>
          <w:rFonts w:ascii="Arial" w:cs="Arial" w:eastAsia="Arial" w:hAnsi="Arial"/>
          <w:sz w:val="16"/>
          <w:szCs w:val="16"/>
          <w:u w:val="single" w:color="auto"/>
          <w:color w:val="0000FF"/>
          <w:highlight w:val="lightGray"/>
        </w:rPr>
        <w:t>,</w:t>
      </w:r>
      <w:r>
        <w:rPr>
          <w:rFonts w:ascii="Arial" w:cs="Arial" w:eastAsia="Arial" w:hAnsi="Arial"/>
          <w:sz w:val="16"/>
          <w:szCs w:val="16"/>
          <w:color w:val="auto"/>
        </w:rPr>
        <w:t xml:space="preserve"> the administration, submission</w:t>
      </w:r>
      <w:r>
        <w:rPr>
          <w:rFonts w:ascii="Arial" w:cs="Arial" w:eastAsia="Arial" w:hAnsi="Arial"/>
          <w:sz w:val="16"/>
          <w:szCs w:val="16"/>
          <w:u w:val="single" w:color="auto"/>
          <w:color w:val="0000FF"/>
          <w:highlight w:val="lightGray"/>
        </w:rPr>
        <w:t>, performance</w:t>
      </w:r>
      <w:r>
        <w:rPr>
          <w:rFonts w:ascii="Arial" w:cs="Arial" w:eastAsia="Arial" w:hAnsi="Arial"/>
          <w:sz w:val="16"/>
          <w:szCs w:val="16"/>
          <w:color w:val="auto"/>
        </w:rPr>
        <w:t xml:space="preserve"> or any other matter related to </w:t>
      </w:r>
      <w:r>
        <w:rPr>
          <w:rFonts w:ascii="Arial" w:cs="Arial" w:eastAsia="Arial" w:hAnsi="Arial"/>
          <w:sz w:val="16"/>
          <w:szCs w:val="16"/>
          <w:color w:val="FF0000"/>
          <w:strike w:val="1"/>
        </w:rPr>
        <w:t>the rates in the definition of “LIBO Rate”</w:t>
      </w:r>
      <w:r>
        <w:rPr>
          <w:rFonts w:ascii="Arial" w:cs="Arial" w:eastAsia="Arial" w:hAnsi="Arial"/>
          <w:sz w:val="16"/>
          <w:szCs w:val="16"/>
          <w:u w:val="single" w:color="auto"/>
          <w:color w:val="0000FF"/>
          <w:highlight w:val="lightGray"/>
        </w:rPr>
        <w:t>any interest</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rate used in this Agreement,</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or with respect to any</w:t>
      </w:r>
      <w:r>
        <w:rPr>
          <w:rFonts w:ascii="Arial" w:cs="Arial" w:eastAsia="Arial" w:hAnsi="Arial"/>
          <w:sz w:val="16"/>
          <w:szCs w:val="16"/>
          <w:color w:val="0000FF"/>
          <w:highlight w:val="lightGray"/>
        </w:rPr>
        <w:t xml:space="preserve"> </w:t>
      </w:r>
      <w:r>
        <w:rPr>
          <w:rFonts w:ascii="Arial" w:cs="Arial" w:eastAsia="Arial" w:hAnsi="Arial"/>
          <w:sz w:val="16"/>
          <w:szCs w:val="16"/>
          <w:color w:val="FF0000"/>
          <w:strike w:val="1"/>
        </w:rPr>
        <w:t>rate that is an</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alternative or</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successor rate thereto, or</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replacement</w:t>
      </w:r>
      <w:r>
        <w:rPr>
          <w:rFonts w:ascii="Arial" w:cs="Arial" w:eastAsia="Arial" w:hAnsi="Arial"/>
          <w:sz w:val="16"/>
          <w:szCs w:val="16"/>
          <w:color w:val="0000FF"/>
          <w:highlight w:val="lightGray"/>
        </w:rPr>
        <w:t xml:space="preserve"> </w:t>
      </w:r>
      <w:r>
        <w:rPr>
          <w:rFonts w:ascii="Arial" w:cs="Arial" w:eastAsia="Arial" w:hAnsi="Arial"/>
          <w:sz w:val="16"/>
          <w:szCs w:val="16"/>
          <w:color w:val="FF0000"/>
          <w:strike w:val="1"/>
        </w:rPr>
        <w:t>for or successor to any of such</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rate</w:t>
      </w:r>
      <w:r>
        <w:rPr>
          <w:rFonts w:ascii="Arial" w:cs="Arial" w:eastAsia="Arial" w:hAnsi="Arial"/>
          <w:sz w:val="16"/>
          <w:szCs w:val="16"/>
          <w:color w:val="0000FF"/>
          <w:highlight w:val="lightGray"/>
        </w:rPr>
        <w:t xml:space="preserve"> </w:t>
      </w:r>
      <w:r>
        <w:rPr>
          <w:rFonts w:ascii="Arial" w:cs="Arial" w:eastAsia="Arial" w:hAnsi="Arial"/>
          <w:sz w:val="16"/>
          <w:szCs w:val="16"/>
          <w:color w:val="FF0000"/>
          <w:strike w:val="1"/>
        </w:rPr>
        <w:t>(</w:t>
      </w:r>
      <w:r>
        <w:rPr>
          <w:rFonts w:ascii="Arial" w:cs="Arial" w:eastAsia="Arial" w:hAnsi="Arial"/>
          <w:sz w:val="16"/>
          <w:szCs w:val="16"/>
          <w:u w:val="single" w:color="auto"/>
          <w:color w:val="0000FF"/>
          <w:highlight w:val="lightGray"/>
        </w:rPr>
        <w:t>thereof,</w:t>
      </w:r>
      <w:r>
        <w:rPr>
          <w:rFonts w:ascii="Arial" w:cs="Arial" w:eastAsia="Arial" w:hAnsi="Arial"/>
          <w:sz w:val="16"/>
          <w:szCs w:val="16"/>
          <w:color w:val="FF0000"/>
        </w:rPr>
        <w:t xml:space="preserve"> </w:t>
      </w:r>
      <w:r>
        <w:rPr>
          <w:rFonts w:ascii="Arial" w:cs="Arial" w:eastAsia="Arial" w:hAnsi="Arial"/>
          <w:sz w:val="16"/>
          <w:szCs w:val="16"/>
          <w:color w:val="000000"/>
        </w:rPr>
        <w:t>including</w:t>
      </w:r>
      <w:r>
        <w:rPr>
          <w:rFonts w:ascii="Arial" w:cs="Arial" w:eastAsia="Arial" w:hAnsi="Arial"/>
          <w:sz w:val="16"/>
          <w:szCs w:val="16"/>
          <w:color w:val="FF0000"/>
          <w:strike w:val="1"/>
        </w:rPr>
        <w:t>,</w:t>
      </w:r>
      <w:r>
        <w:rPr>
          <w:rFonts w:ascii="Arial" w:cs="Arial" w:eastAsia="Arial" w:hAnsi="Arial"/>
          <w:sz w:val="16"/>
          <w:szCs w:val="16"/>
          <w:color w:val="FF0000"/>
        </w:rPr>
        <w:t xml:space="preserve"> </w:t>
      </w:r>
      <w:r>
        <w:rPr>
          <w:rFonts w:ascii="Arial" w:cs="Arial" w:eastAsia="Arial" w:hAnsi="Arial"/>
          <w:sz w:val="16"/>
          <w:szCs w:val="16"/>
          <w:color w:val="000000"/>
        </w:rPr>
        <w:t>without limitation,</w:t>
      </w:r>
      <w:r>
        <w:rPr>
          <w:rFonts w:ascii="Arial" w:cs="Arial" w:eastAsia="Arial" w:hAnsi="Arial"/>
          <w:sz w:val="16"/>
          <w:szCs w:val="16"/>
          <w:color w:val="FF0000"/>
        </w:rPr>
        <w:t xml:space="preserve"> </w:t>
      </w:r>
      <w:r>
        <w:rPr>
          <w:rFonts w:ascii="Arial" w:cs="Arial" w:eastAsia="Arial" w:hAnsi="Arial"/>
          <w:sz w:val="16"/>
          <w:szCs w:val="16"/>
          <w:color w:val="FF0000"/>
          <w:strike w:val="1"/>
        </w:rPr>
        <w:t>any LIBOR Successor Rate) or the effect of any of the foregoing, or of any LIBOR Successor Rate Conforming</w:t>
      </w:r>
      <w:r>
        <w:rPr>
          <w:rFonts w:ascii="Arial" w:cs="Arial" w:eastAsia="Arial" w:hAnsi="Arial"/>
          <w:sz w:val="16"/>
          <w:szCs w:val="16"/>
          <w:color w:val="FF0000"/>
        </w:rPr>
        <w:t xml:space="preserve"> </w:t>
      </w:r>
      <w:r>
        <w:rPr>
          <w:rFonts w:ascii="Arial" w:cs="Arial" w:eastAsia="Arial" w:hAnsi="Arial"/>
          <w:sz w:val="16"/>
          <w:szCs w:val="16"/>
          <w:color w:val="FF0000"/>
          <w:strike w:val="1"/>
        </w:rPr>
        <w:t>Changes.</w:t>
      </w:r>
      <w:r>
        <w:rPr>
          <w:rFonts w:ascii="Arial" w:cs="Arial" w:eastAsia="Arial" w:hAnsi="Arial"/>
          <w:sz w:val="16"/>
          <w:szCs w:val="16"/>
          <w:color w:val="0000FF"/>
          <w:highlight w:val="lightGray"/>
        </w:rPr>
        <w:t>whether the composition or characteristics of any such alternative, successor or replacement reference rate will be similar to, or produce the same</w:t>
      </w:r>
      <w:r>
        <w:rPr>
          <w:rFonts w:ascii="Arial" w:cs="Arial" w:eastAsia="Arial" w:hAnsi="Arial"/>
          <w:sz w:val="16"/>
          <w:szCs w:val="16"/>
          <w:color w:val="FF0000"/>
        </w:rPr>
        <w:t xml:space="preserve"> </w:t>
      </w:r>
      <w:r>
        <w:rPr>
          <w:rFonts w:ascii="Arial" w:cs="Arial" w:eastAsia="Arial" w:hAnsi="Arial"/>
          <w:sz w:val="16"/>
          <w:szCs w:val="16"/>
          <w:u w:val="single" w:color="auto"/>
          <w:color w:val="0000FF"/>
          <w:highlight w:val="lightGray"/>
        </w:rPr>
        <w:t xml:space="preserve">value or economic equivalence of, the existing interest rate being replaced or have the same volume or liquidity as did any existing interest rate prior to its </w:t>
      </w:r>
      <w:r>
        <w:rPr>
          <w:rFonts w:ascii="Arial" w:cs="Arial" w:eastAsia="Arial" w:hAnsi="Arial"/>
          <w:sz w:val="16"/>
          <w:szCs w:val="16"/>
          <w:color w:val="0000FF"/>
          <w:highlight w:val="lightGray"/>
        </w:rPr>
        <w:t xml:space="preserve">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w:t>
      </w:r>
      <w:r>
        <w:rPr>
          <w:rFonts w:ascii="Arial" w:cs="Arial" w:eastAsia="Arial" w:hAnsi="Arial"/>
          <w:sz w:val="16"/>
          <w:szCs w:val="16"/>
          <w:u w:val="single" w:color="auto"/>
          <w:color w:val="0000FF"/>
          <w:highlight w:val="lightGray"/>
        </w:rPr>
        <w:t xml:space="preserve">relevant adjustments thereto, in each case, in a manner adverse to the Borrower. The Administrative Agent in consultation with the Borrower may select </w:t>
      </w:r>
      <w:r>
        <w:rPr>
          <w:rFonts w:ascii="Arial" w:cs="Arial" w:eastAsia="Arial" w:hAnsi="Arial"/>
          <w:sz w:val="16"/>
          <w:szCs w:val="16"/>
          <w:color w:val="0000FF"/>
          <w:highlight w:val="lightGray"/>
        </w:rPr>
        <w:t xml:space="preserve">information sources or services in its reasonable discretion to ascertain any interest rate used in this Agreement, any component thereof, or rates referenced in the definition thereof, in each case pursuant to the terms of this Agreement, and, except to the extent such liability has been determined by a court of </w:t>
      </w:r>
      <w:r>
        <w:rPr>
          <w:rFonts w:ascii="Arial" w:cs="Arial" w:eastAsia="Arial" w:hAnsi="Arial"/>
          <w:sz w:val="16"/>
          <w:szCs w:val="16"/>
          <w:u w:val="single" w:color="auto"/>
          <w:color w:val="0000FF"/>
          <w:highlight w:val="lightGray"/>
        </w:rPr>
        <w:t xml:space="preserve">competent jurisdiction by a final and non-appealable judgment to have resulted from the gross negligence, bad faith or willful misconduct of the </w:t>
      </w:r>
      <w:r>
        <w:rPr>
          <w:rFonts w:ascii="Arial" w:cs="Arial" w:eastAsia="Arial" w:hAnsi="Arial"/>
          <w:sz w:val="16"/>
          <w:szCs w:val="16"/>
          <w:color w:val="0000FF"/>
          <w:highlight w:val="lightGray"/>
        </w:rPr>
        <w:t>Administrative Agent, shall have no liability to the Borrower, any Lender or any other person or entity for damages of any kind, including direct or indirect, special, punitive, incidental or consequential damages, costs, losses or expenses (whether in tort, contract or otherw</w:t>
      </w:r>
      <w:r>
        <w:rPr>
          <w:rFonts w:ascii="Arial" w:cs="Arial" w:eastAsia="Arial" w:hAnsi="Arial"/>
          <w:sz w:val="16"/>
          <w:szCs w:val="16"/>
          <w:u w:val="single" w:color="auto"/>
          <w:color w:val="0000FF"/>
          <w:highlight w:val="lightGray"/>
        </w:rPr>
        <w:t>ise and whether at law or in equity), for</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any error or calculation of any such rate (or 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-1727835</wp:posOffset>
            </wp:positionV>
            <wp:extent cx="171450"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-1727835</wp:posOffset>
            </wp:positionV>
            <wp:extent cx="14541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145415" cy="12890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color w:val="auto"/>
        </w:rPr>
        <w:t>Limited Condition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5963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anything in this Agreement or any other Loan Document to the contrary, for purposes of:</w:t>
      </w:r>
    </w:p>
    <w:p>
      <w:pPr>
        <w:spacing w:after="0" w:line="185" w:lineRule="exact"/>
        <w:rPr>
          <w:sz w:val="20"/>
          <w:szCs w:val="20"/>
          <w:color w:val="auto"/>
        </w:rPr>
      </w:pPr>
    </w:p>
    <w:p>
      <w:pPr>
        <w:ind w:left="660" w:firstLine="903"/>
        <w:spacing w:after="0" w:line="246" w:lineRule="auto"/>
        <w:tabs>
          <w:tab w:leader="none" w:pos="1984"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 xml:space="preserve">determining compliance with any provision of this Agreement (other than </w:t>
      </w:r>
      <w:r>
        <w:rPr>
          <w:rFonts w:ascii="Arial" w:cs="Arial" w:eastAsia="Arial" w:hAnsi="Arial"/>
          <w:sz w:val="18"/>
          <w:szCs w:val="18"/>
          <w:u w:val="single" w:color="auto"/>
          <w:color w:val="auto"/>
        </w:rPr>
        <w:t>Section 6.10</w:t>
      </w:r>
      <w:r>
        <w:rPr>
          <w:rFonts w:ascii="Arial" w:cs="Arial" w:eastAsia="Arial" w:hAnsi="Arial"/>
          <w:sz w:val="18"/>
          <w:szCs w:val="18"/>
          <w:color w:val="auto"/>
        </w:rPr>
        <w:t>) which requires the calculation of the Interest Coverage Ratio, the Total Leverage Ratio, the Secured Leverage Ratio or the First Lien Leverage Ratio;</w:t>
      </w:r>
    </w:p>
    <w:p>
      <w:pPr>
        <w:spacing w:after="0" w:line="156" w:lineRule="exact"/>
        <w:rPr>
          <w:rFonts w:ascii="Arial" w:cs="Arial" w:eastAsia="Arial" w:hAnsi="Arial"/>
          <w:sz w:val="18"/>
          <w:szCs w:val="18"/>
          <w:color w:val="010000"/>
        </w:rPr>
      </w:pPr>
    </w:p>
    <w:p>
      <w:pPr>
        <w:ind w:left="660" w:firstLine="903"/>
        <w:spacing w:after="0" w:line="235" w:lineRule="auto"/>
        <w:tabs>
          <w:tab w:leader="none" w:pos="2059"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determining the accuracy of representations and warranties and/or whether a Default or Event of Default (or any subset of Defaults or Events of Default) has occurred, is continuing or would result from an action;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62</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63" w:lineRule="exact"/>
        <w:rPr>
          <w:sz w:val="20"/>
          <w:szCs w:val="20"/>
          <w:color w:val="auto"/>
        </w:rPr>
      </w:pPr>
    </w:p>
    <w:p>
      <w:pPr>
        <w:jc w:val="both"/>
        <w:ind w:left="660" w:firstLine="903"/>
        <w:spacing w:after="0" w:line="224" w:lineRule="auto"/>
        <w:tabs>
          <w:tab w:leader="none" w:pos="2051"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testing availability under baskets set forth in this Agreement (including any baskets based on, or measured as, a percentage of Consolidated EBITDA or Consolidated Total Assets or by reference to the Available Amount or the Available Equity Amount) (including the incurrence of any Incremental Facility);</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in each case, in connection with a Limited Condition Transaction, at the option of the Borrower (the Borrower’s election to exercise such option in connection with any Limited Condition Transaction, an “</w:t>
      </w:r>
      <w:r>
        <w:rPr>
          <w:rFonts w:ascii="Arial" w:cs="Arial" w:eastAsia="Arial" w:hAnsi="Arial"/>
          <w:sz w:val="16"/>
          <w:szCs w:val="16"/>
          <w:u w:val="single" w:color="auto"/>
          <w:color w:val="auto"/>
        </w:rPr>
        <w:t>LCT Election</w:t>
      </w:r>
      <w:r>
        <w:rPr>
          <w:rFonts w:ascii="Arial" w:cs="Arial" w:eastAsia="Arial" w:hAnsi="Arial"/>
          <w:sz w:val="16"/>
          <w:szCs w:val="16"/>
          <w:color w:val="auto"/>
        </w:rPr>
        <w:t>”), with such LCT Election to be made on or prior to (a) in the case of any Limited Condition Transaction described in clause (a) of the definition of “Limited Condition Transaction,” the date of execution of, at the option of the Borrower,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the definitive agreement or a letter of intent related to such Limited Condition Transaction, or (b) with respect to any Limited Condition Transaction described in clause (b) or (c) of the definition of “Limited Condition Transaction,” the date of delivery of irrevocable notice with respect thereto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Borrower may subsequently elect to rescind such LCT Election), and the date of determination of whether any such Limited</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Condition Transaction (including any Specified Transaction or other action in connection therewith) is permitted hereunder shall be deemed to be the date the definitive agreement or a letter of intent for such Limited Condition Transaction are entered into or the date of delivery of irrevocable notice with respect to such Limited Condition Transaction, as applicable (the “</w:t>
      </w:r>
      <w:r>
        <w:rPr>
          <w:rFonts w:ascii="Arial" w:cs="Arial" w:eastAsia="Arial" w:hAnsi="Arial"/>
          <w:sz w:val="17"/>
          <w:szCs w:val="17"/>
          <w:u w:val="single" w:color="auto"/>
          <w:color w:val="auto"/>
        </w:rPr>
        <w:t>LCT Test Date</w:t>
      </w:r>
      <w:r>
        <w:rPr>
          <w:rFonts w:ascii="Arial" w:cs="Arial" w:eastAsia="Arial" w:hAnsi="Arial"/>
          <w:sz w:val="17"/>
          <w:szCs w:val="17"/>
          <w:color w:val="auto"/>
        </w:rPr>
        <w:t>”), and if, after giving Pro Forma Effect to the Limited Condition</w:t>
      </w:r>
    </w:p>
    <w:p>
      <w:pPr>
        <w:jc w:val="both"/>
        <w:spacing w:after="0" w:line="234" w:lineRule="auto"/>
        <w:rPr>
          <w:sz w:val="20"/>
          <w:szCs w:val="20"/>
          <w:color w:val="auto"/>
        </w:rPr>
      </w:pPr>
      <w:r>
        <w:rPr>
          <w:rFonts w:ascii="Arial" w:cs="Arial" w:eastAsia="Arial" w:hAnsi="Arial"/>
          <w:sz w:val="16"/>
          <w:szCs w:val="16"/>
          <w:color w:val="auto"/>
        </w:rPr>
        <w:t>Transaction, the Specified Transactions and the other transactions to be entered into in connection therewith (including any incurrence of Indebtedness or Liens and the use of proceeds thereof) as if they had occurred at the beginning of the most recent Test Period ending prior to the LCT Test Date, the Borrower could have taken such action on the relevant LCT Test Date in compliance with such ratio or basket, such ratio or basket shall be deemed to have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been complied 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financial statements for one or more subsequent fiscal quarters or fiscal years, as applicable, shall have become available prior to the consummation of the applicable Limited Condition Transaction, the Borrower may elect, in its sole discretion, to re-determine availability under any applicable ratio, test or basket for purposes of clause (i) and (iii) above on the basis of such financial statements, in which case such</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date of redetermination shall thereafter be deemed to be the applicable LCT Test Date with respect to such ratio, test or basket for purposes of clause (i) and (iii) above.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avoidance of doubt, if the Borrower has made an LCT Election and (x) any of the ratios or baskets for which compliance was determined</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or tested as of the LCT Test Date (including with respect to the incurrence of Indebtedness) are not satisfied as a result of fluctuations in any such ratio or basket, including due to fluctuations in Consolidated EBITDA of the Borrower or the Person subject to such Limited Condition Transaction, at or prior to the consummation of the relevant transaction or action, such baskets or ratios will not be deemed to have been unsatisfied as a result of such fluctuations;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any ratios or baskets improve as a result of such fluctuations, such improved ratios or baskets may be utilized and (y) such ratios and other provisions need not be tested again at the time of consummation of such Limited Condition Transaction or related Specified Transactions. If the Borrower has made an LCT Election for any Limited Condition Transaction, then in connection with any subsequent calculation of any ratio or basket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availability with respect to any other Specified Transaction on or following the relevant LCT Test Date and prior to the earlier of (i) the date on which such Limited Condition Transaction is consummated or (ii) the date that the definitive agreement, letter of intent or notice, as applicable, for such Limited Condition Transaction is terminated or expires without consummation of such Limited Condition Transaction, any such ratio or basket shall be calculated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on a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basis assuming such Limited Condition Transaction and other transactions in connection therewith (including any incurrence of Indebtedness or Liens and the use of proceeds thereof) have been consummated.</w:t>
      </w:r>
    </w:p>
    <w:p>
      <w:pPr>
        <w:spacing w:after="0" w:line="18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color w:val="auto"/>
        </w:rPr>
        <w:t>Cashless Rollovers. Notwithstanding anything to the contrary contained in this Agreement or in any other Loan Document,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1134745</wp:posOffset>
            </wp:positionH>
            <wp:positionV relativeFrom="paragraph">
              <wp:posOffset>-8890</wp:posOffset>
            </wp:positionV>
            <wp:extent cx="10223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the extent that any Lender extends the maturity date of, or replaces, renews or refinances, any of its then-existing Loans with Incremental Revolving Loans, Other Revolving Loans, Incremental Term Loans, Other Term Loans or loans incurred under a new credit facility, in each case, to the extent such extension, replacement, renewal or refinancing is effected by means of a “cashless roll” by such Lender pursuant to settlement mechanisms approved by the Borrower,</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Administrative Agent and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3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color w:val="auto"/>
        </w:rPr>
        <w:t>Letter of Credit Amounts. Unless otherwise specified herein, the amount of a Letter of Credit at any time shall be deemed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1130935</wp:posOffset>
            </wp:positionH>
            <wp:positionV relativeFrom="paragraph">
              <wp:posOffset>-8890</wp:posOffset>
            </wp:positionV>
            <wp:extent cx="12877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6"/>
          <w:szCs w:val="16"/>
          <w:color w:val="auto"/>
        </w:rPr>
        <w:t xml:space="preserve">the stated amount of such Letter of Credit in effect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Letter of Credit that, by its terms or the terms of any other document, agreement and instrument entered into by applicable Issuing Bank and the Borrower (or any Subsidiary) or in favor of such Issuing</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Bank and relating to such Letter of Credit, provides for one or more automatic increases in the stated amount thereof, the amount of such Letter of Credit shall be deemed to be the maximum stated amount of such Letter of Credit after giving effect to all such increases, whether or not such maximum stated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amount is in effect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63</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SECTION 1.11 Times of Day; Timing of Performance. Unless otherwise specified, all references herein to times of day shall be references to Eastern time (daylight or standard, as applicable). When the payment of any obligation or the performance of any covenant, duty or obligation is stated to be due or performance required on a day which is not a Business Day, the date of such payment (other than as described in the definition of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1130935</wp:posOffset>
            </wp:positionH>
            <wp:positionV relativeFrom="paragraph">
              <wp:posOffset>-230505</wp:posOffset>
            </wp:positionV>
            <wp:extent cx="19316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19316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and in </w:t>
      </w:r>
      <w:r>
        <w:rPr>
          <w:rFonts w:ascii="Arial" w:cs="Arial" w:eastAsia="Arial" w:hAnsi="Arial"/>
          <w:sz w:val="18"/>
          <w:szCs w:val="18"/>
          <w:u w:val="single" w:color="auto"/>
          <w:color w:val="auto"/>
        </w:rPr>
        <w:t>Section 2.18(a)</w:t>
      </w:r>
      <w:r>
        <w:rPr>
          <w:rFonts w:ascii="Arial" w:cs="Arial" w:eastAsia="Arial" w:hAnsi="Arial"/>
          <w:sz w:val="18"/>
          <w:szCs w:val="18"/>
          <w:color w:val="auto"/>
        </w:rPr>
        <w:t>) or performance shall extend to the immediately succeeding Business Day.</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SECTION 1.12 Additional Alternative Currencies. The Borrower may from time to time request that </w:t>
      </w:r>
      <w:r>
        <w:rPr>
          <w:rFonts w:ascii="Arial" w:cs="Arial" w:eastAsia="Arial" w:hAnsi="Arial"/>
          <w:sz w:val="16"/>
          <w:szCs w:val="16"/>
          <w:color w:val="FF0000"/>
          <w:strike w:val="1"/>
        </w:rPr>
        <w:t>Revolving Loans be made and/or</w:t>
      </w:r>
      <w:r>
        <w:rPr>
          <w:rFonts w:ascii="Arial" w:cs="Arial" w:eastAsia="Arial" w:hAnsi="Arial"/>
          <w:sz w:val="16"/>
          <w:szCs w:val="16"/>
          <w:color w:val="auto"/>
        </w:rPr>
        <w:t xml:space="preserve"> Letters of Credit be issued in a currency other than dollars; provided that such requested currency is an Eligible Currency. Such request shall be subject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-120015</wp:posOffset>
            </wp:positionV>
            <wp:extent cx="16675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1667510"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approval of the Administrative Agent</w:t>
      </w:r>
      <w:r>
        <w:rPr>
          <w:rFonts w:ascii="Arial" w:cs="Arial" w:eastAsia="Arial" w:hAnsi="Arial"/>
          <w:sz w:val="16"/>
          <w:szCs w:val="16"/>
          <w:color w:val="FF0000"/>
          <w:strike w:val="1"/>
        </w:rPr>
        <w:t>;</w:t>
      </w:r>
      <w:r>
        <w:rPr>
          <w:rFonts w:ascii="Arial" w:cs="Arial" w:eastAsia="Arial" w:hAnsi="Arial"/>
          <w:sz w:val="16"/>
          <w:szCs w:val="16"/>
          <w:color w:val="auto"/>
        </w:rPr>
        <w:t xml:space="preserve"> and</w:t>
      </w:r>
      <w:r>
        <w:rPr>
          <w:rFonts w:ascii="Arial" w:cs="Arial" w:eastAsia="Arial" w:hAnsi="Arial"/>
          <w:sz w:val="16"/>
          <w:szCs w:val="16"/>
          <w:color w:val="FF0000"/>
          <w:strike w:val="1"/>
        </w:rPr>
        <w:t>, in the case of any such request with respect to Revolving Loans, each Revolving Lender; and, in the case of any</w:t>
      </w:r>
      <w:r>
        <w:rPr>
          <w:rFonts w:ascii="Arial" w:cs="Arial" w:eastAsia="Arial" w:hAnsi="Arial"/>
          <w:sz w:val="16"/>
          <w:szCs w:val="16"/>
          <w:color w:val="auto"/>
        </w:rPr>
        <w:t xml:space="preserve"> </w:t>
      </w:r>
      <w:r>
        <w:rPr>
          <w:rFonts w:ascii="Arial" w:cs="Arial" w:eastAsia="Arial" w:hAnsi="Arial"/>
          <w:sz w:val="16"/>
          <w:szCs w:val="16"/>
          <w:color w:val="FF0000"/>
          <w:strike w:val="1"/>
        </w:rPr>
        <w:t>such request with respect</w:t>
      </w:r>
      <w:r>
        <w:rPr>
          <w:rFonts w:ascii="Arial" w:cs="Arial" w:eastAsia="Arial" w:hAnsi="Arial"/>
          <w:sz w:val="16"/>
          <w:szCs w:val="16"/>
          <w:color w:val="FF0000"/>
        </w:rPr>
        <w:t xml:space="preserve"> </w:t>
      </w:r>
      <w:r>
        <w:rPr>
          <w:rFonts w:ascii="Arial" w:cs="Arial" w:eastAsia="Arial" w:hAnsi="Arial"/>
          <w:sz w:val="16"/>
          <w:szCs w:val="16"/>
          <w:color w:val="008000"/>
          <w:strike w:val="1"/>
        </w:rPr>
        <w:t>to the issuance of Letters of Credit</w:t>
      </w:r>
      <w:r>
        <w:rPr>
          <w:rFonts w:ascii="Arial" w:cs="Arial" w:eastAsia="Arial" w:hAnsi="Arial"/>
          <w:sz w:val="16"/>
          <w:szCs w:val="16"/>
          <w:color w:val="FF0000"/>
          <w:strike w:val="1"/>
        </w:rPr>
        <w:t>, such request shall also be subject to the approval of</w:t>
      </w:r>
      <w:r>
        <w:rPr>
          <w:rFonts w:ascii="Arial" w:cs="Arial" w:eastAsia="Arial" w:hAnsi="Arial"/>
          <w:sz w:val="16"/>
          <w:szCs w:val="16"/>
          <w:color w:val="FF0000"/>
        </w:rPr>
        <w:t xml:space="preserve"> </w:t>
      </w:r>
      <w:r>
        <w:rPr>
          <w:rFonts w:ascii="Arial" w:cs="Arial" w:eastAsia="Arial" w:hAnsi="Arial"/>
          <w:sz w:val="16"/>
          <w:szCs w:val="16"/>
          <w:color w:val="000000"/>
        </w:rPr>
        <w:t>the applicable Issuing Banks. Any such</w:t>
      </w:r>
      <w:r>
        <w:rPr>
          <w:rFonts w:ascii="Arial" w:cs="Arial" w:eastAsia="Arial" w:hAnsi="Arial"/>
          <w:sz w:val="16"/>
          <w:szCs w:val="16"/>
          <w:color w:val="FF0000"/>
        </w:rPr>
        <w:t xml:space="preserve"> </w:t>
      </w:r>
      <w:r>
        <w:rPr>
          <w:rFonts w:ascii="Arial" w:cs="Arial" w:eastAsia="Arial" w:hAnsi="Arial"/>
          <w:sz w:val="16"/>
          <w:szCs w:val="16"/>
          <w:color w:val="000000"/>
        </w:rPr>
        <w:t xml:space="preserve">request shall be made to the Administrative Agent not later than 11:00 a.m., twenty (20) Business Days prior to the date of the </w:t>
      </w:r>
      <w:r>
        <w:rPr>
          <w:rFonts w:ascii="Arial" w:cs="Arial" w:eastAsia="Arial" w:hAnsi="Arial"/>
          <w:sz w:val="16"/>
          <w:szCs w:val="16"/>
          <w:color w:val="FF0000"/>
          <w:strike w:val="1"/>
        </w:rPr>
        <w:t>desired Borrowing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issuance </w:t>
      </w:r>
      <w:r>
        <w:rPr>
          <w:rFonts w:ascii="Arial" w:cs="Arial" w:eastAsia="Arial" w:hAnsi="Arial"/>
          <w:sz w:val="16"/>
          <w:szCs w:val="16"/>
          <w:color w:val="FF0000"/>
        </w:rPr>
        <w:t>of a</w:t>
      </w:r>
      <w:r>
        <w:rPr>
          <w:rFonts w:ascii="Arial" w:cs="Arial" w:eastAsia="Arial" w:hAnsi="Arial"/>
          <w:sz w:val="16"/>
          <w:szCs w:val="16"/>
          <w:u w:val="single" w:color="auto"/>
          <w:color w:val="0000FF"/>
          <w:highlight w:val="lightGray"/>
        </w:rPr>
        <w:t>, extension or increase of any</w:t>
      </w:r>
      <w:r>
        <w:rPr>
          <w:rFonts w:ascii="Arial" w:cs="Arial" w:eastAsia="Arial" w:hAnsi="Arial"/>
          <w:sz w:val="16"/>
          <w:szCs w:val="16"/>
          <w:color w:val="auto"/>
        </w:rPr>
        <w:t xml:space="preserve"> Letter of Credit </w:t>
      </w:r>
      <w:r>
        <w:rPr>
          <w:rFonts w:ascii="Arial" w:cs="Arial" w:eastAsia="Arial" w:hAnsi="Arial"/>
          <w:sz w:val="16"/>
          <w:szCs w:val="16"/>
          <w:u w:val="single" w:color="auto"/>
          <w:color w:val="008000"/>
        </w:rPr>
        <w:t>to be issued in such</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currency</w:t>
      </w:r>
      <w:r>
        <w:rPr>
          <w:rFonts w:ascii="Arial" w:cs="Arial" w:eastAsia="Arial" w:hAnsi="Arial"/>
          <w:sz w:val="16"/>
          <w:szCs w:val="16"/>
          <w:color w:val="auto"/>
        </w:rPr>
        <w:t xml:space="preserve"> (or such other time or date as may be reasonably agreed by the Administrative Agent and</w:t>
      </w:r>
      <w:r>
        <w:rPr>
          <w:rFonts w:ascii="Arial" w:cs="Arial" w:eastAsia="Arial" w:hAnsi="Arial"/>
          <w:sz w:val="16"/>
          <w:szCs w:val="16"/>
          <w:color w:val="FF0000"/>
          <w:strike w:val="1"/>
        </w:rPr>
        <w:t>, in the case of any such request pertaining to Letters of Credit,</w:t>
      </w:r>
      <w:r>
        <w:rPr>
          <w:rFonts w:ascii="Arial" w:cs="Arial" w:eastAsia="Arial" w:hAnsi="Arial"/>
          <w:sz w:val="16"/>
          <w:szCs w:val="16"/>
          <w:color w:val="auto"/>
        </w:rPr>
        <w:t xml:space="preserve"> the applicable Issuing Bank</w:t>
      </w:r>
      <w:r>
        <w:rPr>
          <w:rFonts w:ascii="Arial" w:cs="Arial" w:eastAsia="Arial" w:hAnsi="Arial"/>
          <w:sz w:val="16"/>
          <w:szCs w:val="16"/>
          <w:u w:val="single" w:color="auto"/>
          <w:color w:val="0000FF"/>
          <w:highlight w:val="lightGray"/>
        </w:rPr>
        <w:t>s</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color w:val="008000"/>
          <w:strike w:val="1"/>
        </w:rPr>
        <w:t>in its or their sole discretion</w:t>
      </w:r>
      <w:r>
        <w:rPr>
          <w:rFonts w:ascii="Arial" w:cs="Arial" w:eastAsia="Arial" w:hAnsi="Arial"/>
          <w:sz w:val="16"/>
          <w:szCs w:val="16"/>
          <w:color w:val="FF0000"/>
          <w:strike w:val="1"/>
        </w:rPr>
        <w:t>). In the</w:t>
      </w:r>
      <w:r>
        <w:rPr>
          <w:rFonts w:ascii="Arial" w:cs="Arial" w:eastAsia="Arial" w:hAnsi="Arial"/>
          <w:sz w:val="16"/>
          <w:szCs w:val="16"/>
          <w:color w:val="auto"/>
        </w:rPr>
        <w:t xml:space="preserve"> </w:t>
      </w:r>
      <w:r>
        <w:rPr>
          <w:rFonts w:ascii="Arial" w:cs="Arial" w:eastAsia="Arial" w:hAnsi="Arial"/>
          <w:sz w:val="16"/>
          <w:szCs w:val="16"/>
          <w:color w:val="FF0000"/>
          <w:strike w:val="1"/>
        </w:rPr>
        <w:t>case of any such request pertaining to Revolving Loans, the Administrative Agent shall promptly notify each Revolving Lender of the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-281940</wp:posOffset>
            </wp:positionV>
            <wp:extent cx="2184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FF0000"/>
          <w:strike w:val="1"/>
        </w:rPr>
        <w:t xml:space="preserve">applicable to such Eligible Currency and the minimum denominations applicable to partial prepayments (or assignments); and in the case of any such request pertaining to Letters of Credit, the </w:t>
      </w:r>
      <w:r>
        <w:rPr>
          <w:rFonts w:ascii="Arial" w:cs="Arial" w:eastAsia="Arial" w:hAnsi="Arial"/>
          <w:sz w:val="16"/>
          <w:szCs w:val="16"/>
          <w:u w:val="single" w:color="auto"/>
          <w:color w:val="0000FF"/>
          <w:highlight w:val="lightGray"/>
          <w:strike w:val="1"/>
        </w:rPr>
        <w:t>). The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Administrative Agent shall promptly notify the applicable Issuing Banks thereof.</w:t>
      </w:r>
      <w:r>
        <w:rPr>
          <w:rFonts w:ascii="Arial" w:cs="Arial" w:eastAsia="Arial" w:hAnsi="Arial"/>
          <w:sz w:val="16"/>
          <w:szCs w:val="16"/>
          <w:color w:val="FF0000"/>
          <w:strike w:val="1"/>
        </w:rPr>
        <w:t xml:space="preserve"> Each Revolving Lender (in the case of a request pertaining to Revolving Loans) shall notify the Administrative Agent, not later than 11:00 a.m., ten (10) Business Days after receipt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FF0000"/>
          <w:strike w:val="1"/>
        </w:rPr>
        <w:t xml:space="preserve">of such request whether it consents, in its sole discretion, to the making of Revolving Loans in such requested currency. Any failure by Revolving Lender to respond to such request within the time period specified in the preceding sentence </w:t>
      </w:r>
      <w:r>
        <w:rPr>
          <w:rFonts w:ascii="Arial" w:cs="Arial" w:eastAsia="Arial" w:hAnsi="Arial"/>
          <w:sz w:val="16"/>
          <w:szCs w:val="16"/>
          <w:color w:val="008000"/>
          <w:strike w:val="1"/>
        </w:rPr>
        <w:t>shall be deemed to be</w:t>
      </w:r>
      <w:r>
        <w:rPr>
          <w:rFonts w:ascii="Arial" w:cs="Arial" w:eastAsia="Arial" w:hAnsi="Arial"/>
          <w:sz w:val="16"/>
          <w:szCs w:val="16"/>
          <w:color w:val="FF0000"/>
          <w:strike w:val="1"/>
        </w:rPr>
        <w:t xml:space="preserve"> a refusal by such Revolving Lender to permit Revolving Loans </w:t>
      </w:r>
      <w:r>
        <w:rPr>
          <w:rFonts w:ascii="Arial" w:cs="Arial" w:eastAsia="Arial" w:hAnsi="Arial"/>
          <w:sz w:val="16"/>
          <w:szCs w:val="16"/>
          <w:color w:val="008000"/>
          <w:strike w:val="1"/>
        </w:rPr>
        <w:t>to be issued in such</w:t>
      </w:r>
      <w:r>
        <w:rPr>
          <w:rFonts w:ascii="Arial" w:cs="Arial" w:eastAsia="Arial" w:hAnsi="Arial"/>
          <w:sz w:val="16"/>
          <w:szCs w:val="16"/>
          <w:color w:val="FF0000"/>
          <w:strike w:val="1"/>
        </w:rPr>
        <w:t xml:space="preserve"> requested currency. </w:t>
      </w:r>
      <w:r>
        <w:rPr>
          <w:rFonts w:ascii="Arial" w:cs="Arial" w:eastAsia="Arial" w:hAnsi="Arial"/>
          <w:sz w:val="16"/>
          <w:szCs w:val="16"/>
          <w:color w:val="000000"/>
          <w:strike w:val="1"/>
        </w:rPr>
        <w:t>The applicable Issuing Bank</w:t>
      </w:r>
      <w:r>
        <w:rPr>
          <w:rFonts w:ascii="Arial" w:cs="Arial" w:eastAsia="Arial" w:hAnsi="Arial"/>
          <w:sz w:val="16"/>
          <w:szCs w:val="16"/>
          <w:color w:val="FF0000"/>
          <w:strike w:val="1"/>
        </w:rPr>
        <w:t xml:space="preserve"> (in the case of a request pertaining to Letters of Credit) </w:t>
      </w:r>
      <w:r>
        <w:rPr>
          <w:rFonts w:ascii="Arial" w:cs="Arial" w:eastAsia="Arial" w:hAnsi="Arial"/>
          <w:sz w:val="16"/>
          <w:szCs w:val="16"/>
          <w:color w:val="000000"/>
          <w:strike w:val="1"/>
        </w:rPr>
        <w:t>shall notify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Administrative Agent, not later than 11:00 a.m., ten (10) Business Days after receipt of such request whether it consents, in its sole discretion, to the issuance of Letters of Credit, as the case may be, in such requested currency. Any failure by an Issuing Bank to respond to such request within the time period specified in the preceding sentence shall be deemed to be a refusal by such Issuing Bank to permit Letters of Credit to be issued in such requested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currency. If the Administrative Agent </w:t>
      </w:r>
      <w:r>
        <w:rPr>
          <w:rFonts w:ascii="Arial" w:cs="Arial" w:eastAsia="Arial" w:hAnsi="Arial"/>
          <w:sz w:val="16"/>
          <w:szCs w:val="16"/>
          <w:color w:val="FF0000"/>
          <w:strike w:val="1"/>
        </w:rPr>
        <w:t>(</w:t>
      </w:r>
      <w:r>
        <w:rPr>
          <w:rFonts w:ascii="Arial" w:cs="Arial" w:eastAsia="Arial" w:hAnsi="Arial"/>
          <w:sz w:val="16"/>
          <w:szCs w:val="16"/>
          <w:color w:val="auto"/>
        </w:rPr>
        <w:t>and</w:t>
      </w:r>
      <w:r>
        <w:rPr>
          <w:rFonts w:ascii="Arial" w:cs="Arial" w:eastAsia="Arial" w:hAnsi="Arial"/>
          <w:sz w:val="16"/>
          <w:szCs w:val="16"/>
          <w:color w:val="FF0000"/>
          <w:strike w:val="1"/>
        </w:rPr>
        <w:t>, in</w:t>
      </w:r>
      <w:r>
        <w:rPr>
          <w:rFonts w:ascii="Arial" w:cs="Arial" w:eastAsia="Arial" w:hAnsi="Arial"/>
          <w:sz w:val="16"/>
          <w:szCs w:val="16"/>
          <w:color w:val="auto"/>
        </w:rPr>
        <w:t xml:space="preserve"> the </w:t>
      </w:r>
      <w:r>
        <w:rPr>
          <w:rFonts w:ascii="Arial" w:cs="Arial" w:eastAsia="Arial" w:hAnsi="Arial"/>
          <w:sz w:val="16"/>
          <w:szCs w:val="16"/>
          <w:color w:val="FF0000"/>
          <w:strike w:val="1"/>
        </w:rPr>
        <w:t>case of any request</w:t>
      </w:r>
      <w:r>
        <w:rPr>
          <w:rFonts w:ascii="Arial" w:cs="Arial" w:eastAsia="Arial" w:hAnsi="Arial"/>
          <w:sz w:val="16"/>
          <w:szCs w:val="16"/>
          <w:color w:val="auto"/>
        </w:rPr>
        <w:t xml:space="preserve"> </w:t>
      </w:r>
      <w:r>
        <w:rPr>
          <w:rFonts w:ascii="Arial" w:cs="Arial" w:eastAsia="Arial" w:hAnsi="Arial"/>
          <w:sz w:val="16"/>
          <w:szCs w:val="16"/>
          <w:color w:val="008000"/>
          <w:strike w:val="1"/>
        </w:rPr>
        <w:t>with respect to Revolving Loans,</w:t>
      </w:r>
      <w:r>
        <w:rPr>
          <w:rFonts w:ascii="Arial" w:cs="Arial" w:eastAsia="Arial" w:hAnsi="Arial"/>
          <w:sz w:val="16"/>
          <w:szCs w:val="16"/>
          <w:color w:val="auto"/>
        </w:rPr>
        <w:t xml:space="preserve"> </w:t>
      </w:r>
      <w:r>
        <w:rPr>
          <w:rFonts w:ascii="Arial" w:cs="Arial" w:eastAsia="Arial" w:hAnsi="Arial"/>
          <w:sz w:val="16"/>
          <w:szCs w:val="16"/>
          <w:color w:val="FF0000"/>
          <w:strike w:val="1"/>
        </w:rPr>
        <w:t>each Revolving Lender) consents to making</w:t>
      </w:r>
      <w:r>
        <w:rPr>
          <w:rFonts w:ascii="Arial" w:cs="Arial" w:eastAsia="Arial" w:hAnsi="Arial"/>
          <w:sz w:val="16"/>
          <w:szCs w:val="16"/>
          <w:color w:val="auto"/>
        </w:rPr>
        <w:t xml:space="preserve"> </w:t>
      </w:r>
      <w:r>
        <w:rPr>
          <w:rFonts w:ascii="Arial" w:cs="Arial" w:eastAsia="Arial" w:hAnsi="Arial"/>
          <w:sz w:val="16"/>
          <w:szCs w:val="16"/>
          <w:color w:val="FF0000"/>
          <w:strike w:val="1"/>
        </w:rPr>
        <w:t>Revolving Loans</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applicable Issuing Bank cons</w:t>
      </w:r>
      <w:r>
        <w:rPr>
          <w:rFonts w:ascii="Arial" w:cs="Arial" w:eastAsia="Arial" w:hAnsi="Arial"/>
          <w:sz w:val="16"/>
          <w:szCs w:val="16"/>
          <w:color w:val="0000FF"/>
        </w:rPr>
        <w:t>ent</w:t>
      </w:r>
      <w:r>
        <w:rPr>
          <w:rFonts w:ascii="Arial" w:cs="Arial" w:eastAsia="Arial" w:hAnsi="Arial"/>
          <w:sz w:val="16"/>
          <w:szCs w:val="16"/>
          <w:color w:val="FF0000"/>
        </w:rPr>
        <w:t xml:space="preserve"> </w:t>
      </w:r>
      <w:r>
        <w:rPr>
          <w:rFonts w:ascii="Arial" w:cs="Arial" w:eastAsia="Arial" w:hAnsi="Arial"/>
          <w:sz w:val="16"/>
          <w:szCs w:val="16"/>
          <w:color w:val="008000"/>
        </w:rPr>
        <w:t>to the issuance of Letters of Credit</w:t>
      </w:r>
      <w:r>
        <w:rPr>
          <w:rFonts w:ascii="Arial" w:cs="Arial" w:eastAsia="Arial" w:hAnsi="Arial"/>
          <w:sz w:val="16"/>
          <w:szCs w:val="16"/>
          <w:color w:val="FF0000"/>
        </w:rPr>
        <w:t xml:space="preserve"> </w:t>
      </w:r>
      <w:r>
        <w:rPr>
          <w:rFonts w:ascii="Arial" w:cs="Arial" w:eastAsia="Arial" w:hAnsi="Arial"/>
          <w:sz w:val="16"/>
          <w:szCs w:val="16"/>
          <w:color w:val="000000"/>
        </w:rPr>
        <w:t>in such requested currency, the Administrative Agent shall so notify</w:t>
      </w:r>
      <w:r>
        <w:rPr>
          <w:rFonts w:ascii="Arial" w:cs="Arial" w:eastAsia="Arial" w:hAnsi="Arial"/>
          <w:sz w:val="16"/>
          <w:szCs w:val="16"/>
          <w:color w:val="FF0000"/>
        </w:rPr>
        <w:t xml:space="preserve"> </w:t>
      </w:r>
      <w:r>
        <w:rPr>
          <w:rFonts w:ascii="Arial" w:cs="Arial" w:eastAsia="Arial" w:hAnsi="Arial"/>
          <w:sz w:val="16"/>
          <w:szCs w:val="16"/>
          <w:color w:val="000000"/>
        </w:rPr>
        <w:t>the Borrower and (A) the Administrative Agent</w:t>
      </w:r>
      <w:r>
        <w:rPr>
          <w:rFonts w:ascii="Arial" w:cs="Arial" w:eastAsia="Arial" w:hAnsi="Arial"/>
          <w:sz w:val="16"/>
          <w:szCs w:val="16"/>
          <w:u w:val="single" w:color="auto"/>
          <w:color w:val="0000FF"/>
          <w:highlight w:val="lightGray"/>
        </w:rPr>
        <w:t>, the applicable Issuing Bank</w:t>
      </w:r>
      <w:r>
        <w:rPr>
          <w:rFonts w:ascii="Arial" w:cs="Arial" w:eastAsia="Arial" w:hAnsi="Arial"/>
          <w:sz w:val="16"/>
          <w:szCs w:val="16"/>
          <w:color w:val="000000"/>
        </w:rPr>
        <w:t xml:space="preserve"> and the Borrower may amend </w:t>
      </w:r>
      <w:r>
        <w:rPr>
          <w:rFonts w:ascii="Arial" w:cs="Arial" w:eastAsia="Arial" w:hAnsi="Arial"/>
          <w:sz w:val="16"/>
          <w:szCs w:val="16"/>
          <w:color w:val="FF0000"/>
          <w:strike w:val="1"/>
        </w:rPr>
        <w:t>the definition of LIBO Rate for any currency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-230505</wp:posOffset>
            </wp:positionV>
            <wp:extent cx="152590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1525905" cy="12890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-119380</wp:posOffset>
            </wp:positionV>
            <wp:extent cx="4933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493395" cy="8890"/>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FF0000"/>
          <w:strike w:val="1"/>
        </w:rPr>
        <w:t>which there is no published LIBO Rate with respect thereto</w:t>
      </w:r>
      <w:r>
        <w:rPr>
          <w:rFonts w:ascii="Arial" w:cs="Arial" w:eastAsia="Arial" w:hAnsi="Arial"/>
          <w:sz w:val="16"/>
          <w:szCs w:val="16"/>
          <w:color w:val="0000FF"/>
          <w:highlight w:val="lightGray"/>
        </w:rPr>
        <w:t>this Agreem</w:t>
      </w:r>
      <w:r>
        <w:rPr>
          <w:rFonts w:ascii="Arial" w:cs="Arial" w:eastAsia="Arial" w:hAnsi="Arial"/>
          <w:sz w:val="16"/>
          <w:szCs w:val="16"/>
          <w:u w:val="single" w:color="auto"/>
          <w:color w:val="0000FF"/>
          <w:highlight w:val="lightGray"/>
        </w:rPr>
        <w:t>ent</w:t>
      </w:r>
      <w:r>
        <w:rPr>
          <w:rFonts w:ascii="Arial" w:cs="Arial" w:eastAsia="Arial" w:hAnsi="Arial"/>
          <w:sz w:val="16"/>
          <w:szCs w:val="16"/>
          <w:color w:val="FF0000"/>
        </w:rPr>
        <w:t xml:space="preserve"> </w:t>
      </w:r>
      <w:r>
        <w:rPr>
          <w:rFonts w:ascii="Arial" w:cs="Arial" w:eastAsia="Arial" w:hAnsi="Arial"/>
          <w:sz w:val="16"/>
          <w:szCs w:val="16"/>
          <w:color w:val="000000"/>
        </w:rPr>
        <w:t>to the extent necessary to add the applicable</w:t>
      </w:r>
      <w:r>
        <w:rPr>
          <w:rFonts w:ascii="Arial" w:cs="Arial" w:eastAsia="Arial" w:hAnsi="Arial"/>
          <w:sz w:val="16"/>
          <w:szCs w:val="16"/>
          <w:color w:val="FF0000"/>
        </w:rPr>
        <w:t xml:space="preserve"> </w:t>
      </w:r>
      <w:r>
        <w:rPr>
          <w:rFonts w:ascii="Arial" w:cs="Arial" w:eastAsia="Arial" w:hAnsi="Arial"/>
          <w:sz w:val="16"/>
          <w:szCs w:val="16"/>
          <w:color w:val="FF0000"/>
          <w:strike w:val="1"/>
        </w:rPr>
        <w:t>LIBO</w:t>
      </w:r>
      <w:r>
        <w:rPr>
          <w:rFonts w:ascii="Arial" w:cs="Arial" w:eastAsia="Arial" w:hAnsi="Arial"/>
          <w:sz w:val="16"/>
          <w:szCs w:val="16"/>
          <w:u w:val="single" w:color="auto"/>
          <w:color w:val="0000FF"/>
          <w:highlight w:val="lightGray"/>
        </w:rPr>
        <w:t>interest</w:t>
      </w:r>
      <w:r>
        <w:rPr>
          <w:rFonts w:ascii="Arial" w:cs="Arial" w:eastAsia="Arial" w:hAnsi="Arial"/>
          <w:sz w:val="16"/>
          <w:szCs w:val="16"/>
          <w:color w:val="FF0000"/>
        </w:rPr>
        <w:t xml:space="preserve"> </w:t>
      </w:r>
      <w:r>
        <w:rPr>
          <w:rFonts w:ascii="Arial" w:cs="Arial" w:eastAsia="Arial" w:hAnsi="Arial"/>
          <w:sz w:val="16"/>
          <w:szCs w:val="16"/>
          <w:color w:val="FF0000"/>
          <w:strike w:val="1"/>
        </w:rPr>
        <w:t>R</w:t>
      </w:r>
      <w:r>
        <w:rPr>
          <w:rFonts w:ascii="Arial" w:cs="Arial" w:eastAsia="Arial" w:hAnsi="Arial"/>
          <w:sz w:val="16"/>
          <w:szCs w:val="16"/>
          <w:u w:val="single" w:color="auto"/>
          <w:color w:val="0000FF"/>
          <w:highlight w:val="lightGray"/>
        </w:rPr>
        <w:t>r</w:t>
      </w:r>
      <w:r>
        <w:rPr>
          <w:rFonts w:ascii="Arial" w:cs="Arial" w:eastAsia="Arial" w:hAnsi="Arial"/>
          <w:sz w:val="16"/>
          <w:szCs w:val="16"/>
          <w:color w:val="FF0000"/>
        </w:rPr>
        <w:t xml:space="preserve"> </w:t>
      </w:r>
      <w:r>
        <w:rPr>
          <w:rFonts w:ascii="Arial" w:cs="Arial" w:eastAsia="Arial" w:hAnsi="Arial"/>
          <w:sz w:val="16"/>
          <w:szCs w:val="16"/>
          <w:color w:val="000000"/>
        </w:rPr>
        <w:t>ate for such</w:t>
      </w:r>
      <w:r>
        <w:rPr>
          <w:rFonts w:ascii="Arial" w:cs="Arial" w:eastAsia="Arial" w:hAnsi="Arial"/>
          <w:sz w:val="16"/>
          <w:szCs w:val="16"/>
          <w:color w:val="FF0000"/>
        </w:rPr>
        <w:t xml:space="preserve"> </w:t>
      </w:r>
      <w:r>
        <w:rPr>
          <w:rFonts w:ascii="Arial" w:cs="Arial" w:eastAsia="Arial" w:hAnsi="Arial"/>
          <w:sz w:val="16"/>
          <w:szCs w:val="16"/>
          <w:color w:val="000000"/>
        </w:rPr>
        <w:t xml:space="preserve">currency and (B) to the extent </w:t>
      </w:r>
      <w:r>
        <w:rPr>
          <w:rFonts w:ascii="Arial" w:cs="Arial" w:eastAsia="Arial" w:hAnsi="Arial"/>
          <w:sz w:val="16"/>
          <w:szCs w:val="16"/>
          <w:color w:val="FF0000"/>
          <w:strike w:val="1"/>
        </w:rPr>
        <w:t>the definition of LIBO Rate</w:t>
      </w:r>
      <w:r>
        <w:rPr>
          <w:rFonts w:ascii="Arial" w:cs="Arial" w:eastAsia="Arial" w:hAnsi="Arial"/>
          <w:sz w:val="16"/>
          <w:szCs w:val="16"/>
          <w:u w:val="single" w:color="auto"/>
          <w:color w:val="0000FF"/>
          <w:highlight w:val="lightGray"/>
        </w:rPr>
        <w:t>this Agreement</w:t>
      </w:r>
      <w:r>
        <w:rPr>
          <w:rFonts w:ascii="Arial" w:cs="Arial" w:eastAsia="Arial" w:hAnsi="Arial"/>
          <w:sz w:val="16"/>
          <w:szCs w:val="16"/>
          <w:color w:val="000000"/>
        </w:rPr>
        <w:t xml:space="preserve"> reflects the appropriate interest rate for such currency or has been amended to reflect the appropriate rate for such currency, </w:t>
      </w:r>
      <w:r>
        <w:rPr>
          <w:rFonts w:ascii="Arial" w:cs="Arial" w:eastAsia="Arial" w:hAnsi="Arial"/>
          <w:sz w:val="16"/>
          <w:szCs w:val="16"/>
          <w:color w:val="FF0000"/>
          <w:strike w:val="1"/>
        </w:rPr>
        <w:t>such currency shall thereupon be deemed for all purposes to be an Alternative Currency hereunder for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FF0000"/>
          <w:strike w:val="1"/>
        </w:rPr>
        <w:t xml:space="preserve">purposes of any Borrowing of Revolving Loans; and if the applicable Issuing Bank also consents to the issuance of Letters of Credit in such requested currency, </w:t>
      </w:r>
      <w:r>
        <w:rPr>
          <w:rFonts w:ascii="Arial" w:cs="Arial" w:eastAsia="Arial" w:hAnsi="Arial"/>
          <w:sz w:val="16"/>
          <w:szCs w:val="16"/>
          <w:color w:val="000000"/>
          <w:strike w:val="1"/>
        </w:rPr>
        <w:t>the Administrative Agent shall so notify the Borrower and such currency shall thereupon be deemed for all purposes to be an Alternative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Currency </w:t>
      </w:r>
      <w:r>
        <w:rPr>
          <w:rFonts w:ascii="Arial" w:cs="Arial" w:eastAsia="Arial" w:hAnsi="Arial"/>
          <w:sz w:val="16"/>
          <w:szCs w:val="16"/>
          <w:color w:val="FF0000"/>
          <w:strike w:val="1"/>
        </w:rPr>
        <w:t>hereunder</w:t>
      </w:r>
      <w:r>
        <w:rPr>
          <w:rFonts w:ascii="Arial" w:cs="Arial" w:eastAsia="Arial" w:hAnsi="Arial"/>
          <w:sz w:val="16"/>
          <w:szCs w:val="16"/>
          <w:u w:val="single" w:color="auto"/>
          <w:color w:val="0000FF"/>
          <w:highlight w:val="lightGray"/>
          <w:strike w:val="1"/>
        </w:rPr>
        <w:t>,</w:t>
      </w:r>
      <w:r>
        <w:rPr>
          <w:rFonts w:ascii="Arial" w:cs="Arial" w:eastAsia="Arial" w:hAnsi="Arial"/>
          <w:sz w:val="16"/>
          <w:szCs w:val="16"/>
          <w:color w:val="000000"/>
          <w:strike w:val="1"/>
        </w:rPr>
        <w:t xml:space="preserve"> for purposes of any Letter of Credit issuances. If the Administrative Agent shall fail to obtain consent to any request for an additional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currency under this </w:t>
      </w:r>
      <w:r>
        <w:rPr>
          <w:rFonts w:ascii="Arial" w:cs="Arial" w:eastAsia="Arial" w:hAnsi="Arial"/>
          <w:sz w:val="18"/>
          <w:szCs w:val="18"/>
          <w:u w:val="single" w:color="auto"/>
          <w:color w:val="auto"/>
        </w:rPr>
        <w:t>Section 1.12</w:t>
      </w:r>
      <w:r>
        <w:rPr>
          <w:rFonts w:ascii="Arial" w:cs="Arial" w:eastAsia="Arial" w:hAnsi="Arial"/>
          <w:sz w:val="18"/>
          <w:szCs w:val="18"/>
          <w:color w:val="auto"/>
        </w:rPr>
        <w:t>, the Administrative Agent shall promptly so notify the Borrower.</w:t>
      </w:r>
    </w:p>
    <w:p>
      <w:pPr>
        <w:spacing w:after="0" w:line="1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SECTION 1.13 Compliance with Certain Sections. In the event that any Indebtedness, Lien, Restricted Payment, Restricted Debt Payment, Investment, Disposition or Affiliate transaction, as applicable, meets the criteria of more than one of the categories of transactions or items then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-120015</wp:posOffset>
            </wp:positionV>
            <wp:extent cx="17741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 xml:space="preserve">pursuant to any clause or subsection of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or the definition of “Incremental Cap,” the Borrower, in its sole discretion, may, from time to time, divide, classify and/or reclassify such transaction or item (or portion thereof) among any combination of one or more categories and will be required to include the amount and type of such transaction (or portion thereof) only in any one category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reclassification described in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this sentence shall be deemed to have occurred automatically with respect to any such transaction or item incurred or made pursuant to a Fixed Amount (including the Free and Clear Incremental Amount) that later would be permitted on a Pro Forma Basis to be incurred or made pursuant to an Incurrence-Based Amount (including the Ratio Incremental Amount). It is understood and agreed that any Indebtedness, Lien, Restricted Payment, Restricted Debt</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Payment, Investment, Disposition and/or Affiliate transaction need not be permitted solely by reference to one category of permitted Indebtedness, Lien, Restricted Payment, Restricted Debt Payment, Investment, Disposition and/or Affiliate transaction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or the definition of “Incremental Cap,” respectively, but may instead be permitted in part under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64</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010000"/>
        </w:rPr>
        <w:t>ARTICLE II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CREDITS</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SECTION 2.01 Commitments. Subject to the terms and conditions set forth herein, (a) each Term Lender agreed to make an Initial Term Loan to the Borrower on the Effective Date denominated in dollars in a principal amount not exceeding its Initial Term Commitment, (b) each Revolving Lender agrees to make Revolving Loans to the Borrower denominated in dollars from time to time during the Revolving Availability Period in an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-230505</wp:posOffset>
            </wp:positionV>
            <wp:extent cx="7632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principal amount which will not result in such Lender’s Revolving Exposure exceeding such Lender’s Revolving Commitment, and (c) each First Additional Term Lender agrees to make a First Additional Term Loan to the Borrower on the Amendment No. 1 Effective Date denominated in dollars in a principal amount not exceeding its First Additional Term Commitment. The Borrower may borrow, prepay and reborrow Revolving Loans. Amounts repaid</w:t>
      </w:r>
    </w:p>
    <w:p>
      <w:pPr>
        <w:spacing w:after="0" w:line="2" w:lineRule="exact"/>
        <w:rPr>
          <w:sz w:val="20"/>
          <w:szCs w:val="20"/>
          <w:color w:val="auto"/>
        </w:rPr>
      </w:pPr>
    </w:p>
    <w:p>
      <w:pPr>
        <w:jc w:val="center"/>
        <w:ind w:right="6900"/>
        <w:spacing w:after="0"/>
        <w:rPr>
          <w:sz w:val="20"/>
          <w:szCs w:val="20"/>
          <w:color w:val="auto"/>
        </w:rPr>
      </w:pPr>
      <w:r>
        <w:rPr>
          <w:rFonts w:ascii="Arial" w:cs="Arial" w:eastAsia="Arial" w:hAnsi="Arial"/>
          <w:sz w:val="16"/>
          <w:szCs w:val="16"/>
          <w:color w:val="auto"/>
        </w:rPr>
        <w:t>or prepaid in respect of Term Loans may not be reborrowed.</w:t>
      </w:r>
    </w:p>
    <w:p>
      <w:pPr>
        <w:spacing w:after="0" w:line="192" w:lineRule="exact"/>
        <w:rPr>
          <w:sz w:val="20"/>
          <w:szCs w:val="20"/>
          <w:color w:val="auto"/>
        </w:rPr>
      </w:pPr>
    </w:p>
    <w:p>
      <w:pPr>
        <w:jc w:val="center"/>
        <w:ind w:right="6940"/>
        <w:spacing w:after="0"/>
        <w:tabs>
          <w:tab w:leader="none" w:pos="16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color w:val="auto"/>
        </w:rPr>
        <w:t>Loans and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1550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165" w:lineRule="exact"/>
        <w:rPr>
          <w:sz w:val="20"/>
          <w:szCs w:val="20"/>
          <w:color w:val="auto"/>
        </w:rPr>
      </w:pPr>
    </w:p>
    <w:p>
      <w:pPr>
        <w:jc w:val="both"/>
        <w:ind w:firstLine="656"/>
        <w:spacing w:after="0" w:line="236" w:lineRule="auto"/>
        <w:tabs>
          <w:tab w:leader="none" w:pos="1046"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Each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Commitments of the Lenders are several and, other than as expressly provided herein with respect to a Defaulting Lender, no Lender shall be responsible for any other Lender’s failure to make Loans as required hereby.</w:t>
      </w:r>
    </w:p>
    <w:p>
      <w:pPr>
        <w:spacing w:after="0" w:line="176" w:lineRule="exact"/>
        <w:rPr>
          <w:rFonts w:ascii="Arial" w:cs="Arial" w:eastAsia="Arial" w:hAnsi="Arial"/>
          <w:sz w:val="17"/>
          <w:szCs w:val="17"/>
          <w:color w:val="auto"/>
        </w:rPr>
      </w:pPr>
    </w:p>
    <w:p>
      <w:pPr>
        <w:jc w:val="both"/>
        <w:ind w:firstLine="656"/>
        <w:spacing w:after="0" w:line="223" w:lineRule="auto"/>
        <w:tabs>
          <w:tab w:leader="none" w:pos="1078"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w:t>
      </w:r>
      <w:r>
        <w:rPr>
          <w:rFonts w:ascii="Arial" w:cs="Arial" w:eastAsia="Arial" w:hAnsi="Arial"/>
          <w:sz w:val="18"/>
          <w:szCs w:val="18"/>
          <w:color w:val="auto"/>
        </w:rPr>
        <w:t xml:space="preserve">tion 2.14, each Revolving Loan Borrowing and Term Loan Borrowing denominated in dollars shall be comprised entirely of ABR Loans or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SOFR</w:t>
      </w:r>
      <w:r>
        <w:rPr>
          <w:rFonts w:ascii="Arial" w:cs="Arial" w:eastAsia="Arial" w:hAnsi="Arial"/>
          <w:sz w:val="18"/>
          <w:szCs w:val="18"/>
          <w:color w:val="auto"/>
        </w:rPr>
        <w:t xml:space="preserve"> Loans, in each case, as the Borrower may request in accordance herewith. Each Lender at its option may make any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162" w:lineRule="exact"/>
        <w:rPr>
          <w:rFonts w:ascii="Arial" w:cs="Arial" w:eastAsia="Arial" w:hAnsi="Arial"/>
          <w:sz w:val="18"/>
          <w:szCs w:val="18"/>
          <w:color w:val="auto"/>
        </w:rPr>
      </w:pPr>
    </w:p>
    <w:p>
      <w:pPr>
        <w:jc w:val="both"/>
        <w:ind w:firstLine="656"/>
        <w:spacing w:after="0" w:line="228" w:lineRule="auto"/>
        <w:tabs>
          <w:tab w:leader="none" w:pos="1037"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w:t>
      </w:r>
      <w:r>
        <w:rPr>
          <w:rFonts w:ascii="Arial" w:cs="Arial" w:eastAsia="Arial" w:hAnsi="Arial"/>
          <w:sz w:val="17"/>
          <w:szCs w:val="17"/>
          <w:color w:val="FF0000"/>
          <w:strike w:val="1"/>
        </w:rPr>
        <w:t>Eurocurrency</w:t>
      </w:r>
      <w:r>
        <w:rPr>
          <w:rFonts w:ascii="Arial" w:cs="Arial" w:eastAsia="Arial" w:hAnsi="Arial"/>
          <w:sz w:val="17"/>
          <w:szCs w:val="17"/>
          <w:u w:val="single" w:color="auto"/>
          <w:color w:val="0000FF"/>
          <w:highlight w:val="lightGray"/>
        </w:rPr>
        <w:t>Term SOFR</w:t>
      </w:r>
      <w:r>
        <w:rPr>
          <w:rFonts w:ascii="Arial" w:cs="Arial" w:eastAsia="Arial" w:hAnsi="Arial"/>
          <w:sz w:val="17"/>
          <w:szCs w:val="17"/>
          <w:color w:val="auto"/>
        </w:rPr>
        <w:t xml:space="preserve"> Borrowing, such Borrowing shall be in an aggregate amount that is an integral multiple of the Borrowing Multiple and not less than the Borrowing Minimum;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w:t>
      </w:r>
      <w:r>
        <w:rPr>
          <w:rFonts w:ascii="Arial" w:cs="Arial" w:eastAsia="Arial" w:hAnsi="Arial"/>
          <w:sz w:val="17"/>
          <w:szCs w:val="17"/>
          <w:color w:val="FF0000"/>
          <w:strike w:val="1"/>
        </w:rPr>
        <w:t>Eurocurrency</w:t>
      </w:r>
      <w:r>
        <w:rPr>
          <w:rFonts w:ascii="Arial" w:cs="Arial" w:eastAsia="Arial" w:hAnsi="Arial"/>
          <w:sz w:val="17"/>
          <w:szCs w:val="17"/>
          <w:u w:val="single" w:color="auto"/>
          <w:color w:val="0000FF"/>
          <w:highlight w:val="lightGray"/>
        </w:rPr>
        <w:t>Term SOFR</w:t>
      </w:r>
      <w:r>
        <w:rPr>
          <w:rFonts w:ascii="Arial" w:cs="Arial" w:eastAsia="Arial" w:hAnsi="Arial"/>
          <w:sz w:val="17"/>
          <w:szCs w:val="17"/>
          <w:color w:val="auto"/>
        </w:rPr>
        <w:t xml:space="preserve"> Borrowing that results from a continuation of an outstanding </w:t>
      </w:r>
      <w:r>
        <w:rPr>
          <w:rFonts w:ascii="Arial" w:cs="Arial" w:eastAsia="Arial" w:hAnsi="Arial"/>
          <w:sz w:val="17"/>
          <w:szCs w:val="17"/>
          <w:color w:val="FF0000"/>
          <w:strike w:val="1"/>
        </w:rPr>
        <w:t>Eurocurrency</w:t>
      </w:r>
      <w:r>
        <w:rPr>
          <w:rFonts w:ascii="Arial" w:cs="Arial" w:eastAsia="Arial" w:hAnsi="Arial"/>
          <w:sz w:val="17"/>
          <w:szCs w:val="17"/>
          <w:u w:val="single" w:color="auto"/>
          <w:color w:val="0000FF"/>
          <w:highlight w:val="lightGray"/>
        </w:rPr>
        <w:t>Term SOFR</w:t>
      </w:r>
      <w:r>
        <w:rPr>
          <w:rFonts w:ascii="Arial" w:cs="Arial" w:eastAsia="Arial" w:hAnsi="Arial"/>
          <w:sz w:val="17"/>
          <w:szCs w:val="17"/>
          <w:color w:val="auto"/>
        </w:rPr>
        <w:t xml:space="preserve"> Borrowing may be in an aggregate amount that is equal to such outstanding Borrowing. At the time that each ABR Borrowing is made, such Borrowing shall be in an aggregate amount that is an integral multiple of the Borrowing Multiple and not less than the Borrowing Minimum. Borrowings of more than one Type and Class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at any time be more than a total of twelve (12) </w:t>
      </w:r>
      <w:r>
        <w:rPr>
          <w:rFonts w:ascii="Arial" w:cs="Arial" w:eastAsia="Arial" w:hAnsi="Arial"/>
          <w:sz w:val="17"/>
          <w:szCs w:val="17"/>
          <w:color w:val="FF0000"/>
          <w:strike w:val="1"/>
        </w:rPr>
        <w:t>Eurocurrency</w:t>
      </w:r>
      <w:r>
        <w:rPr>
          <w:rFonts w:ascii="Arial" w:cs="Arial" w:eastAsia="Arial" w:hAnsi="Arial"/>
          <w:sz w:val="17"/>
          <w:szCs w:val="17"/>
          <w:u w:val="single" w:color="auto"/>
          <w:color w:val="0000FF"/>
          <w:highlight w:val="lightGray"/>
        </w:rPr>
        <w:t>Term SOFR</w:t>
      </w:r>
      <w:r>
        <w:rPr>
          <w:rFonts w:ascii="Arial" w:cs="Arial" w:eastAsia="Arial" w:hAnsi="Arial"/>
          <w:sz w:val="17"/>
          <w:szCs w:val="17"/>
          <w:color w:val="auto"/>
        </w:rPr>
        <w:t xml:space="preserve"> Borrowings;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 additional three Borrowings in respect of each Class of Incremental Loans may be outstanding at the same time (or, in the case of either of the foregoing limits, such greater number as may be reasonably acceptable to the Administrative Agent).</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 xml:space="preserve">SECTION 2.03 Requests for Borrowings. To request a Revolving Loan Borrowing or Term Loan Borrowing, the Borrower shall notify the Administrative Agent of such request, which notice may be given by (A) telephone or (B) a Borrowing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telephone notice must be confirmed promptly by delivery to the Administrative Agent of a Borrowing Request. Each such notice must be received by the Administrative Agent (a)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-230505</wp:posOffset>
            </wp:positionV>
            <wp:extent cx="13373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 xml:space="preserve">the case of a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Borrowing, not later than 2:00 p.m., New York City time, three (3) </w:t>
      </w:r>
      <w:r>
        <w:rPr>
          <w:rFonts w:ascii="Arial" w:cs="Arial" w:eastAsia="Arial" w:hAnsi="Arial"/>
          <w:sz w:val="16"/>
          <w:szCs w:val="16"/>
          <w:u w:val="single" w:color="auto"/>
          <w:color w:val="0000FF"/>
          <w:highlight w:val="lightGray"/>
        </w:rPr>
        <w:t>U.S. Government Securities</w:t>
      </w:r>
      <w:r>
        <w:rPr>
          <w:rFonts w:ascii="Arial" w:cs="Arial" w:eastAsia="Arial" w:hAnsi="Arial"/>
          <w:sz w:val="16"/>
          <w:szCs w:val="16"/>
          <w:color w:val="auto"/>
        </w:rPr>
        <w:t xml:space="preserve"> Business Days before the date of the proposed Borrowing </w:t>
      </w:r>
      <w:r>
        <w:rPr>
          <w:rFonts w:ascii="Arial" w:cs="Arial" w:eastAsia="Arial" w:hAnsi="Arial"/>
          <w:sz w:val="16"/>
          <w:szCs w:val="16"/>
          <w:color w:val="FF0000"/>
          <w:strike w:val="1"/>
        </w:rPr>
        <w:t>(</w:t>
      </w:r>
      <w:r>
        <w:rPr>
          <w:rFonts w:ascii="Arial" w:cs="Arial" w:eastAsia="Arial" w:hAnsi="Arial"/>
          <w:sz w:val="16"/>
          <w:szCs w:val="16"/>
          <w:color w:val="auto"/>
        </w:rPr>
        <w:t>or</w:t>
      </w:r>
      <w:r>
        <w:rPr>
          <w:rFonts w:ascii="Arial" w:cs="Arial" w:eastAsia="Arial" w:hAnsi="Arial"/>
          <w:sz w:val="16"/>
          <w:szCs w:val="16"/>
          <w:color w:val="FF0000"/>
          <w:strike w:val="1"/>
        </w:rPr>
        <w:t>, in the case of any Eurocurrency Borrowing to be made on the Amendment No. 1 Effective Date, such</w:t>
      </w:r>
      <w:r>
        <w:rPr>
          <w:rFonts w:ascii="Arial" w:cs="Arial" w:eastAsia="Arial" w:hAnsi="Arial"/>
          <w:sz w:val="16"/>
          <w:szCs w:val="16"/>
          <w:color w:val="auto"/>
        </w:rPr>
        <w:t xml:space="preserve"> </w:t>
      </w:r>
      <w:r>
        <w:rPr>
          <w:rFonts w:ascii="Arial" w:cs="Arial" w:eastAsia="Arial" w:hAnsi="Arial"/>
          <w:sz w:val="16"/>
          <w:szCs w:val="16"/>
          <w:color w:val="FF0000"/>
          <w:strike w:val="1"/>
        </w:rPr>
        <w:t>shorter period of time as may be agreed to by the Administrative Agent) or</w:t>
      </w:r>
      <w:r>
        <w:rPr>
          <w:rFonts w:ascii="Arial" w:cs="Arial" w:eastAsia="Arial" w:hAnsi="Arial"/>
          <w:sz w:val="16"/>
          <w:szCs w:val="16"/>
          <w:color w:val="FF0000"/>
        </w:rPr>
        <w:t xml:space="preserve"> </w:t>
      </w:r>
      <w:r>
        <w:rPr>
          <w:rFonts w:ascii="Arial" w:cs="Arial" w:eastAsia="Arial" w:hAnsi="Arial"/>
          <w:sz w:val="16"/>
          <w:szCs w:val="16"/>
          <w:color w:val="000000"/>
        </w:rPr>
        <w:t>(b) in the case of an ABR Borrowing, not later than 11:00 a.m., New York City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time, on the date of the proposed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of an ABR Revolving Loan Borrowing to finance the reimbursement of an LC Disbursement as contemplated by </w:t>
      </w:r>
      <w:r>
        <w:rPr>
          <w:rFonts w:ascii="Arial" w:cs="Arial" w:eastAsia="Arial" w:hAnsi="Arial"/>
          <w:sz w:val="16"/>
          <w:szCs w:val="16"/>
          <w:u w:val="single" w:color="auto"/>
          <w:color w:val="auto"/>
        </w:rPr>
        <w:t>Section 2.05(f)</w:t>
      </w:r>
      <w:r>
        <w:rPr>
          <w:rFonts w:ascii="Arial" w:cs="Arial" w:eastAsia="Arial" w:hAnsi="Arial"/>
          <w:sz w:val="16"/>
          <w:szCs w:val="16"/>
          <w:color w:val="auto"/>
        </w:rPr>
        <w:t xml:space="preserve"> may be given no later than 2:00 p.m., New York City time, on the date of the proposed Borrowing. Each such Borrowing Request shall be irrevocable and shall be delivered by hand delivery, facsimile or other electronic transmission (or, if requested by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telephone, promptly confirmed in writing by hand delivery, facsimile or other electronic transmission) to the Administrative Agent and shall be signed by the Borrower. Each such Borrowing Request shall specify the following information:</w:t>
      </w:r>
    </w:p>
    <w:p>
      <w:pPr>
        <w:spacing w:after="0" w:line="161" w:lineRule="exact"/>
        <w:rPr>
          <w:sz w:val="20"/>
          <w:szCs w:val="20"/>
          <w:color w:val="auto"/>
        </w:rPr>
      </w:pPr>
    </w:p>
    <w:p>
      <w:pPr>
        <w:ind w:left="660" w:firstLine="903"/>
        <w:spacing w:after="0" w:line="246" w:lineRule="auto"/>
        <w:tabs>
          <w:tab w:leader="none" w:pos="1969" w:val="left"/>
        </w:tabs>
        <w:numPr>
          <w:ilvl w:val="0"/>
          <w:numId w:val="79"/>
        </w:numPr>
        <w:rPr>
          <w:rFonts w:ascii="Arial" w:cs="Arial" w:eastAsia="Arial" w:hAnsi="Arial"/>
          <w:sz w:val="18"/>
          <w:szCs w:val="18"/>
          <w:color w:val="010000"/>
        </w:rPr>
      </w:pPr>
      <w:r>
        <w:rPr>
          <w:rFonts w:ascii="Arial" w:cs="Arial" w:eastAsia="Arial" w:hAnsi="Arial"/>
          <w:sz w:val="18"/>
          <w:szCs w:val="18"/>
          <w:color w:val="auto"/>
        </w:rPr>
        <w:t>whether the requested Borrowing is to be a Term Loan Borrowing, a Revolving Loan Borrowing or a Borrowing of any other Class (specifying the Class thereof);</w:t>
      </w:r>
    </w:p>
    <w:p>
      <w:pPr>
        <w:spacing w:after="0" w:line="156" w:lineRule="exact"/>
        <w:rPr>
          <w:rFonts w:ascii="Arial" w:cs="Arial" w:eastAsia="Arial" w:hAnsi="Arial"/>
          <w:sz w:val="18"/>
          <w:szCs w:val="18"/>
          <w:color w:val="010000"/>
        </w:rPr>
      </w:pPr>
    </w:p>
    <w:p>
      <w:pPr>
        <w:ind w:left="1960" w:hanging="397"/>
        <w:spacing w:after="0"/>
        <w:tabs>
          <w:tab w:leader="none" w:pos="1960" w:val="left"/>
        </w:tabs>
        <w:numPr>
          <w:ilvl w:val="0"/>
          <w:numId w:val="79"/>
        </w:numPr>
        <w:rPr>
          <w:rFonts w:ascii="Arial" w:cs="Arial" w:eastAsia="Arial" w:hAnsi="Arial"/>
          <w:sz w:val="18"/>
          <w:szCs w:val="18"/>
          <w:color w:val="010000"/>
        </w:rPr>
      </w:pPr>
      <w:r>
        <w:rPr>
          <w:rFonts w:ascii="Arial" w:cs="Arial" w:eastAsia="Arial" w:hAnsi="Arial"/>
          <w:sz w:val="18"/>
          <w:szCs w:val="18"/>
          <w:color w:val="auto"/>
        </w:rPr>
        <w:t>the aggregate amount of such Borrowing;</w:t>
      </w:r>
    </w:p>
    <w:p>
      <w:pPr>
        <w:spacing w:after="0" w:line="184" w:lineRule="exact"/>
        <w:rPr>
          <w:rFonts w:ascii="Arial" w:cs="Arial" w:eastAsia="Arial" w:hAnsi="Arial"/>
          <w:sz w:val="18"/>
          <w:szCs w:val="18"/>
          <w:color w:val="010000"/>
        </w:rPr>
      </w:pPr>
    </w:p>
    <w:p>
      <w:pPr>
        <w:ind w:left="2020" w:hanging="457"/>
        <w:spacing w:after="0"/>
        <w:tabs>
          <w:tab w:leader="none" w:pos="2020" w:val="left"/>
        </w:tabs>
        <w:numPr>
          <w:ilvl w:val="0"/>
          <w:numId w:val="79"/>
        </w:numPr>
        <w:rPr>
          <w:rFonts w:ascii="Arial" w:cs="Arial" w:eastAsia="Arial" w:hAnsi="Arial"/>
          <w:sz w:val="18"/>
          <w:szCs w:val="18"/>
          <w:color w:val="010000"/>
        </w:rPr>
      </w:pPr>
      <w:r>
        <w:rPr>
          <w:rFonts w:ascii="Arial" w:cs="Arial" w:eastAsia="Arial" w:hAnsi="Arial"/>
          <w:sz w:val="18"/>
          <w:szCs w:val="18"/>
          <w:color w:val="auto"/>
        </w:rPr>
        <w:t>the date of such Borrowing, which shall be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65</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63" w:lineRule="exact"/>
        <w:rPr>
          <w:sz w:val="20"/>
          <w:szCs w:val="20"/>
          <w:color w:val="auto"/>
        </w:rPr>
      </w:pPr>
    </w:p>
    <w:p>
      <w:pPr>
        <w:ind w:left="2000" w:hanging="437"/>
        <w:spacing w:after="0"/>
        <w:tabs>
          <w:tab w:leader="none" w:pos="2000" w:val="left"/>
        </w:tabs>
        <w:numPr>
          <w:ilvl w:val="0"/>
          <w:numId w:val="80"/>
        </w:numPr>
        <w:rPr>
          <w:rFonts w:ascii="Arial" w:cs="Arial" w:eastAsia="Arial" w:hAnsi="Arial"/>
          <w:sz w:val="18"/>
          <w:szCs w:val="18"/>
          <w:color w:val="010000"/>
        </w:rPr>
      </w:pPr>
      <w:r>
        <w:rPr>
          <w:rFonts w:ascii="Arial" w:cs="Arial" w:eastAsia="Arial" w:hAnsi="Arial"/>
          <w:sz w:val="18"/>
          <w:szCs w:val="18"/>
          <w:color w:val="auto"/>
        </w:rPr>
        <w:t xml:space="preserve">whether such Borrowing is to be an ABR Borrowing or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SOFR</w:t>
      </w:r>
      <w:r>
        <w:rPr>
          <w:rFonts w:ascii="Arial" w:cs="Arial" w:eastAsia="Arial" w:hAnsi="Arial"/>
          <w:sz w:val="18"/>
          <w:szCs w:val="18"/>
          <w:color w:val="auto"/>
        </w:rPr>
        <w:t xml:space="preserve"> Borrowing;</w:t>
      </w:r>
    </w:p>
    <w:p>
      <w:pPr>
        <w:spacing w:after="0" w:line="184" w:lineRule="exact"/>
        <w:rPr>
          <w:rFonts w:ascii="Arial" w:cs="Arial" w:eastAsia="Arial" w:hAnsi="Arial"/>
          <w:sz w:val="18"/>
          <w:szCs w:val="18"/>
          <w:color w:val="010000"/>
        </w:rPr>
      </w:pPr>
    </w:p>
    <w:p>
      <w:pPr>
        <w:ind w:left="660" w:firstLine="903"/>
        <w:spacing w:after="0" w:line="235" w:lineRule="auto"/>
        <w:tabs>
          <w:tab w:leader="none" w:pos="1978" w:val="left"/>
        </w:tabs>
        <w:numPr>
          <w:ilvl w:val="0"/>
          <w:numId w:val="80"/>
        </w:numPr>
        <w:rPr>
          <w:rFonts w:ascii="Arial" w:cs="Arial" w:eastAsia="Arial" w:hAnsi="Arial"/>
          <w:sz w:val="18"/>
          <w:szCs w:val="18"/>
          <w:color w:val="010000"/>
        </w:rPr>
      </w:pPr>
      <w:r>
        <w:rPr>
          <w:rFonts w:ascii="Arial" w:cs="Arial" w:eastAsia="Arial" w:hAnsi="Arial"/>
          <w:sz w:val="18"/>
          <w:szCs w:val="18"/>
          <w:color w:val="auto"/>
        </w:rPr>
        <w:t xml:space="preserve">in the case of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SOFR</w:t>
      </w:r>
      <w:r>
        <w:rPr>
          <w:rFonts w:ascii="Arial" w:cs="Arial" w:eastAsia="Arial" w:hAnsi="Arial"/>
          <w:sz w:val="18"/>
          <w:szCs w:val="18"/>
          <w:color w:val="auto"/>
        </w:rPr>
        <w:t xml:space="preserve"> Borrowing, the initial Interest Period to be applicable thereto, which shall be a period contemplated by the definition of the term “Interest Period”;</w:t>
      </w:r>
    </w:p>
    <w:p>
      <w:pPr>
        <w:spacing w:after="0" w:line="175" w:lineRule="exact"/>
        <w:rPr>
          <w:rFonts w:ascii="Arial" w:cs="Arial" w:eastAsia="Arial" w:hAnsi="Arial"/>
          <w:sz w:val="18"/>
          <w:szCs w:val="18"/>
          <w:color w:val="010000"/>
        </w:rPr>
      </w:pPr>
    </w:p>
    <w:p>
      <w:pPr>
        <w:jc w:val="both"/>
        <w:ind w:left="660" w:firstLine="903"/>
        <w:spacing w:after="0" w:line="224" w:lineRule="auto"/>
        <w:tabs>
          <w:tab w:leader="none" w:pos="2168" w:val="left"/>
        </w:tabs>
        <w:numPr>
          <w:ilvl w:val="0"/>
          <w:numId w:val="80"/>
        </w:numPr>
        <w:rPr>
          <w:rFonts w:ascii="Arial" w:cs="Arial" w:eastAsia="Arial" w:hAnsi="Arial"/>
          <w:sz w:val="18"/>
          <w:szCs w:val="18"/>
          <w:color w:val="010000"/>
        </w:rPr>
      </w:pPr>
      <w:r>
        <w:rPr>
          <w:rFonts w:ascii="Arial" w:cs="Arial" w:eastAsia="Arial" w:hAnsi="Arial"/>
          <w:sz w:val="18"/>
          <w:szCs w:val="18"/>
          <w:color w:val="auto"/>
        </w:rPr>
        <w:t xml:space="preserve">the location and number of the Borrower’s account to which funds are to be disbursed, which shall comply with the requirements of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or, in the case of any ABR Revolving Loan Borrowing requested to finance the reimbursement of an LC Disbursement as provided in </w:t>
      </w:r>
      <w:r>
        <w:rPr>
          <w:rFonts w:ascii="Arial" w:cs="Arial" w:eastAsia="Arial" w:hAnsi="Arial"/>
          <w:sz w:val="18"/>
          <w:szCs w:val="18"/>
          <w:u w:val="single" w:color="auto"/>
          <w:color w:val="auto"/>
        </w:rPr>
        <w:t>Section 2.05(f)</w:t>
      </w:r>
      <w:r>
        <w:rPr>
          <w:rFonts w:ascii="Arial" w:cs="Arial" w:eastAsia="Arial" w:hAnsi="Arial"/>
          <w:sz w:val="18"/>
          <w:szCs w:val="18"/>
          <w:color w:val="auto"/>
        </w:rPr>
        <w:t>, the identity of the Issuing Bank that made such LC Disbursement; and</w:t>
      </w:r>
    </w:p>
    <w:p>
      <w:pPr>
        <w:spacing w:after="0" w:line="176" w:lineRule="exact"/>
        <w:rPr>
          <w:rFonts w:ascii="Arial" w:cs="Arial" w:eastAsia="Arial" w:hAnsi="Arial"/>
          <w:sz w:val="18"/>
          <w:szCs w:val="18"/>
          <w:color w:val="010000"/>
        </w:rPr>
      </w:pPr>
    </w:p>
    <w:p>
      <w:pPr>
        <w:ind w:left="2060" w:hanging="497"/>
        <w:spacing w:after="0"/>
        <w:tabs>
          <w:tab w:leader="none" w:pos="2060" w:val="left"/>
        </w:tabs>
        <w:numPr>
          <w:ilvl w:val="0"/>
          <w:numId w:val="80"/>
        </w:numPr>
        <w:rPr>
          <w:rFonts w:ascii="Arial" w:cs="Arial" w:eastAsia="Arial" w:hAnsi="Arial"/>
          <w:sz w:val="18"/>
          <w:szCs w:val="18"/>
          <w:color w:val="010000"/>
        </w:rPr>
      </w:pPr>
      <w:r>
        <w:rPr>
          <w:rFonts w:ascii="Arial" w:cs="Arial" w:eastAsia="Arial" w:hAnsi="Arial"/>
          <w:sz w:val="18"/>
          <w:szCs w:val="18"/>
          <w:color w:val="auto"/>
        </w:rPr>
        <w:t xml:space="preserve">that, as of the date of such Borrowing, the conditions set forth in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4.02(b)</w:t>
      </w:r>
      <w:r>
        <w:rPr>
          <w:rFonts w:ascii="Arial" w:cs="Arial" w:eastAsia="Arial" w:hAnsi="Arial"/>
          <w:sz w:val="18"/>
          <w:szCs w:val="18"/>
          <w:color w:val="auto"/>
        </w:rPr>
        <w:t xml:space="preserve"> are satisfied.</w:t>
      </w:r>
    </w:p>
    <w:p>
      <w:pPr>
        <w:spacing w:after="0" w:line="185"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 xml:space="preserve">If no election as to the Type of Borrowing is specified as to any Borrowing, then the requested Borrowing shall be an ABR Borrowing. If no Interest Period is specified with respect to any requested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Borrowing, then the Borrower shall be deemed to have selected an</w:t>
      </w:r>
    </w:p>
    <w:p>
      <w:pPr>
        <w:spacing w:after="0" w:line="268" w:lineRule="auto"/>
        <w:rPr>
          <w:sz w:val="20"/>
          <w:szCs w:val="20"/>
          <w:color w:val="auto"/>
        </w:rPr>
      </w:pPr>
      <w:r>
        <w:rPr>
          <w:rFonts w:ascii="Arial" w:cs="Arial" w:eastAsia="Arial" w:hAnsi="Arial"/>
          <w:sz w:val="16"/>
          <w:szCs w:val="16"/>
          <w:color w:val="auto"/>
        </w:rPr>
        <w:t>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w:t>
      </w:r>
    </w:p>
    <w:p>
      <w:pPr>
        <w:spacing w:after="0" w:line="14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6153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615315" cy="8255"/>
                    </a:xfrm>
                    <a:prstGeom prst="rect">
                      <a:avLst/>
                    </a:prstGeom>
                    <a:noFill/>
                  </pic:spPr>
                </pic:pic>
              </a:graphicData>
            </a:graphic>
          </wp:anchor>
        </w:drawing>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color w:val="auto"/>
        </w:rPr>
        <w:t>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8693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65" w:lineRule="exact"/>
        <w:rPr>
          <w:sz w:val="20"/>
          <w:szCs w:val="20"/>
          <w:color w:val="auto"/>
        </w:rPr>
      </w:pPr>
    </w:p>
    <w:p>
      <w:pPr>
        <w:jc w:val="both"/>
        <w:ind w:firstLine="656"/>
        <w:spacing w:after="0" w:line="227" w:lineRule="auto"/>
        <w:tabs>
          <w:tab w:leader="none" w:pos="1138"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the terms and conditions set forth herein (including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each Issuing Bank agrees, in reliance upon the agreement of the Revolving Lenders set forth in this </w:t>
      </w:r>
      <w:r>
        <w:rPr>
          <w:rFonts w:ascii="Arial" w:cs="Arial" w:eastAsia="Arial" w:hAnsi="Arial"/>
          <w:sz w:val="17"/>
          <w:szCs w:val="17"/>
          <w:u w:val="single" w:color="auto"/>
          <w:color w:val="auto"/>
        </w:rPr>
        <w:t>Section 2.05</w:t>
      </w:r>
      <w:r>
        <w:rPr>
          <w:rFonts w:ascii="Arial" w:cs="Arial" w:eastAsia="Arial" w:hAnsi="Arial"/>
          <w:sz w:val="17"/>
          <w:szCs w:val="17"/>
          <w:color w:val="auto"/>
        </w:rPr>
        <w:t>, to issue Letters of Credit denominated in dollars or any Alternative Currency for the Borrower’s own account (or for the account of any Subsidiary so long as the Borrower and such Subsidiary are co-applicants in respect of such Letter of Credit), in a form reasonably acceptable to the Administrative Agent and the applicable Issuing Bank, which shall reflect the standard policies and procedures of such Issuing Bank, at any time and from time to time during the period from the Effective Date until the Letter of Credit Expiration Date.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 Subject to the terms and conditions hereof, the Borrower’s ability to obtain Letters of Credit shall be fully revolving, and accordingly the Borrower may, during the foregoing period, obtain Letters of Credit to replace Letters of Credit that have expired (without any drawing having been made thereunder that has not been rejected or honored) or that have been drawn upon and reimbursed.</w:t>
      </w:r>
    </w:p>
    <w:p>
      <w:pPr>
        <w:spacing w:after="0" w:line="162" w:lineRule="exact"/>
        <w:rPr>
          <w:rFonts w:ascii="Arial" w:cs="Arial" w:eastAsia="Arial" w:hAnsi="Arial"/>
          <w:sz w:val="17"/>
          <w:szCs w:val="17"/>
          <w:color w:val="auto"/>
        </w:rPr>
      </w:pPr>
    </w:p>
    <w:p>
      <w:pPr>
        <w:jc w:val="both"/>
        <w:ind w:firstLine="656"/>
        <w:spacing w:after="0" w:line="225" w:lineRule="auto"/>
        <w:tabs>
          <w:tab w:leader="none" w:pos="1058"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Issuance, Amendment, Renewal, Extension; Certain Conditions</w:t>
      </w:r>
      <w:r>
        <w:rPr>
          <w:rFonts w:ascii="Arial" w:cs="Arial" w:eastAsia="Arial" w:hAnsi="Arial"/>
          <w:sz w:val="17"/>
          <w:szCs w:val="17"/>
          <w:color w:val="auto"/>
        </w:rPr>
        <w:t xml:space="preserve">.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Administrative Agent (at least three (3) Business Days before the requested date of issuance, amendment, renewal or extension or such shorter period as the applicable Issuing Bank and the Administrative Agent may agree)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(d) of this </w:t>
      </w:r>
      <w:r>
        <w:rPr>
          <w:rFonts w:ascii="Arial" w:cs="Arial" w:eastAsia="Arial" w:hAnsi="Arial"/>
          <w:sz w:val="17"/>
          <w:szCs w:val="17"/>
          <w:u w:val="single" w:color="auto"/>
          <w:color w:val="auto"/>
        </w:rPr>
        <w:t>Section 2.05</w:t>
      </w:r>
      <w:r>
        <w:rPr>
          <w:rFonts w:ascii="Arial" w:cs="Arial" w:eastAsia="Arial" w:hAnsi="Arial"/>
          <w:sz w:val="17"/>
          <w:szCs w:val="17"/>
          <w:color w:val="auto"/>
        </w:rPr>
        <w:t>), the currency and amount of such Letter of Credit, the name and address of the beneficiary thereof and such other information as shall be necessary to prepare, amend, renew or extend such Letter of Credit. If requested by the applicable Issuing Bank, the Borrower also shall submit a letter of credit or bank guarantee application on such Issuing Bank’s standard form in connection with any request for a Letter of Credit. A Letter of Credit shall be issued, amended, renewed or extended by an Issuing Bank only if (and upon issuance, amendment, renewal or extension of any Letter of Credit the Borrower shall be deemed to represent and warrant that), after giving effect to such issuance, amendment, renewal or extension, (i) the aggregate Revolving Exposures shall not exceed the aggregate Revolving Commitments, (ii) the aggregate LC Exposure shall not exceed the aggregate Letter of Credit Commitments and (iii) the LC Exposure of such Issuing Bank shall not exceed the Letter of Credit Commitments of such Issuing Bank. No Issuing Bank shall be under any obligation to issue (or amend) any Letter of Credit if (i) any order, judgment or decree of any Governmental Authority or arbitrator shall enjoin or restrain such Issuing Bank from issuing (or amending) the Letter of Credit, or any law applicable to such Issuing Bank any directive (whether or not having the force of law) from any Governmental Authority with jurisdiction over such Issuing Bank shall prohibit the issuance (or amendment)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66</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letters of credit generally or the Letter of Credit in particular or shall impose upon such Issuing Bank with respect to the Letter of Credit any restriction, reserve or capital requirement (for which such Issuing Bank is not otherwise compensated hereunder) not in effect on the Effective Date, or shall impose upon such Issuing Bank any unreimbursed loss, cost or expense which was not applicable on the Effective Date and which such Issuing Bank in good faith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deems material to it, (ii) except as otherwise agreed by such Issuing Bank, the Letter of Credit is in an initial stated amount less than $100,000 or (iii) any Lender is at that time a Defaulting Lender, if after giving effect to </w:t>
      </w:r>
      <w:r>
        <w:rPr>
          <w:rFonts w:ascii="Arial" w:cs="Arial" w:eastAsia="Arial" w:hAnsi="Arial"/>
          <w:sz w:val="16"/>
          <w:szCs w:val="16"/>
          <w:u w:val="single" w:color="auto"/>
          <w:color w:val="auto"/>
        </w:rPr>
        <w:t>Section 2.22(a)(iv)</w:t>
      </w:r>
      <w:r>
        <w:rPr>
          <w:rFonts w:ascii="Arial" w:cs="Arial" w:eastAsia="Arial" w:hAnsi="Arial"/>
          <w:sz w:val="16"/>
          <w:szCs w:val="16"/>
          <w:color w:val="auto"/>
        </w:rPr>
        <w:t>, any Defaulting Lender Fronting Exposure remains outstanding, unless such Issuing Bank has entered into arrangements, including the delivery of Cash Collateral, reasonably satisfactory to such Issuing Bank with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Borrower or such Lender to eliminate such Issuing Bank’s Defaulting Lender Fronting Exposure arising from either the Letter of Credit then proposed to be issued (or amended) or such Letter of Credit and all other LC Exposure as to which such Issuing Bank has Defaulting Lender Fronting Exposure. Notwithstanding the foregoing, no Issuing Bank shall be required to issue a commercial or trade Letter of Credit unless reasonably agreed between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Issuing Bank and the Borrower.</w:t>
      </w:r>
    </w:p>
    <w:p>
      <w:pPr>
        <w:spacing w:after="0" w:line="169" w:lineRule="exact"/>
        <w:rPr>
          <w:sz w:val="20"/>
          <w:szCs w:val="20"/>
          <w:color w:val="auto"/>
        </w:rPr>
      </w:pPr>
    </w:p>
    <w:p>
      <w:pPr>
        <w:jc w:val="both"/>
        <w:ind w:firstLine="656"/>
        <w:spacing w:after="0" w:line="229" w:lineRule="auto"/>
        <w:tabs>
          <w:tab w:leader="none" w:pos="103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Each Issuing Bank agrees that it shall not permit any issuance, amendment, renewal or extension of a Letter of Credit to occur unless it shall have given to the Administrative Agent any written notice thereof required under paragraph (m) of this Section and each Issuing Bank hereby agrees to give such notice.</w:t>
      </w:r>
    </w:p>
    <w:p>
      <w:pPr>
        <w:spacing w:after="0" w:line="163" w:lineRule="exact"/>
        <w:rPr>
          <w:rFonts w:ascii="Arial" w:cs="Arial" w:eastAsia="Arial" w:hAnsi="Arial"/>
          <w:sz w:val="18"/>
          <w:szCs w:val="18"/>
          <w:color w:val="auto"/>
        </w:rPr>
      </w:pPr>
    </w:p>
    <w:p>
      <w:pPr>
        <w:jc w:val="both"/>
        <w:ind w:firstLine="656"/>
        <w:spacing w:after="0" w:line="228" w:lineRule="auto"/>
        <w:tabs>
          <w:tab w:leader="none" w:pos="1076"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Unless cash collateralized or backstopped pursuant to arrangements reasonably acceptable to the applicable Issuing Bank, each Letter of Credit shall expire at or prior to the close of business on the earlier of (i) the date that is one year after the date of the issuance of such Letter of Credit (or, in the case of any renewal or extension thereof, one year after such renewal or extension) and (ii) the Letter of Credit Expiration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expiry date is not a Business Day, such Letter of Credit shall expire at or prior to close of business on the next succeeding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Letter of Credit may, upon the request of the Borrower, include a provision whereby such Letter of Credit shall be extended automatically for additional consecutive periods of one year or less (but not beyond the Letter of Credit Expiration Date) unless the applicable Issuing Bank notifies the beneficiary thereof within the time period specified in such Letter of Credit or, if no such time period is specified, at least 30 days prior to the then-applicable expiration date, that such Letter of Credit will not be renewed.</w:t>
      </w:r>
    </w:p>
    <w:p>
      <w:pPr>
        <w:spacing w:after="0" w:line="174" w:lineRule="exact"/>
        <w:rPr>
          <w:rFonts w:ascii="Arial" w:cs="Arial" w:eastAsia="Arial" w:hAnsi="Arial"/>
          <w:sz w:val="17"/>
          <w:szCs w:val="17"/>
          <w:color w:val="auto"/>
        </w:rPr>
      </w:pPr>
    </w:p>
    <w:p>
      <w:pPr>
        <w:ind w:left="1040" w:hanging="384"/>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660" w:firstLine="903"/>
        <w:spacing w:after="0"/>
        <w:tabs>
          <w:tab w:leader="none" w:pos="1995" w:val="left"/>
        </w:tabs>
        <w:numPr>
          <w:ilvl w:val="1"/>
          <w:numId w:val="82"/>
        </w:numPr>
        <w:rPr>
          <w:rFonts w:ascii="Arial" w:cs="Arial" w:eastAsia="Arial" w:hAnsi="Arial"/>
          <w:sz w:val="16"/>
          <w:szCs w:val="16"/>
          <w:color w:val="010000"/>
        </w:rPr>
      </w:pPr>
      <w:r>
        <w:rPr>
          <w:rFonts w:ascii="Arial" w:cs="Arial" w:eastAsia="Arial" w:hAnsi="Arial"/>
          <w:sz w:val="16"/>
          <w:szCs w:val="16"/>
          <w:color w:val="auto"/>
        </w:rPr>
        <w:t xml:space="preserve">By the issuance of a Letter of Credit or an amendment to a Letter of Credit increasing the amount thereof, and without any further action on the part of the Issuing Bank that is the issuer thereof or the Lenders, such Issuing Bank hereby grants to each Revolving Lender, and each Revolving Lender hereby irrevocably and unconditionally acquires from such Issuing Bank without recourse or warranty (regardless of whether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shall have been satisfied),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such Issuing Bank, such Revolving Lender’s Applicable Percentage of each LC Disbursement made by such Issuing Bank and not reimbursed by the Borrower on the date due as provided in paragraph (f) of this </w:t>
      </w:r>
      <w:r>
        <w:rPr>
          <w:rFonts w:ascii="Arial" w:cs="Arial" w:eastAsia="Arial" w:hAnsi="Arial"/>
          <w:sz w:val="16"/>
          <w:szCs w:val="16"/>
          <w:u w:val="single" w:color="auto"/>
          <w:color w:val="auto"/>
        </w:rPr>
        <w:t>Section 2.05</w:t>
      </w:r>
      <w:r>
        <w:rPr>
          <w:rFonts w:ascii="Arial" w:cs="Arial" w:eastAsia="Arial" w:hAnsi="Arial"/>
          <w:sz w:val="16"/>
          <w:szCs w:val="16"/>
          <w:color w:val="auto"/>
        </w:rPr>
        <w:t>, or of any reimbursement payment required to be refunded to 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any reduction or termination of the Revolving Commitments, and that each such payment shall be made without any offset, abatement, withholding or reduction whatsoever.</w:t>
      </w:r>
    </w:p>
    <w:p>
      <w:pPr>
        <w:spacing w:after="0" w:line="168" w:lineRule="exact"/>
        <w:rPr>
          <w:rFonts w:ascii="Arial" w:cs="Arial" w:eastAsia="Arial" w:hAnsi="Arial"/>
          <w:sz w:val="16"/>
          <w:szCs w:val="16"/>
          <w:color w:val="010000"/>
        </w:rPr>
      </w:pPr>
    </w:p>
    <w:p>
      <w:pPr>
        <w:jc w:val="both"/>
        <w:ind w:left="660" w:firstLine="903"/>
        <w:spacing w:after="0" w:line="219" w:lineRule="auto"/>
        <w:tabs>
          <w:tab w:leader="none" w:pos="1986" w:val="left"/>
        </w:tabs>
        <w:numPr>
          <w:ilvl w:val="1"/>
          <w:numId w:val="82"/>
        </w:numPr>
        <w:rPr>
          <w:rFonts w:ascii="Arial" w:cs="Arial" w:eastAsia="Arial" w:hAnsi="Arial"/>
          <w:sz w:val="18"/>
          <w:szCs w:val="18"/>
          <w:color w:val="010000"/>
        </w:rPr>
      </w:pPr>
      <w:r>
        <w:rPr>
          <w:rFonts w:ascii="Arial" w:cs="Arial" w:eastAsia="Arial" w:hAnsi="Arial"/>
          <w:sz w:val="18"/>
          <w:szCs w:val="18"/>
          <w:color w:val="auto"/>
        </w:rPr>
        <w:t xml:space="preserve">At any time after an Issuing Bank has made a payment under any Letter of Credit and has received from any Revolving Lender such Lender’s Applicable Percentage of the applicable LC Disbursement in respect of such payment in accordance with </w:t>
      </w:r>
      <w:r>
        <w:rPr>
          <w:rFonts w:ascii="Arial" w:cs="Arial" w:eastAsia="Arial" w:hAnsi="Arial"/>
          <w:sz w:val="18"/>
          <w:szCs w:val="18"/>
          <w:u w:val="single" w:color="auto"/>
          <w:color w:val="auto"/>
        </w:rPr>
        <w:t>Section 2.05(e)(i)</w:t>
      </w:r>
      <w:r>
        <w:rPr>
          <w:rFonts w:ascii="Arial" w:cs="Arial" w:eastAsia="Arial" w:hAnsi="Arial"/>
          <w:sz w:val="18"/>
          <w:szCs w:val="18"/>
          <w:color w:val="auto"/>
        </w:rPr>
        <w:t>, if the Administrative Agent receives for the account of such Issuing Bank any payment in respect of the related unreimbursed amount of the applicable LC Disbursement or interest thereon (whether directly from the Borrower or otherwise, including proceeds of Cash Collateral applied thereto by the Administrative Agent), the Administrative Agent will distribute to such Lender its Applicable Percentage thereof in the same funds as those received by the Administrative Agent.</w:t>
      </w:r>
    </w:p>
    <w:p>
      <w:pPr>
        <w:spacing w:after="0" w:line="162" w:lineRule="exact"/>
        <w:rPr>
          <w:rFonts w:ascii="Arial" w:cs="Arial" w:eastAsia="Arial" w:hAnsi="Arial"/>
          <w:sz w:val="18"/>
          <w:szCs w:val="18"/>
          <w:color w:val="010000"/>
        </w:rPr>
      </w:pPr>
    </w:p>
    <w:p>
      <w:pPr>
        <w:ind w:left="2020" w:hanging="457"/>
        <w:spacing w:after="0"/>
        <w:tabs>
          <w:tab w:leader="none" w:pos="2020" w:val="left"/>
        </w:tabs>
        <w:numPr>
          <w:ilvl w:val="1"/>
          <w:numId w:val="82"/>
        </w:numPr>
        <w:rPr>
          <w:rFonts w:ascii="Arial" w:cs="Arial" w:eastAsia="Arial" w:hAnsi="Arial"/>
          <w:sz w:val="16"/>
          <w:szCs w:val="16"/>
          <w:color w:val="010000"/>
        </w:rPr>
      </w:pPr>
      <w:r>
        <w:rPr>
          <w:rFonts w:ascii="Arial" w:cs="Arial" w:eastAsia="Arial" w:hAnsi="Arial"/>
          <w:sz w:val="16"/>
          <w:szCs w:val="16"/>
          <w:color w:val="auto"/>
        </w:rPr>
        <w:t xml:space="preserve">If any payment received by the Administrative Agent for the account of the applicable Issuing Bank pursuant to </w:t>
      </w:r>
      <w:r>
        <w:rPr>
          <w:rFonts w:ascii="Arial" w:cs="Arial" w:eastAsia="Arial" w:hAnsi="Arial"/>
          <w:sz w:val="16"/>
          <w:szCs w:val="16"/>
          <w:u w:val="single" w:color="auto"/>
          <w:color w:val="auto"/>
        </w:rPr>
        <w:t>Section 2.05(e)</w:t>
      </w:r>
    </w:p>
    <w:p>
      <w:pPr>
        <w:spacing w:after="0" w:line="7" w:lineRule="exact"/>
        <w:rPr>
          <w:rFonts w:ascii="Arial" w:cs="Arial" w:eastAsia="Arial" w:hAnsi="Arial"/>
          <w:sz w:val="16"/>
          <w:szCs w:val="16"/>
          <w:color w:val="010000"/>
        </w:rPr>
      </w:pPr>
    </w:p>
    <w:p>
      <w:pPr>
        <w:ind w:left="660" w:hanging="4"/>
        <w:spacing w:after="0" w:line="255" w:lineRule="auto"/>
        <w:tabs>
          <w:tab w:leader="none" w:pos="888" w:val="left"/>
        </w:tabs>
        <w:numPr>
          <w:ilvl w:val="0"/>
          <w:numId w:val="83"/>
        </w:numPr>
        <w:rPr>
          <w:rFonts w:ascii="Arial" w:cs="Arial" w:eastAsia="Arial" w:hAnsi="Arial"/>
          <w:sz w:val="17"/>
          <w:szCs w:val="17"/>
          <w:u w:val="single" w:color="auto"/>
          <w:color w:val="auto"/>
        </w:rPr>
      </w:pPr>
      <w:r>
        <w:rPr>
          <w:rFonts w:ascii="Arial" w:cs="Arial" w:eastAsia="Arial" w:hAnsi="Arial"/>
          <w:sz w:val="17"/>
          <w:szCs w:val="17"/>
          <w:color w:val="auto"/>
        </w:rPr>
        <w:t xml:space="preserve">is required to be returned under any of the circumstances described in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(including pursuant to any settlement entered into by the Issuing Bank in its discretion), each Revolving Lender shall pay to the Administrative Agent for the account of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67</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63"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color w:val="auto"/>
        </w:rPr>
        <w:t>Issuing Bank its Applicable Percentage thereof on demand of the Administrative Agent, plus interest thereon from the date of such demand to the date such amount is returned by such Lender, at a rate per annum equal to the Federal Funds Effective Rate from time to time in effect. The obligations of the Lenders under this clause shall survive the payment in full of the Obligations and the termination of this Agreement.</w:t>
      </w:r>
    </w:p>
    <w:p>
      <w:pPr>
        <w:spacing w:after="0" w:line="160" w:lineRule="exact"/>
        <w:rPr>
          <w:sz w:val="20"/>
          <w:szCs w:val="20"/>
          <w:color w:val="auto"/>
        </w:rPr>
      </w:pPr>
    </w:p>
    <w:p>
      <w:pPr>
        <w:jc w:val="both"/>
        <w:ind w:firstLine="656"/>
        <w:spacing w:after="0"/>
        <w:tabs>
          <w:tab w:leader="none" w:pos="1033"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an Issuing Bank shall make any LC Disbursement in respect of a Letter of Credit, the Borrower shall reimburse such LC Disbursement by paying to the Issuing Bank through the Administrative Agent, with notice of such payment given to the Issuing Bank, an amount equal to such LC Disbursement not later than 4:00 p.m., New York City time, on the Business Day immediately following the day that the Borrower receives notice of such LC Disbursement;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LC Disbursement is not less than the Borrowing Minimum, the Borrower may, subject to the conditions to borrowing set forth herein, request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that such payment be financed with an ABR Revolving Loan Borrowing in an equivalent amount and, to the extent so financed, the Borrower’s obligation to make such payment shall be discharged and replaced by the resulting ABR Revolving Loan Borrowing. In the case of a Letter of Credit denominated in an Alternative Currency, the Borrower shall reimburse the Issuing Bank through the Administrative Agent in such Alternative Currency, unless (A) the Issuing Bank (at its option) shall have specified in such notice that it will require reimbursement in dollars, or (B) in the absence of any such requirement for reimbursement in dollars, the Borrower shall have notified the Issuing Bank promptly following receipt of the notice of the LC Disbursement that the Borrower will reimburse the Issuing Bank in dollars. In the case of any such reimbursement in dollars of a LC Disbursement under a Letter of Credit denominated in an Alternative Currency, the Issuing Bank shall notify the Borrower of the Dollar Equivalent of the amount of the LC Disbursement promptly following the determination thereof. In the event that (A) a LC Disbursement denominated in an Alternative Currency is to be reimbursed in dollars pursuant to the second sentence in this </w:t>
      </w:r>
      <w:r>
        <w:rPr>
          <w:rFonts w:ascii="Arial" w:cs="Arial" w:eastAsia="Arial" w:hAnsi="Arial"/>
          <w:sz w:val="16"/>
          <w:szCs w:val="16"/>
          <w:u w:val="single" w:color="auto"/>
          <w:color w:val="auto"/>
        </w:rPr>
        <w:t>Section 2.05(f)</w:t>
      </w:r>
      <w:r>
        <w:rPr>
          <w:rFonts w:ascii="Arial" w:cs="Arial" w:eastAsia="Arial" w:hAnsi="Arial"/>
          <w:sz w:val="16"/>
          <w:szCs w:val="16"/>
          <w:color w:val="auto"/>
        </w:rPr>
        <w:t xml:space="preserve"> and (B) the dollar amount paid by the Borrower, whether on or after the date of the LC Disbursement, shall not be adequate on the date of that payment to purchase in accordance with normal banking procedures a sum denominated in the Alternative Currency equal to the LC Disbursement, the Borrower agrees, as a separate and independent obligation, to indemnify the Issuing Bank for the loss resulting from its inability on that date to purchase the Alternative Currency in the full amount of the LC Disbursement. If the Borrower fails to make such payment when due, the Administrative Agent shall notify each Revolving Lender of the applicable LC Disbursement, the payment then due from the Borrower in respect thereof and such Revolving Lender’s Applicable Percentage thereof. Promptly following receipt of such notice, each Revolving Lender shall pay to the Administrative Agent in dollars its Applicable Percentage of the payment then due from the Borrower, and in the same manner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apply, mutatis mutandis, to the payment obligations of the Revolving Lenders pursuant to this paragraph), and the Administrative Agent shall promptly remit to the applicable Issuing Bank the amounts so received by it from the Revolving Lenders. Promptly following receipt by the Administrative Agent of any payment from or on behalf of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 Any payment made by a Revolving Lender pursuant to this paragraph to reimburse any Issuing Bank for any LC Disbursement (other than the funding of ABR Revolving Loans as contemplated above) shall not constitute a Loan and shall not relieve the Borrower of its obligation to reimburse such LC Disbursement.</w:t>
      </w:r>
    </w:p>
    <w:p>
      <w:pPr>
        <w:spacing w:after="0" w:line="292" w:lineRule="exact"/>
        <w:rPr>
          <w:rFonts w:ascii="Arial" w:cs="Arial" w:eastAsia="Arial" w:hAnsi="Arial"/>
          <w:sz w:val="16"/>
          <w:szCs w:val="16"/>
          <w:color w:val="auto"/>
        </w:rPr>
      </w:pPr>
    </w:p>
    <w:p>
      <w:pPr>
        <w:jc w:val="both"/>
        <w:ind w:firstLine="656"/>
        <w:spacing w:after="0" w:line="238" w:lineRule="auto"/>
        <w:tabs>
          <w:tab w:leader="none" w:pos="1083"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Borrower’s obligation to reimburse LC Disbursements as provided in paragraph (f) of this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the obligations of the Revolving Lenders as provided in paragraph (e) of this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is absolute, unconditional and irrevocable, and shall be performed strictly in accordance with the terms of this Agreement under any and all circumstances whatsoever and irrespective of (i) any lack of validity or enforceability of any Letter of Credit or this Agreement or any of the other Loan Documents,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(iv) the occurrence of any Default or Event of Default, (v) the existence of any claim, counterclaim, setoff, defense or other right that the Borrower may have at any time against any beneficiary, the Issuing Bank or any other person, (vi) any waiver by an Issuing Bank of any requirement that exists for such Issuing Bank’s protection and not the protection of the Borrower or any waiver by an Issuing Bank which does not in fact materially prejudice the Borrower, (vii) any payment made by an Issuing Bank in respect of an otherwise complying item presented after the date specified as the expiration date of, or the date by which documents must be received under such Letter of Credit if presentation after such date is authorized by the UCC, the ISP or the UCP, as applicable, or (viii) any other event or circumstance whatsoever, whether or not similar to any of the foregoing, that might, but for the provisions of this </w:t>
      </w:r>
      <w:r>
        <w:rPr>
          <w:rFonts w:ascii="Arial" w:cs="Arial" w:eastAsia="Arial" w:hAnsi="Arial"/>
          <w:sz w:val="16"/>
          <w:szCs w:val="16"/>
          <w:u w:val="single" w:color="auto"/>
          <w:color w:val="auto"/>
        </w:rPr>
        <w:t>Section 2.05</w:t>
      </w:r>
      <w:r>
        <w:rPr>
          <w:rFonts w:ascii="Arial" w:cs="Arial" w:eastAsia="Arial" w:hAnsi="Arial"/>
          <w:sz w:val="16"/>
          <w:szCs w:val="16"/>
          <w:color w:val="auto"/>
        </w:rPr>
        <w:t>, constitute a legal or equitable discharge of, or provide a right of setoff against, the Borrower’s obligations hereunder. None of the Administrative Agent, the Lenders, the Issuing Banks or any of their Affiliates shall have any liability or responsibility by reason of or in connection with the issuance or transfer of any Letter of Credit or any payment or failure to make any payment thereunder (irrespective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68</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construed to excuse any Issuing Bank from liability to the Borrower to the extent of any direct damages (as opposed to consequential, exemplary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with the terms thereof. The parties hereto expressly agree that, in the absence of gross negligence or willful misconduct on the part of an Issuing Bank (as determined by a court of competent jurisdiction in a final, non-appealable judgment), such Issuing Bank shall be deemed to have exercised care in each such determination. In furtherance of the foregoing and without limiting the generality thereof, the parties agree that, with respect to documents presented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and any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acceptance or refusal shall be deemed not to constitute gross negligence or willful misconduct.</w:t>
      </w:r>
    </w:p>
    <w:p>
      <w:pPr>
        <w:spacing w:after="0" w:line="169" w:lineRule="exact"/>
        <w:rPr>
          <w:sz w:val="20"/>
          <w:szCs w:val="20"/>
          <w:color w:val="auto"/>
        </w:rPr>
      </w:pPr>
    </w:p>
    <w:p>
      <w:pPr>
        <w:jc w:val="both"/>
        <w:ind w:firstLine="656"/>
        <w:spacing w:after="0" w:line="219" w:lineRule="auto"/>
        <w:tabs>
          <w:tab w:leader="none" w:pos="1096"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by telephone (confirmed by hand delivery, facsimile or electronic communication) (if arrangements for doing so have been approved by the applicable Issuing Bank) of such demand for payment and whether such Issuing Bank has made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its obligation to reimburse such Issuing Bank and the Revolving Lenders with respect to any such LC Disbursement in accordance with paragraph (f) of this Section.</w:t>
      </w:r>
    </w:p>
    <w:p>
      <w:pPr>
        <w:spacing w:after="0" w:line="162" w:lineRule="exact"/>
        <w:rPr>
          <w:rFonts w:ascii="Arial" w:cs="Arial" w:eastAsia="Arial" w:hAnsi="Arial"/>
          <w:sz w:val="18"/>
          <w:szCs w:val="18"/>
          <w:color w:val="auto"/>
        </w:rPr>
      </w:pPr>
    </w:p>
    <w:p>
      <w:pPr>
        <w:jc w:val="both"/>
        <w:ind w:firstLine="656"/>
        <w:spacing w:after="0"/>
        <w:tabs>
          <w:tab w:leader="none" w:pos="998"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fails to reimburse such LC Disbursement when due pursuant to paragraph (f) of this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then </w:t>
      </w:r>
      <w:r>
        <w:rPr>
          <w:rFonts w:ascii="Arial" w:cs="Arial" w:eastAsia="Arial" w:hAnsi="Arial"/>
          <w:sz w:val="16"/>
          <w:szCs w:val="16"/>
          <w:u w:val="single" w:color="auto"/>
          <w:color w:val="auto"/>
        </w:rPr>
        <w:t>Section 2.13(c)</w:t>
      </w:r>
      <w:r>
        <w:rPr>
          <w:rFonts w:ascii="Arial" w:cs="Arial" w:eastAsia="Arial" w:hAnsi="Arial"/>
          <w:sz w:val="16"/>
          <w:szCs w:val="16"/>
          <w:color w:val="auto"/>
        </w:rPr>
        <w:t xml:space="preserve"> shall apply. Interest accrued pursuant to this paragraph shall be paid to the Administrative Agent, for the account of the applicable Issuing Bank, except that interest accrued on and after the date of payment by any Revolving Lender pursuant to paragraph (f) of this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to reimburse such Issuing Bank shall be for the account of such Lender to the extent of such payment and shall be payable within two Business Days of demand or, if no demand has been made, within two Business Days of the date on which the Borrower reimburses the applicable LC Disbursement in full. If any Revolving Lender shall not have made its Applicable Percentage of such LC Disbursement available to the Administrative Agent as provided in clause (f) above, such Revolving Lender shall agree to pay interest on such amount, for each day from and including the date such amount is required to be paid at a rate determined by the Administrative Agent in accordance with banking industry rules or practices on interbank compensation.</w:t>
      </w:r>
    </w:p>
    <w:p>
      <w:pPr>
        <w:spacing w:after="0" w:line="176" w:lineRule="exact"/>
        <w:rPr>
          <w:rFonts w:ascii="Arial" w:cs="Arial" w:eastAsia="Arial" w:hAnsi="Arial"/>
          <w:sz w:val="16"/>
          <w:szCs w:val="16"/>
          <w:color w:val="auto"/>
        </w:rPr>
      </w:pPr>
    </w:p>
    <w:p>
      <w:pPr>
        <w:jc w:val="both"/>
        <w:ind w:firstLine="656"/>
        <w:spacing w:after="0" w:line="239" w:lineRule="auto"/>
        <w:tabs>
          <w:tab w:leader="none" w:pos="1018"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xml:space="preserve">. If any Event of Default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shall occur and be continuing, on the Business Day on which the Borrower receives notice from the Administrative Agent or the Required Lenders (or, if the maturity of the Loans has been accelerated, Revolving Lenders with LC Exposure representing more than 50.0% of the aggregate LC Exposure of all Revolving Lenders) demanding the deposit of Cash Collateral pursuant to this paragraph, the Borrower shall deposit in an account with the Administrative Agent, in the name of the Administrative Agent and for the benefit of the Issuing Banks and the Revolving Lenders, an amount of cash in dollars equal to the Dollar Equivalent of the portions of the LC Exposure attributable to Letters of Credit, as of such date plus any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The Borrower also shall deposit Cash Collateral pursuant to this paragraph as and to the extent required by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Each such deposit shall be held by the Administrative Agent as collateral for the payment and performance of the obligations of the Borrower under this Agreement. At any time that there shall exist a Defaulting Lender, if any Defaulting Lender Fronting Exposure remains outstanding (after giving effect to </w:t>
      </w:r>
      <w:r>
        <w:rPr>
          <w:rFonts w:ascii="Arial" w:cs="Arial" w:eastAsia="Arial" w:hAnsi="Arial"/>
          <w:sz w:val="16"/>
          <w:szCs w:val="16"/>
          <w:u w:val="single" w:color="auto"/>
          <w:color w:val="auto"/>
        </w:rPr>
        <w:t>Section 2.22(a)(iv)</w:t>
      </w:r>
      <w:r>
        <w:rPr>
          <w:rFonts w:ascii="Arial" w:cs="Arial" w:eastAsia="Arial" w:hAnsi="Arial"/>
          <w:sz w:val="16"/>
          <w:szCs w:val="16"/>
          <w:color w:val="auto"/>
        </w:rPr>
        <w:t>), then promptly upon the request of the Administrative Agent, any Issuing Bank, the Borrower shall deliver to the Administrative Agent Cash Collateral in an amount sufficient to cover such Defaulting Lender Fronting Exposure (after giving effect to any Cash Collateral provided by the Defaulting Lender). The Administrative Agent shall have exclusive dominion and control, including the exclusive right of withdrawal, over such account. Other than any interest earned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69</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investment of such deposits, which investments shall be made at the option and sole discretion of the Administrative Agent in Permitted Investments and at the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reimbursed and, to the extent not so applied, shall be held for the satisfaction of the reimbursement obligations of the Borrower for the LC Exposure at such time or, if the maturity of the Loans has been accelerated (but subject to the consent of Revolving Lenders with LC Exposure representing more than 50.0% of the aggregate LC Exposure of all the Revolving Lenders), be applied to satisfy other obligations of the Borrower under this Agreement in accordance</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with the terms of the Loan Documents. If the Borrower is required to provide an amount of Cash Collateral hereunder as a result of the occurrence of an Event of Default or the existence of a Defaulting Lender, such amount (to the extent not applied as aforesaid) shall be returned to the Borrower within three</w:t>
      </w:r>
    </w:p>
    <w:p>
      <w:pPr>
        <w:spacing w:after="0" w:line="1" w:lineRule="exact"/>
        <w:rPr>
          <w:sz w:val="20"/>
          <w:szCs w:val="20"/>
          <w:color w:val="auto"/>
        </w:rPr>
      </w:pPr>
    </w:p>
    <w:p>
      <w:pPr>
        <w:jc w:val="both"/>
        <w:ind w:firstLine="8"/>
        <w:spacing w:after="0" w:line="218" w:lineRule="auto"/>
        <w:tabs>
          <w:tab w:leader="none" w:pos="258"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Business Days after all Events of Default have been cured or waived or after the termination of Defaulting Lender status, as applicable. If the Borrower is required to provide an amount of Cash Collateral hereunder pursuant to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such amount (to the extent not applied as aforesaid) shall be returned to the Borrower as and to the extent that, after giving effect to such return, the Borrower would remain in compliance with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and no Event of Default shall have occurred and be continuing.</w:t>
      </w:r>
    </w:p>
    <w:p>
      <w:pPr>
        <w:spacing w:after="0" w:line="176" w:lineRule="exact"/>
        <w:rPr>
          <w:rFonts w:ascii="Arial" w:cs="Arial" w:eastAsia="Arial" w:hAnsi="Arial"/>
          <w:sz w:val="18"/>
          <w:szCs w:val="18"/>
          <w:color w:val="auto"/>
        </w:rPr>
      </w:pPr>
    </w:p>
    <w:p>
      <w:pPr>
        <w:jc w:val="both"/>
        <w:ind w:firstLine="656"/>
        <w:spacing w:after="0" w:line="244" w:lineRule="auto"/>
        <w:tabs>
          <w:tab w:leader="none" w:pos="1042"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Designation of Additional Issuing Banks</w:t>
      </w:r>
      <w:r>
        <w:rPr>
          <w:rFonts w:ascii="Arial" w:cs="Arial" w:eastAsia="Arial" w:hAnsi="Arial"/>
          <w:sz w:val="16"/>
          <w:szCs w:val="16"/>
          <w:color w:val="auto"/>
        </w:rPr>
        <w:t>. The Borrower may, at any time and from time to time, designate as additional Issuing Banks one or more Revolving Lenders that agree to serve in such capacity as provided below. The acceptance by a Revolving Lender of an appointment as an Issuing Bank hereunder shall be evidenced by an agreement, which shall be in form and substance reasonably satisfactory to the Administrative Agent and the Borrower, executed by the Borrower,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spacing w:after="0" w:line="173" w:lineRule="exact"/>
        <w:rPr>
          <w:rFonts w:ascii="Arial" w:cs="Arial" w:eastAsia="Arial" w:hAnsi="Arial"/>
          <w:sz w:val="16"/>
          <w:szCs w:val="16"/>
          <w:color w:val="auto"/>
        </w:rPr>
      </w:pPr>
    </w:p>
    <w:p>
      <w:pPr>
        <w:ind w:left="1000" w:hanging="344"/>
        <w:spacing w:after="0"/>
        <w:tabs>
          <w:tab w:leader="none" w:pos="100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Termination of an Issuing Bank</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660" w:firstLine="903"/>
        <w:spacing w:after="0" w:line="242" w:lineRule="auto"/>
        <w:tabs>
          <w:tab w:leader="none" w:pos="1931" w:val="left"/>
        </w:tabs>
        <w:numPr>
          <w:ilvl w:val="3"/>
          <w:numId w:val="86"/>
        </w:numPr>
        <w:rPr>
          <w:rFonts w:ascii="Arial" w:cs="Arial" w:eastAsia="Arial" w:hAnsi="Arial"/>
          <w:sz w:val="16"/>
          <w:szCs w:val="16"/>
          <w:color w:val="010000"/>
        </w:rPr>
      </w:pPr>
      <w:r>
        <w:rPr>
          <w:rFonts w:ascii="Arial" w:cs="Arial" w:eastAsia="Arial" w:hAnsi="Arial"/>
          <w:sz w:val="16"/>
          <w:szCs w:val="16"/>
          <w:color w:val="auto"/>
        </w:rPr>
        <w:t xml:space="preserve">The Borrower may terminate the appointment of any Issuing Bank as an “Issuing Bank” hereunder by providing a written notice thereof to such Issuing Bank, with a copy to the Administrative Agent. Any such termination shall become effective upon the earlier of (x) such Issuing Bank’s acknowledging receipt of such notice and (y) the fifth Business Day following the date of the delivery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termination shall become effective until and unless 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 </w:t>
      </w:r>
      <w:r>
        <w:rPr>
          <w:rFonts w:ascii="Arial" w:cs="Arial" w:eastAsia="Arial" w:hAnsi="Arial"/>
          <w:sz w:val="16"/>
          <w:szCs w:val="16"/>
          <w:u w:val="single" w:color="auto"/>
          <w:color w:val="auto"/>
        </w:rPr>
        <w:t>Section 2.12(a)</w:t>
      </w:r>
      <w:r>
        <w:rPr>
          <w:rFonts w:ascii="Arial" w:cs="Arial" w:eastAsia="Arial" w:hAnsi="Arial"/>
          <w:sz w:val="16"/>
          <w:szCs w:val="16"/>
          <w:color w:val="auto"/>
        </w:rPr>
        <w:t>.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spacing w:after="0" w:line="176" w:lineRule="exact"/>
        <w:rPr>
          <w:rFonts w:ascii="Arial" w:cs="Arial" w:eastAsia="Arial" w:hAnsi="Arial"/>
          <w:sz w:val="16"/>
          <w:szCs w:val="16"/>
          <w:color w:val="010000"/>
        </w:rPr>
      </w:pPr>
    </w:p>
    <w:p>
      <w:pPr>
        <w:jc w:val="both"/>
        <w:ind w:left="660" w:firstLine="239"/>
        <w:spacing w:after="0"/>
        <w:tabs>
          <w:tab w:leader="none" w:pos="1365" w:val="left"/>
        </w:tabs>
        <w:numPr>
          <w:ilvl w:val="2"/>
          <w:numId w:val="86"/>
        </w:numPr>
        <w:rPr>
          <w:rFonts w:ascii="Arial" w:cs="Arial" w:eastAsia="Arial" w:hAnsi="Arial"/>
          <w:sz w:val="16"/>
          <w:szCs w:val="16"/>
          <w:color w:val="auto"/>
        </w:rPr>
      </w:pPr>
      <w:r>
        <w:rPr>
          <w:rFonts w:ascii="Arial" w:cs="Arial" w:eastAsia="Arial" w:hAnsi="Arial"/>
          <w:sz w:val="16"/>
          <w:szCs w:val="16"/>
          <w:color w:val="auto"/>
        </w:rPr>
        <w:t>Subject to the appointment and acceptance of a successor Issuing Bank, any Issuing Bank may resign as an Issuing Bank at any time upon 30 days’ prior written notice to the Administrative Agent, the Borrower and the Lenders. In the event of any such resignation as an Issuing Bank, the Borrower shall be entitled to appoint from among the Lenders a successor Issuing Bank hereunder. Notwithstanding the effectiveness of any such resignation, any former Issuing Bank shall remain a party hereto and shall continue to have all the rights of an Issuing Bank under this Agreement with respect to Letters of Credit issued by it prior to such termination, but shall not issue any additional Letters of Credit. Upon the appointment of a successor Issuing Bank, (x) such successor shall succeed to and become vested with all of the rights, powers, privileges and duties of the retiring Issuing Bank as the case may be, and (y) the successor Issuing Bank shall issue letters of credit in substitution for the Letters of Credit, if any, outstanding on behalf such resigning Issuing Bank at the time of such succession or make other arrangements satisfactory to the applicable Issuing Bank to effectively assume the obligations of such Issuing Bank with respect to such Letters of Credit.</w:t>
      </w:r>
    </w:p>
    <w:p>
      <w:pPr>
        <w:spacing w:after="0" w:line="207" w:lineRule="exact"/>
        <w:rPr>
          <w:rFonts w:ascii="Arial" w:cs="Arial" w:eastAsia="Arial" w:hAnsi="Arial"/>
          <w:sz w:val="16"/>
          <w:szCs w:val="16"/>
          <w:color w:val="auto"/>
        </w:rPr>
      </w:pPr>
    </w:p>
    <w:p>
      <w:pPr>
        <w:jc w:val="both"/>
        <w:ind w:firstLine="656"/>
        <w:spacing w:after="0" w:line="244" w:lineRule="auto"/>
        <w:tabs>
          <w:tab w:leader="none" w:pos="1198"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Issuing Bank Reports to the Administrative Agent</w:t>
      </w:r>
      <w:r>
        <w:rPr>
          <w:rFonts w:ascii="Arial" w:cs="Arial" w:eastAsia="Arial" w:hAnsi="Arial"/>
          <w:sz w:val="16"/>
          <w:szCs w:val="16"/>
          <w:color w:val="auto"/>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reasonably requested by the Administrative Agent) in respect of Letters of Credit issued by such Issuing Bank, including all issuances, extensions, amendments and renewals, all expirations and cancellations and all disbursements and reimbursements, (ii) within five (5) Business Days following the time that such Issuing Bank issues, amends, renews or extends any Letter of Credit, the date of such issuance, amendment, renewal or extension, and the face amount of the Letters of Credit issued, amended, renewed or extended by it and outstanding after giving effect to such issuance, amendment, renewal or extension (and whether the amounts thereof shall have changed), (iii) on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70</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amount of such LC Disbursement and (v) on any other Business Day, such other information as the Administrative Agent shall reasonably request as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 issued by such Issuing Bank.</w:t>
      </w:r>
    </w:p>
    <w:p>
      <w:pPr>
        <w:spacing w:after="0" w:line="169" w:lineRule="exact"/>
        <w:rPr>
          <w:sz w:val="20"/>
          <w:szCs w:val="20"/>
          <w:color w:val="auto"/>
        </w:rPr>
      </w:pPr>
    </w:p>
    <w:p>
      <w:pPr>
        <w:jc w:val="both"/>
        <w:ind w:firstLine="656"/>
        <w:spacing w:after="0" w:line="238" w:lineRule="auto"/>
        <w:tabs>
          <w:tab w:leader="none" w:pos="1044"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Applicability of ISP and UCP</w:t>
      </w:r>
      <w:r>
        <w:rPr>
          <w:rFonts w:ascii="Arial" w:cs="Arial" w:eastAsia="Arial" w:hAnsi="Arial"/>
          <w:sz w:val="16"/>
          <w:szCs w:val="16"/>
          <w:color w:val="auto"/>
        </w:rPr>
        <w:t>. Unless otherwise expressly agreed by the applicable Issuing Bank and the Borrower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 Notwithstanding the foregoing, no Issuing Bank shall be responsible to the Borrower for, and no Issuing Bank’s rights and remedies against the Borrower shall be impaired by, any action or inaction of such Issuing Bank required or permitted under any law, order, or practice that is required or permitted to be applied to any Letter of Credit or this Agreement, including the Law or any order of a jurisdiction where such Issuing Bank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w:t>
      </w:r>
    </w:p>
    <w:p>
      <w:pPr>
        <w:ind w:left="200" w:hanging="192"/>
        <w:spacing w:after="0"/>
        <w:tabs>
          <w:tab w:leader="none" w:pos="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Practice, whether or not any Letter of Credit chooses such law or practice.</w:t>
      </w:r>
    </w:p>
    <w:p>
      <w:pPr>
        <w:spacing w:after="0" w:line="195" w:lineRule="exact"/>
        <w:rPr>
          <w:rFonts w:ascii="Arial" w:cs="Arial" w:eastAsia="Arial" w:hAnsi="Arial"/>
          <w:sz w:val="18"/>
          <w:szCs w:val="18"/>
          <w:color w:val="auto"/>
        </w:rPr>
      </w:pPr>
    </w:p>
    <w:p>
      <w:pPr>
        <w:jc w:val="both"/>
        <w:ind w:firstLine="656"/>
        <w:spacing w:after="0" w:line="236" w:lineRule="auto"/>
        <w:tabs>
          <w:tab w:leader="none" w:pos="1147"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t>Letters of Credit Issued for Subsidiaries</w:t>
      </w:r>
      <w:r>
        <w:rPr>
          <w:rFonts w:ascii="Arial" w:cs="Arial" w:eastAsia="Arial" w:hAnsi="Arial"/>
          <w:sz w:val="17"/>
          <w:szCs w:val="17"/>
          <w:color w:val="auto"/>
        </w:rPr>
        <w:t>.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9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color w:val="auto"/>
        </w:rPr>
        <w:t>Funding of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1868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178" w:lineRule="exact"/>
        <w:rPr>
          <w:sz w:val="20"/>
          <w:szCs w:val="20"/>
          <w:color w:val="auto"/>
        </w:rPr>
      </w:pPr>
    </w:p>
    <w:p>
      <w:pPr>
        <w:jc w:val="both"/>
        <w:ind w:firstLine="656"/>
        <w:spacing w:after="0" w:line="217" w:lineRule="auto"/>
        <w:tabs>
          <w:tab w:leader="none" w:pos="1051"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Each Lender shall make each Loan to be made by it hereunder on the proposed date thereof by wire transfer of immediately available funds in dollars by 2:00 p.m., New York City time, to the Applicable Account of the Administrative Agent most-recently designated by it for such purpose by notice to the Lenders. The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ABR Revolving Loans made to finance the reimbursement of an LC Disbursement as provided in </w:t>
      </w:r>
      <w:r>
        <w:rPr>
          <w:rFonts w:ascii="Arial" w:cs="Arial" w:eastAsia="Arial" w:hAnsi="Arial"/>
          <w:sz w:val="18"/>
          <w:szCs w:val="18"/>
          <w:u w:val="single" w:color="auto"/>
          <w:color w:val="auto"/>
        </w:rPr>
        <w:t>Section 2.05(f)</w:t>
      </w:r>
      <w:r>
        <w:rPr>
          <w:rFonts w:ascii="Arial" w:cs="Arial" w:eastAsia="Arial" w:hAnsi="Arial"/>
          <w:sz w:val="18"/>
          <w:szCs w:val="18"/>
          <w:color w:val="auto"/>
        </w:rPr>
        <w:t xml:space="preserve"> shall be remitted by the Administrative Agent to the applicable Issuing Bank or, to the extent that Revolving Lenders have made payments pursuant to </w:t>
      </w:r>
      <w:r>
        <w:rPr>
          <w:rFonts w:ascii="Arial" w:cs="Arial" w:eastAsia="Arial" w:hAnsi="Arial"/>
          <w:sz w:val="18"/>
          <w:szCs w:val="18"/>
          <w:u w:val="single" w:color="auto"/>
          <w:color w:val="auto"/>
        </w:rPr>
        <w:t>Section 2.05(f)</w:t>
      </w:r>
      <w:r>
        <w:rPr>
          <w:rFonts w:ascii="Arial" w:cs="Arial" w:eastAsia="Arial" w:hAnsi="Arial"/>
          <w:sz w:val="18"/>
          <w:szCs w:val="18"/>
          <w:color w:val="auto"/>
        </w:rPr>
        <w:t xml:space="preserve"> to reimburse such Issuing Bank, then to such Lenders and such Issuing Bank as their interests may appear.</w:t>
      </w:r>
    </w:p>
    <w:p>
      <w:pPr>
        <w:spacing w:after="0" w:line="161" w:lineRule="exact"/>
        <w:rPr>
          <w:rFonts w:ascii="Arial" w:cs="Arial" w:eastAsia="Arial" w:hAnsi="Arial"/>
          <w:sz w:val="18"/>
          <w:szCs w:val="18"/>
          <w:color w:val="auto"/>
        </w:rPr>
      </w:pPr>
    </w:p>
    <w:p>
      <w:pPr>
        <w:jc w:val="both"/>
        <w:ind w:firstLine="656"/>
        <w:spacing w:after="0"/>
        <w:tabs>
          <w:tab w:leader="none" w:pos="1050"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on such assumption and in its sole discretion, make available to the Borrower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the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in accordance with </w:t>
      </w:r>
      <w:r>
        <w:rPr>
          <w:rFonts w:ascii="Arial" w:cs="Arial" w:eastAsia="Arial" w:hAnsi="Arial"/>
          <w:sz w:val="16"/>
          <w:szCs w:val="16"/>
          <w:u w:val="single" w:color="auto"/>
          <w:color w:val="auto"/>
        </w:rPr>
        <w:t>Section 2.13</w:t>
      </w:r>
      <w:r>
        <w:rPr>
          <w:rFonts w:ascii="Arial" w:cs="Arial" w:eastAsia="Arial" w:hAnsi="Arial"/>
          <w:sz w:val="16"/>
          <w:szCs w:val="16"/>
          <w:color w:val="auto"/>
        </w:rPr>
        <w:t>. If such Lender pays such amount to the Administrative Agent, then such amount shall constitute such Lender’s Loan included in such Borrowing.</w:t>
      </w:r>
    </w:p>
    <w:p>
      <w:pPr>
        <w:spacing w:after="0" w:line="168" w:lineRule="exact"/>
        <w:rPr>
          <w:rFonts w:ascii="Arial" w:cs="Arial" w:eastAsia="Arial" w:hAnsi="Arial"/>
          <w:sz w:val="16"/>
          <w:szCs w:val="16"/>
          <w:color w:val="auto"/>
        </w:rPr>
      </w:pPr>
    </w:p>
    <w:p>
      <w:pPr>
        <w:jc w:val="both"/>
        <w:ind w:firstLine="656"/>
        <w:spacing w:after="0" w:line="232" w:lineRule="auto"/>
        <w:tabs>
          <w:tab w:leader="none" w:pos="1051"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The obligations of the Lenders hereunder to make Term Loans and Revolving Loans, to fund participations in Letters of Credit and to make payments pursuant to </w:t>
      </w:r>
      <w:r>
        <w:rPr>
          <w:rFonts w:ascii="Arial" w:cs="Arial" w:eastAsia="Arial" w:hAnsi="Arial"/>
          <w:sz w:val="17"/>
          <w:szCs w:val="17"/>
          <w:u w:val="single" w:color="auto"/>
          <w:color w:val="auto"/>
        </w:rPr>
        <w:t>Section 9.03(d)</w:t>
      </w:r>
      <w:r>
        <w:rPr>
          <w:rFonts w:ascii="Arial" w:cs="Arial" w:eastAsia="Arial" w:hAnsi="Arial"/>
          <w:sz w:val="17"/>
          <w:szCs w:val="17"/>
          <w:color w:val="auto"/>
        </w:rPr>
        <w:t xml:space="preserve"> are several and not joint. The failure of any Lender to make any Loan, to fund any such participation or to make any payment under </w:t>
      </w:r>
      <w:r>
        <w:rPr>
          <w:rFonts w:ascii="Arial" w:cs="Arial" w:eastAsia="Arial" w:hAnsi="Arial"/>
          <w:sz w:val="17"/>
          <w:szCs w:val="17"/>
          <w:u w:val="single" w:color="auto"/>
          <w:color w:val="auto"/>
        </w:rPr>
        <w:t>Section 9.03(d)</w:t>
      </w:r>
      <w:r>
        <w:rPr>
          <w:rFonts w:ascii="Arial" w:cs="Arial" w:eastAsia="Arial" w:hAnsi="Arial"/>
          <w:sz w:val="17"/>
          <w:szCs w:val="17"/>
          <w:color w:val="auto"/>
        </w:rPr>
        <w:t xml:space="preserve"> on any date required hereunder shall not relieve any other Lender of its corresponding obligation to do so on such date, and, other than as expressly provided herein with respect to a Defaulting Lender, no Lender shall be responsible for the failure of any other Lender to so make its Loan, to purchase its participation or to make its payment under </w:t>
      </w:r>
      <w:r>
        <w:rPr>
          <w:rFonts w:ascii="Arial" w:cs="Arial" w:eastAsia="Arial" w:hAnsi="Arial"/>
          <w:sz w:val="17"/>
          <w:szCs w:val="17"/>
          <w:u w:val="single" w:color="auto"/>
          <w:color w:val="auto"/>
        </w:rPr>
        <w:t>Section 9.03(d)</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71</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6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color w:val="auto"/>
        </w:rPr>
        <w:t>Interest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9105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165" w:lineRule="exact"/>
        <w:rPr>
          <w:sz w:val="20"/>
          <w:szCs w:val="20"/>
          <w:color w:val="auto"/>
        </w:rPr>
      </w:pPr>
    </w:p>
    <w:p>
      <w:pPr>
        <w:jc w:val="both"/>
        <w:ind w:firstLine="656"/>
        <w:spacing w:after="0" w:line="248" w:lineRule="auto"/>
        <w:tabs>
          <w:tab w:leader="none" w:pos="1063"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Each Revolving Loan Borrowing and Term Loan Borrowing initially shall be of the Type specified in the applicable Borrowing Request or designated by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and, in the case of a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Borrowing, shall have an initial Interest Period as specified in such Borrowing Request or designated by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.03. Thereafter, the Borrower may elect to convert such Borrowing to a different Type or to continue such Borrowing and, in the case of a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55" w:lineRule="exact"/>
        <w:rPr>
          <w:rFonts w:ascii="Arial" w:cs="Arial" w:eastAsia="Arial" w:hAnsi="Arial"/>
          <w:sz w:val="16"/>
          <w:szCs w:val="16"/>
          <w:color w:val="auto"/>
        </w:rPr>
      </w:pPr>
    </w:p>
    <w:p>
      <w:pPr>
        <w:jc w:val="both"/>
        <w:ind w:firstLine="656"/>
        <w:spacing w:after="0" w:line="223" w:lineRule="auto"/>
        <w:tabs>
          <w:tab w:leader="none" w:pos="1093"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To make an election pursuant to this Section, the Borrower shall notify the Administrative Agent of such election by telephone (or, at the option of Borrower, in writing) by the time that a Borrowing Request would be required under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if the Borrower were requesting a Borrowing of the Type resulting from such election to be made on the effective date of such election. Each such request may be given by (1) telephone or (2) an Interest Election Request.</w:t>
      </w:r>
    </w:p>
    <w:p>
      <w:pPr>
        <w:spacing w:after="0" w:line="162" w:lineRule="exact"/>
        <w:rPr>
          <w:rFonts w:ascii="Arial" w:cs="Arial" w:eastAsia="Arial" w:hAnsi="Arial"/>
          <w:sz w:val="18"/>
          <w:szCs w:val="18"/>
          <w:color w:val="auto"/>
        </w:rPr>
      </w:pPr>
    </w:p>
    <w:p>
      <w:pPr>
        <w:ind w:firstLine="656"/>
        <w:spacing w:after="0" w:line="274" w:lineRule="auto"/>
        <w:tabs>
          <w:tab w:leader="none" w:pos="1153" w:val="left"/>
        </w:tabs>
        <w:numPr>
          <w:ilvl w:val="0"/>
          <w:numId w:val="90"/>
        </w:numPr>
        <w:rPr>
          <w:rFonts w:ascii="Arial" w:cs="Arial" w:eastAsia="Arial" w:hAnsi="Arial"/>
          <w:sz w:val="17"/>
          <w:szCs w:val="17"/>
          <w:color w:val="auto"/>
        </w:rPr>
      </w:pPr>
      <w:r>
        <w:rPr>
          <w:rFonts w:ascii="Arial" w:cs="Arial" w:eastAsia="Arial" w:hAnsi="Arial"/>
          <w:sz w:val="17"/>
          <w:szCs w:val="17"/>
          <w:color w:val="auto"/>
        </w:rPr>
        <w:t>Each such request shall be irrevocable and each telephonic request shall be confirmed promptly by hand delivery, facsimile or other electronic transmission to the Administrative Agent of a written Interest Election Request signed by a Responsible Officer of the Borrower.</w:t>
      </w:r>
    </w:p>
    <w:p>
      <w:pPr>
        <w:spacing w:after="0" w:line="134" w:lineRule="exact"/>
        <w:rPr>
          <w:rFonts w:ascii="Arial" w:cs="Arial" w:eastAsia="Arial" w:hAnsi="Arial"/>
          <w:sz w:val="17"/>
          <w:szCs w:val="17"/>
          <w:color w:val="auto"/>
        </w:rPr>
      </w:pPr>
    </w:p>
    <w:p>
      <w:pPr>
        <w:ind w:left="1040" w:hanging="384"/>
        <w:spacing w:after="0"/>
        <w:tabs>
          <w:tab w:leader="none" w:pos="10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Each telephonic request and written Interest Election Request shall specify the following information in compliance with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196" w:lineRule="exact"/>
        <w:rPr>
          <w:rFonts w:ascii="Arial" w:cs="Arial" w:eastAsia="Arial" w:hAnsi="Arial"/>
          <w:sz w:val="17"/>
          <w:szCs w:val="17"/>
          <w:color w:val="auto"/>
        </w:rPr>
      </w:pPr>
    </w:p>
    <w:p>
      <w:pPr>
        <w:jc w:val="both"/>
        <w:ind w:left="660" w:firstLine="903"/>
        <w:spacing w:after="0" w:line="248" w:lineRule="auto"/>
        <w:tabs>
          <w:tab w:leader="none" w:pos="1927" w:val="left"/>
        </w:tabs>
        <w:numPr>
          <w:ilvl w:val="1"/>
          <w:numId w:val="90"/>
        </w:numPr>
        <w:rPr>
          <w:rFonts w:ascii="Arial" w:cs="Arial" w:eastAsia="Arial" w:hAnsi="Arial"/>
          <w:sz w:val="16"/>
          <w:szCs w:val="16"/>
          <w:color w:val="010000"/>
        </w:rPr>
      </w:pPr>
      <w:r>
        <w:rPr>
          <w:rFonts w:ascii="Arial" w:cs="Arial" w:eastAsia="Arial" w:hAnsi="Arial"/>
          <w:sz w:val="16"/>
          <w:szCs w:val="16"/>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w:t>
      </w:r>
    </w:p>
    <w:p>
      <w:pPr>
        <w:ind w:left="980" w:hanging="324"/>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and (iv) below shall be specified for each resulting Borrowing);</w:t>
      </w:r>
    </w:p>
    <w:p>
      <w:pPr>
        <w:spacing w:after="0" w:line="168" w:lineRule="exact"/>
        <w:rPr>
          <w:rFonts w:ascii="Arial" w:cs="Arial" w:eastAsia="Arial" w:hAnsi="Arial"/>
          <w:sz w:val="18"/>
          <w:szCs w:val="18"/>
          <w:color w:val="auto"/>
        </w:rPr>
      </w:pPr>
    </w:p>
    <w:p>
      <w:pPr>
        <w:ind w:left="1960" w:hanging="397"/>
        <w:spacing w:after="0"/>
        <w:tabs>
          <w:tab w:leader="none" w:pos="1960" w:val="left"/>
        </w:tabs>
        <w:numPr>
          <w:ilvl w:val="1"/>
          <w:numId w:val="91"/>
        </w:numPr>
        <w:rPr>
          <w:rFonts w:ascii="Arial" w:cs="Arial" w:eastAsia="Arial" w:hAnsi="Arial"/>
          <w:sz w:val="18"/>
          <w:szCs w:val="18"/>
          <w:color w:val="010000"/>
        </w:rPr>
      </w:pPr>
      <w:r>
        <w:rPr>
          <w:rFonts w:ascii="Arial" w:cs="Arial" w:eastAsia="Arial" w:hAnsi="Arial"/>
          <w:sz w:val="18"/>
          <w:szCs w:val="18"/>
          <w:color w:val="auto"/>
        </w:rPr>
        <w:t>the effective date of the election made pursuant to such Interest Election Request, which shall be a Business Day;</w:t>
      </w:r>
    </w:p>
    <w:p>
      <w:pPr>
        <w:spacing w:after="0" w:line="198" w:lineRule="exact"/>
        <w:rPr>
          <w:rFonts w:ascii="Arial" w:cs="Arial" w:eastAsia="Arial" w:hAnsi="Arial"/>
          <w:sz w:val="18"/>
          <w:szCs w:val="18"/>
          <w:color w:val="010000"/>
        </w:rPr>
      </w:pPr>
    </w:p>
    <w:p>
      <w:pPr>
        <w:ind w:left="2020" w:hanging="457"/>
        <w:spacing w:after="0"/>
        <w:tabs>
          <w:tab w:leader="none" w:pos="2020" w:val="left"/>
        </w:tabs>
        <w:numPr>
          <w:ilvl w:val="1"/>
          <w:numId w:val="91"/>
        </w:numPr>
        <w:rPr>
          <w:rFonts w:ascii="Arial" w:cs="Arial" w:eastAsia="Arial" w:hAnsi="Arial"/>
          <w:sz w:val="18"/>
          <w:szCs w:val="18"/>
          <w:color w:val="010000"/>
        </w:rPr>
      </w:pPr>
      <w:r>
        <w:rPr>
          <w:rFonts w:ascii="Arial" w:cs="Arial" w:eastAsia="Arial" w:hAnsi="Arial"/>
          <w:sz w:val="18"/>
          <w:szCs w:val="18"/>
          <w:color w:val="auto"/>
        </w:rPr>
        <w:t xml:space="preserve">whether the resulting Borrowing is to be an ABR Borrowing or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SOFR</w:t>
      </w:r>
      <w:r>
        <w:rPr>
          <w:rFonts w:ascii="Arial" w:cs="Arial" w:eastAsia="Arial" w:hAnsi="Arial"/>
          <w:sz w:val="18"/>
          <w:szCs w:val="18"/>
          <w:color w:val="auto"/>
        </w:rPr>
        <w:t xml:space="preserve"> Borrowing; and</w:t>
      </w:r>
    </w:p>
    <w:p>
      <w:pPr>
        <w:spacing w:after="0" w:line="184" w:lineRule="exact"/>
        <w:rPr>
          <w:rFonts w:ascii="Arial" w:cs="Arial" w:eastAsia="Arial" w:hAnsi="Arial"/>
          <w:sz w:val="18"/>
          <w:szCs w:val="18"/>
          <w:color w:val="010000"/>
        </w:rPr>
      </w:pPr>
    </w:p>
    <w:p>
      <w:pPr>
        <w:ind w:left="660" w:firstLine="903"/>
        <w:spacing w:after="0" w:line="235" w:lineRule="auto"/>
        <w:tabs>
          <w:tab w:leader="none" w:pos="2087" w:val="left"/>
        </w:tabs>
        <w:numPr>
          <w:ilvl w:val="1"/>
          <w:numId w:val="91"/>
        </w:numPr>
        <w:rPr>
          <w:rFonts w:ascii="Arial" w:cs="Arial" w:eastAsia="Arial" w:hAnsi="Arial"/>
          <w:sz w:val="18"/>
          <w:szCs w:val="18"/>
          <w:color w:val="010000"/>
        </w:rPr>
      </w:pPr>
      <w:r>
        <w:rPr>
          <w:rFonts w:ascii="Arial" w:cs="Arial" w:eastAsia="Arial" w:hAnsi="Arial"/>
          <w:sz w:val="18"/>
          <w:szCs w:val="18"/>
          <w:color w:val="auto"/>
        </w:rPr>
        <w:t xml:space="preserve">if the resulting Borrowing is to be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SOFR</w:t>
      </w:r>
      <w:r>
        <w:rPr>
          <w:rFonts w:ascii="Arial" w:cs="Arial" w:eastAsia="Arial" w:hAnsi="Arial"/>
          <w:sz w:val="18"/>
          <w:szCs w:val="18"/>
          <w:color w:val="auto"/>
        </w:rPr>
        <w:t xml:space="preserve"> Borrowing, the Interest Period to be applicable thereto after giving effect to such election, which shall be a period contemplated by the definition of the term “Interest Period.”</w:t>
      </w:r>
    </w:p>
    <w:p>
      <w:pPr>
        <w:spacing w:after="0" w:line="17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If any such Interest Election Request requests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SOFR</w:t>
      </w:r>
      <w:r>
        <w:rPr>
          <w:rFonts w:ascii="Arial" w:cs="Arial" w:eastAsia="Arial" w:hAnsi="Arial"/>
          <w:sz w:val="18"/>
          <w:szCs w:val="18"/>
          <w:color w:val="auto"/>
        </w:rPr>
        <w:t xml:space="preserve"> Borrowing but does not specify an Interest Period, then the Borrower shall be deemed to have selected an Interest Period of one month’s duration.</w:t>
      </w:r>
    </w:p>
    <w:p>
      <w:pPr>
        <w:spacing w:after="0" w:line="162" w:lineRule="exact"/>
        <w:rPr>
          <w:sz w:val="20"/>
          <w:szCs w:val="20"/>
          <w:color w:val="auto"/>
        </w:rPr>
      </w:pPr>
    </w:p>
    <w:p>
      <w:pPr>
        <w:ind w:firstLine="656"/>
        <w:spacing w:after="0" w:line="246" w:lineRule="auto"/>
        <w:tabs>
          <w:tab w:leader="none" w:pos="1125"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in accordance with this Section, the Administrative Agent shall advise each Lender of the applicable Class of the details thereof and of such Lender’s portion of each resulting Borrowing.</w:t>
      </w:r>
    </w:p>
    <w:p>
      <w:pPr>
        <w:spacing w:after="0" w:line="156" w:lineRule="exact"/>
        <w:rPr>
          <w:rFonts w:ascii="Arial" w:cs="Arial" w:eastAsia="Arial" w:hAnsi="Arial"/>
          <w:sz w:val="18"/>
          <w:szCs w:val="18"/>
          <w:color w:val="auto"/>
        </w:rPr>
      </w:pPr>
    </w:p>
    <w:p>
      <w:pPr>
        <w:jc w:val="both"/>
        <w:ind w:firstLine="656"/>
        <w:spacing w:after="0" w:line="229" w:lineRule="auto"/>
        <w:tabs>
          <w:tab w:leader="none" w:pos="104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If the Borrower fails to deliver a timely Interest Election Request with respect to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SOFR</w:t>
      </w:r>
      <w:r>
        <w:rPr>
          <w:rFonts w:ascii="Arial" w:cs="Arial" w:eastAsia="Arial" w:hAnsi="Arial"/>
          <w:sz w:val="18"/>
          <w:szCs w:val="18"/>
          <w:color w:val="auto"/>
        </w:rPr>
        <w:t xml:space="preserve"> Borrowing prior to the end of the Interest Period applicable thereto, then, unless such Borrowing is repaid as provided herein, at the end of such Interest Period, the Borrower shall be deemed to have selected an Interest Period of one month’s duration.</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color w:val="auto"/>
        </w:rPr>
        <w:t>Termination and Reduction of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21628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2162810" cy="8255"/>
                    </a:xfrm>
                    <a:prstGeom prst="rect">
                      <a:avLst/>
                    </a:prstGeom>
                    <a:noFill/>
                  </pic:spPr>
                </pic:pic>
              </a:graphicData>
            </a:graphic>
          </wp:anchor>
        </w:drawing>
      </w:r>
    </w:p>
    <w:p>
      <w:pPr>
        <w:spacing w:after="0" w:line="165" w:lineRule="exact"/>
        <w:rPr>
          <w:sz w:val="20"/>
          <w:szCs w:val="20"/>
          <w:color w:val="auto"/>
        </w:rPr>
      </w:pPr>
    </w:p>
    <w:p>
      <w:pPr>
        <w:jc w:val="both"/>
        <w:ind w:firstLine="656"/>
        <w:spacing w:after="0" w:line="229" w:lineRule="auto"/>
        <w:tabs>
          <w:tab w:leader="none" w:pos="1041" w:val="left"/>
        </w:tabs>
        <w:numPr>
          <w:ilvl w:val="0"/>
          <w:numId w:val="93"/>
        </w:numPr>
        <w:rPr>
          <w:rFonts w:ascii="Arial" w:cs="Arial" w:eastAsia="Arial" w:hAnsi="Arial"/>
          <w:sz w:val="18"/>
          <w:szCs w:val="18"/>
          <w:color w:val="auto"/>
        </w:rPr>
      </w:pPr>
      <w:r>
        <w:rPr>
          <w:rFonts w:ascii="Arial" w:cs="Arial" w:eastAsia="Arial" w:hAnsi="Arial"/>
          <w:sz w:val="18"/>
          <w:szCs w:val="18"/>
          <w:color w:val="auto"/>
        </w:rPr>
        <w:t>Unless previously terminated, (i) the Initial Term Commitments terminated at 11:59 p.m., New York City time, on the Effective Date and (ii) the First Additional Term Commitments shall terminate at 11:59 p.m., New York City time, on the Amendment No. 1 Effective Date. The Revolving Commitments shall terminate at 11:59 p.m., New York City time, on the Revolving Maturity Date.</w:t>
      </w:r>
    </w:p>
    <w:p>
      <w:pPr>
        <w:spacing w:after="0" w:line="163" w:lineRule="exact"/>
        <w:rPr>
          <w:rFonts w:ascii="Arial" w:cs="Arial" w:eastAsia="Arial" w:hAnsi="Arial"/>
          <w:sz w:val="18"/>
          <w:szCs w:val="18"/>
          <w:color w:val="auto"/>
        </w:rPr>
      </w:pPr>
    </w:p>
    <w:p>
      <w:pPr>
        <w:jc w:val="both"/>
        <w:ind w:firstLine="656"/>
        <w:spacing w:after="0" w:line="229" w:lineRule="auto"/>
        <w:tabs>
          <w:tab w:leader="none" w:pos="104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Borrower may at any time terminate, or from time to time reduce, the Commitments of any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Commitments of any Class shall be in an amount that is an integral multiple of $500,000 and not less than $1,000,000 and (ii) the Borrower shall not terminate or reduce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72</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 xml:space="preserve">Commitments if, after giving effect to any concurrent prepayment of the Revolving Loans in accordance with </w:t>
      </w:r>
      <w:r>
        <w:rPr>
          <w:rFonts w:ascii="Arial" w:cs="Arial" w:eastAsia="Arial" w:hAnsi="Arial"/>
          <w:sz w:val="18"/>
          <w:szCs w:val="18"/>
          <w:u w:val="single" w:color="auto"/>
          <w:color w:val="auto"/>
        </w:rPr>
        <w:t>Section 2.11</w:t>
      </w:r>
      <w:r>
        <w:rPr>
          <w:rFonts w:ascii="Arial" w:cs="Arial" w:eastAsia="Arial" w:hAnsi="Arial"/>
          <w:sz w:val="18"/>
          <w:szCs w:val="18"/>
          <w:color w:val="auto"/>
        </w:rPr>
        <w:t>, the aggregate Revolving Exposures would exceed the aggregate Revolving Commitments. The Borrower may terminate the Commitments of any Defaulting Lending on a non-pro rata basis upon notice to the Administrative Agent.</w:t>
      </w:r>
    </w:p>
    <w:p>
      <w:pPr>
        <w:spacing w:after="0" w:line="176" w:lineRule="exact"/>
        <w:rPr>
          <w:sz w:val="20"/>
          <w:szCs w:val="20"/>
          <w:color w:val="auto"/>
        </w:rPr>
      </w:pPr>
    </w:p>
    <w:p>
      <w:pPr>
        <w:jc w:val="both"/>
        <w:ind w:firstLine="656"/>
        <w:spacing w:after="0" w:line="226" w:lineRule="auto"/>
        <w:tabs>
          <w:tab w:leader="none" w:pos="1099"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The Borrower shall notify the Administrative Agent of any election to terminate or reduce the Commitments under paragraph (b) of this Section at least one Business Day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termination of the Revolving Commitments delivered by the Borrower may state that such notice is conditioned upon the effectiveness of other credit facilities or the receipt of the proceeds from the issuance of other Indebtedness or the occurrence of some other identifiable event or condition, in which case such notice may be revoked by the Borrower (by notice to the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color w:val="auto"/>
        </w:rPr>
        <w:t>Repayment of Loans; Evidence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9259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1925955" cy="8255"/>
                    </a:xfrm>
                    <a:prstGeom prst="rect">
                      <a:avLst/>
                    </a:prstGeom>
                    <a:noFill/>
                  </pic:spPr>
                </pic:pic>
              </a:graphicData>
            </a:graphic>
          </wp:anchor>
        </w:drawing>
      </w:r>
    </w:p>
    <w:p>
      <w:pPr>
        <w:spacing w:after="0" w:line="165" w:lineRule="exact"/>
        <w:rPr>
          <w:sz w:val="20"/>
          <w:szCs w:val="20"/>
          <w:color w:val="auto"/>
        </w:rPr>
      </w:pPr>
    </w:p>
    <w:p>
      <w:pPr>
        <w:jc w:val="both"/>
        <w:ind w:firstLine="656"/>
        <w:spacing w:after="0" w:line="229" w:lineRule="auto"/>
        <w:tabs>
          <w:tab w:leader="none" w:pos="1134"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Borrower hereby unconditionally promises to pay (i) to the Administrative Agent for the account of each Lender the then unpaid principal amount of each Revolving Loan of such Lender on the Revolving Maturity Date and (ii) to the Administrative Agent for the account of each Lender the then unpaid principal amount of each Term Loan of such Lender as provided in </w:t>
      </w:r>
      <w:r>
        <w:rPr>
          <w:rFonts w:ascii="Arial" w:cs="Arial" w:eastAsia="Arial" w:hAnsi="Arial"/>
          <w:sz w:val="18"/>
          <w:szCs w:val="18"/>
          <w:u w:val="single" w:color="auto"/>
          <w:color w:val="auto"/>
        </w:rPr>
        <w:t>Section 2.10</w:t>
      </w:r>
    </w:p>
    <w:p>
      <w:pPr>
        <w:spacing w:after="0" w:line="163" w:lineRule="exact"/>
        <w:rPr>
          <w:rFonts w:ascii="Arial" w:cs="Arial" w:eastAsia="Arial" w:hAnsi="Arial"/>
          <w:sz w:val="18"/>
          <w:szCs w:val="18"/>
          <w:color w:val="auto"/>
        </w:rPr>
      </w:pPr>
    </w:p>
    <w:p>
      <w:pPr>
        <w:jc w:val="both"/>
        <w:ind w:firstLine="656"/>
        <w:spacing w:after="0" w:line="229" w:lineRule="auto"/>
        <w:tabs>
          <w:tab w:leader="none" w:pos="1045"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63" w:lineRule="exact"/>
        <w:rPr>
          <w:rFonts w:ascii="Arial" w:cs="Arial" w:eastAsia="Arial" w:hAnsi="Arial"/>
          <w:sz w:val="18"/>
          <w:szCs w:val="18"/>
          <w:color w:val="auto"/>
        </w:rPr>
      </w:pPr>
    </w:p>
    <w:p>
      <w:pPr>
        <w:jc w:val="both"/>
        <w:ind w:firstLine="656"/>
        <w:spacing w:after="0" w:line="223"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62" w:lineRule="exact"/>
        <w:rPr>
          <w:rFonts w:ascii="Arial" w:cs="Arial" w:eastAsia="Arial" w:hAnsi="Arial"/>
          <w:sz w:val="18"/>
          <w:szCs w:val="18"/>
          <w:color w:val="auto"/>
        </w:rPr>
      </w:pPr>
    </w:p>
    <w:p>
      <w:pPr>
        <w:jc w:val="both"/>
        <w:ind w:firstLine="656"/>
        <w:spacing w:after="0" w:line="222" w:lineRule="auto"/>
        <w:tabs>
          <w:tab w:leader="none" w:pos="1079"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paragraph (b) or (c)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the accounts maintained by the Administrative Agent pursuant to paragraph (c) of this Section shall control.</w:t>
      </w:r>
    </w:p>
    <w:p>
      <w:pPr>
        <w:spacing w:after="0" w:line="163" w:lineRule="exact"/>
        <w:rPr>
          <w:rFonts w:ascii="Arial" w:cs="Arial" w:eastAsia="Arial" w:hAnsi="Arial"/>
          <w:sz w:val="18"/>
          <w:szCs w:val="18"/>
          <w:color w:val="auto"/>
        </w:rPr>
      </w:pPr>
    </w:p>
    <w:p>
      <w:pPr>
        <w:jc w:val="both"/>
        <w:ind w:firstLine="656"/>
        <w:spacing w:after="0" w:line="229" w:lineRule="auto"/>
        <w:tabs>
          <w:tab w:leader="none" w:pos="1066"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Lender may request through the Administrative Agent that Loans of any Class made by it be evidenced by a promissory note. In such event, the Borrower shall execute and deliver to such Lender a promissory note payable to such Lender (or, if requested by such Lender, to its registered assigns) and in a form provided by the Administrative Agent and approved by the Borrower.</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color w:val="auto"/>
        </w:rPr>
        <w:t>Amortization of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4211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spacing w:after="0" w:line="165" w:lineRule="exact"/>
        <w:rPr>
          <w:sz w:val="20"/>
          <w:szCs w:val="20"/>
          <w:color w:val="auto"/>
        </w:rPr>
      </w:pPr>
    </w:p>
    <w:p>
      <w:pPr>
        <w:jc w:val="both"/>
        <w:ind w:firstLine="656"/>
        <w:spacing w:after="0" w:line="254" w:lineRule="auto"/>
        <w:tabs>
          <w:tab w:leader="none" w:pos="1071"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Subject to adjustment pursuant to paragraph (c) of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the Borrower shall repay Term Loan Borrowings on the last Business Day of each March, June, September and December in the principal amount of Term Loans equal to the amounts set forth in the table below (as such amounts may be reduced from time to time as a result of the applicable of prepayments in accordance with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purchases or assignments in accordance with </w:t>
      </w:r>
      <w:r>
        <w:rPr>
          <w:rFonts w:ascii="Arial" w:cs="Arial" w:eastAsia="Arial" w:hAnsi="Arial"/>
          <w:sz w:val="16"/>
          <w:szCs w:val="16"/>
          <w:u w:val="single" w:color="auto"/>
          <w:color w:val="auto"/>
        </w:rPr>
        <w:t>Section 9.04(h)</w:t>
      </w:r>
      <w:r>
        <w:rPr>
          <w:rFonts w:ascii="Arial" w:cs="Arial" w:eastAsia="Arial" w:hAnsi="Arial"/>
          <w:sz w:val="16"/>
          <w:szCs w:val="16"/>
          <w:color w:val="auto"/>
        </w:rPr>
        <w:t xml:space="preserve"> or increased from time to time as a result of any increase in the amount of such Term Loans pursuant to </w:t>
      </w:r>
      <w:r>
        <w:rPr>
          <w:rFonts w:ascii="Arial" w:cs="Arial" w:eastAsia="Arial" w:hAnsi="Arial"/>
          <w:sz w:val="16"/>
          <w:szCs w:val="16"/>
          <w:u w:val="single" w:color="auto"/>
          <w:color w:val="auto"/>
        </w:rPr>
        <w:t>Section 2.20(a)</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73</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97" w:lineRule="exact"/>
        <w:rPr>
          <w:sz w:val="20"/>
          <w:szCs w:val="20"/>
          <w:color w:val="auto"/>
        </w:rPr>
      </w:pPr>
    </w:p>
    <w:tbl>
      <w:tblPr>
        <w:tblLayout w:type="fixed"/>
        <w:tblInd w:w="2450" w:type="dxa"/>
        <w:tblCellMar>
          <w:top w:w="0" w:type="dxa"/>
          <w:left w:w="0" w:type="dxa"/>
          <w:bottom w:w="0" w:type="dxa"/>
          <w:right w:w="0" w:type="dxa"/>
        </w:tblCellMar>
      </w:tblPr>
      <w:tr>
        <w:trPr>
          <w:trHeight w:val="243"/>
        </w:trPr>
        <w:tc>
          <w:tcPr>
            <w:tcW w:w="19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Installment</w:t>
            </w:r>
          </w:p>
        </w:tc>
        <w:tc>
          <w:tcPr>
            <w:tcW w:w="178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Principal Amount</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December 31, 2021</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30"/>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March 31, 2022</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29"/>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June 30, 2022</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September 30, 2022</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30"/>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December 31, 2022</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29"/>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March 31, 2023</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June 30, 2023</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30"/>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September 30, 2023</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29"/>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December 31, 2023</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March 31, 2024</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30"/>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June 30, 2024</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29"/>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September 30, 2024</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December 31, 2024</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30"/>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March 31, 2025</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29"/>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June 30, 2025</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September 30, 2025</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30"/>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December 31, 2025</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29"/>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March 31, 2026</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June 30, 2026</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30"/>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September 30, 2026</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29"/>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December 31, 2026</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March 31, 2027</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30"/>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June 30, 2027</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29"/>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September 30, 2027</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December 31, 2027</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30"/>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March 31, 2028</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r>
        <w:trPr>
          <w:trHeight w:val="229"/>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June 30, 2028</w:t>
            </w: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$1,375,000</w:t>
            </w:r>
          </w:p>
        </w:tc>
      </w:tr>
    </w:tbl>
    <w:p>
      <w:pPr>
        <w:spacing w:after="0" w:line="200" w:lineRule="exact"/>
        <w:rPr>
          <w:sz w:val="20"/>
          <w:szCs w:val="20"/>
          <w:color w:val="auto"/>
        </w:rPr>
      </w:pPr>
    </w:p>
    <w:p>
      <w:pPr>
        <w:spacing w:after="0" w:line="326" w:lineRule="exact"/>
        <w:rPr>
          <w:sz w:val="20"/>
          <w:szCs w:val="20"/>
          <w:color w:val="auto"/>
        </w:rPr>
      </w:pPr>
    </w:p>
    <w:p>
      <w:pPr>
        <w:ind w:left="1040" w:hanging="384"/>
        <w:spacing w:after="0"/>
        <w:tabs>
          <w:tab w:leader="none" w:pos="10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the extent not previously paid, all Term Loans shall be due and payable on the Term Maturity Date.</w:t>
      </w:r>
    </w:p>
    <w:p>
      <w:pPr>
        <w:spacing w:after="0" w:line="184" w:lineRule="exact"/>
        <w:rPr>
          <w:rFonts w:ascii="Arial" w:cs="Arial" w:eastAsia="Arial" w:hAnsi="Arial"/>
          <w:sz w:val="18"/>
          <w:szCs w:val="18"/>
          <w:color w:val="auto"/>
        </w:rPr>
      </w:pPr>
    </w:p>
    <w:p>
      <w:pPr>
        <w:jc w:val="both"/>
        <w:ind w:firstLine="656"/>
        <w:spacing w:after="0" w:line="217" w:lineRule="auto"/>
        <w:tabs>
          <w:tab w:leader="none" w:pos="1143"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Any prepayment of a Term Loan Borrowing of any Class (i) pursuant to </w:t>
      </w:r>
      <w:r>
        <w:rPr>
          <w:rFonts w:ascii="Arial" w:cs="Arial" w:eastAsia="Arial" w:hAnsi="Arial"/>
          <w:sz w:val="18"/>
          <w:szCs w:val="18"/>
          <w:u w:val="single" w:color="auto"/>
          <w:color w:val="auto"/>
        </w:rPr>
        <w:t>Section 2.11(a)(i)</w:t>
      </w:r>
      <w:r>
        <w:rPr>
          <w:rFonts w:ascii="Arial" w:cs="Arial" w:eastAsia="Arial" w:hAnsi="Arial"/>
          <w:sz w:val="18"/>
          <w:szCs w:val="18"/>
          <w:color w:val="auto"/>
        </w:rPr>
        <w:t xml:space="preserve"> shall be applied to reduce the subsequent scheduled and outstanding repayments of the Term Loan Borrowings of such Class to be made pursuant to this Section as directed by the Borrower (and absent such direction in direct order of maturity) and (ii) pursuant to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shall be applied to reduce the subsequent scheduled and outstanding repayments of the Term Loan Borrowings of such Class to be made pursuant to this Section, or, except as otherwise provided in any Incremental Facility Amendment, Refinancing Amendment or Loan Modification Offer, pursuant to the corresponding section of such Incremental Facility Amendment, Refinancing Amendment or Loan Modification Offer, as applicable, as directed by the Borrower (and absent such direction in direct order of maturity).</w:t>
      </w:r>
    </w:p>
    <w:p>
      <w:pPr>
        <w:spacing w:after="0" w:line="161" w:lineRule="exact"/>
        <w:rPr>
          <w:rFonts w:ascii="Arial" w:cs="Arial" w:eastAsia="Arial" w:hAnsi="Arial"/>
          <w:sz w:val="18"/>
          <w:szCs w:val="18"/>
          <w:color w:val="auto"/>
        </w:rPr>
      </w:pPr>
    </w:p>
    <w:p>
      <w:pPr>
        <w:jc w:val="both"/>
        <w:ind w:firstLine="656"/>
        <w:spacing w:after="0" w:line="248" w:lineRule="auto"/>
        <w:tabs>
          <w:tab w:leader="none" w:pos="1053"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Prior to any repayment of any Term Loan Borrowings of any Class hereunder, the Borrower shall select the Borrowing or Borrowings of the applicable Class to be repaid and shall notify the Administrative Agent in writing or by telephone (confirmed by hand delivery, facsimile or other electronic transmission) of such election not later than 2:00 p.m., New York City time, (x) in the case of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Loans, three (3) Business Days before the scheduled date of such repayment and (y) in the case of ABR Loans, one Business Day before the scheduled date of such repayment. In the absence of a designation by the Borrower as described in the preceding sentence, the Administrative Agent shall make such designation in its reasonable discretion </w:t>
      </w:r>
      <w:r>
        <w:rPr>
          <w:rFonts w:ascii="Arial" w:cs="Arial" w:eastAsia="Arial" w:hAnsi="Arial"/>
          <w:sz w:val="16"/>
          <w:szCs w:val="16"/>
          <w:color w:val="FF0000"/>
          <w:strike w:val="1"/>
        </w:rPr>
        <w:t>with a view, but no obligation, to minimize breakage costs owing under</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Section 2.16</w:t>
      </w:r>
      <w:r>
        <w:rPr>
          <w:rFonts w:ascii="Arial" w:cs="Arial" w:eastAsia="Arial" w:hAnsi="Arial"/>
          <w:sz w:val="16"/>
          <w:szCs w:val="16"/>
          <w:color w:val="auto"/>
        </w:rPr>
        <w:t>. Each repayment of a Borrowing shall be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74</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6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ratably to the Loans included in the repaid Borrowing. Repayments of Term Loan Borrowings shall be accompanied by accrued interest on the amount repaid.</w:t>
      </w:r>
    </w:p>
    <w:p>
      <w:pPr>
        <w:spacing w:after="0" w:line="16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color w:val="auto"/>
        </w:rPr>
        <w:t>Prepayment of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1123315</wp:posOffset>
            </wp:positionH>
            <wp:positionV relativeFrom="paragraph">
              <wp:posOffset>-10160</wp:posOffset>
            </wp:positionV>
            <wp:extent cx="10915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1091565" cy="8255"/>
                    </a:xfrm>
                    <a:prstGeom prst="rect">
                      <a:avLst/>
                    </a:prstGeom>
                    <a:noFill/>
                  </pic:spPr>
                </pic:pic>
              </a:graphicData>
            </a:graphic>
          </wp:anchor>
        </w:drawing>
      </w:r>
    </w:p>
    <w:p>
      <w:pPr>
        <w:spacing w:after="0" w:line="178" w:lineRule="exact"/>
        <w:rPr>
          <w:sz w:val="20"/>
          <w:szCs w:val="20"/>
          <w:color w:val="auto"/>
        </w:rPr>
      </w:pPr>
    </w:p>
    <w:p>
      <w:pPr>
        <w:jc w:val="both"/>
        <w:ind w:firstLine="656"/>
        <w:spacing w:after="0" w:line="242" w:lineRule="auto"/>
        <w:tabs>
          <w:tab w:leader="none" w:pos="1067"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(i) The Borrower shall have the right at any time and from time to time to prepay any Borrowing of any Class in whole or in part, without premium or penalty (subject to the immediately succeeding proviso);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on or prior to the date that is six months after the Effective Date, the Borrower (i) makes any prepayment of Term Loans in connection with any Repricing Transaction the primary purpose of which is to decrease the Effective Yield on such Term Loans or (ii) effects any amendment of this Agreement resulting in a Repricing Transaction the primary purpose of which is to decrease the Effective Yield on the Term Loans, the Borrower shall pay to the Administrative Agent, for the ratable account of each of the applicable Lenders, (x) in the case of clause (i), a prepayment premium of 1.00% of the principal amount of the Term Loans being prepaid in connection with such Repricing Transaction and (y) in the case of clause (ii), an amount equal to 1.00% of the aggregate amount of the applicable Term Loans outstanding immediately prior to such amendment that are subject to an effective pricing reduction pursuant to such Repricing Transaction.</w:t>
      </w:r>
    </w:p>
    <w:p>
      <w:pPr>
        <w:spacing w:after="0" w:line="162" w:lineRule="exact"/>
        <w:rPr>
          <w:rFonts w:ascii="Arial" w:cs="Arial" w:eastAsia="Arial" w:hAnsi="Arial"/>
          <w:sz w:val="16"/>
          <w:szCs w:val="16"/>
          <w:color w:val="auto"/>
        </w:rPr>
      </w:pPr>
    </w:p>
    <w:p>
      <w:pPr>
        <w:ind w:firstLine="238"/>
        <w:spacing w:after="0" w:line="246" w:lineRule="auto"/>
        <w:tabs>
          <w:tab w:leader="none" w:pos="679"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Notwithstanding anything in any Loan Document to the contrary, so long as no Default or Event of Default has occurred and is continuing, the Borrower may prepay the outstanding Term Loans on the following basis:</w:t>
      </w:r>
    </w:p>
    <w:p>
      <w:pPr>
        <w:spacing w:after="0" w:line="156" w:lineRule="exact"/>
        <w:rPr>
          <w:rFonts w:ascii="Arial" w:cs="Arial" w:eastAsia="Arial" w:hAnsi="Arial"/>
          <w:sz w:val="18"/>
          <w:szCs w:val="18"/>
          <w:color w:val="auto"/>
        </w:rPr>
      </w:pPr>
    </w:p>
    <w:p>
      <w:pPr>
        <w:jc w:val="both"/>
        <w:ind w:left="660" w:firstLine="644"/>
        <w:spacing w:after="0" w:line="226" w:lineRule="auto"/>
        <w:tabs>
          <w:tab w:leader="none" w:pos="1864" w:val="left"/>
        </w:tabs>
        <w:numPr>
          <w:ilvl w:val="2"/>
          <w:numId w:val="99"/>
        </w:numPr>
        <w:rPr>
          <w:rFonts w:ascii="Arial" w:cs="Arial" w:eastAsia="Arial" w:hAnsi="Arial"/>
          <w:sz w:val="17"/>
          <w:szCs w:val="17"/>
          <w:color w:val="010000"/>
        </w:rPr>
      </w:pPr>
      <w:r>
        <w:rPr>
          <w:rFonts w:ascii="Arial" w:cs="Arial" w:eastAsia="Arial" w:hAnsi="Arial"/>
          <w:sz w:val="17"/>
          <w:szCs w:val="17"/>
          <w:color w:val="auto"/>
        </w:rPr>
        <w:t>The Borrower shall have the right to make a voluntary prepayment of Term Loans of any Class at a discount to par (such prepayment, the “</w:t>
      </w:r>
      <w:r>
        <w:rPr>
          <w:rFonts w:ascii="Arial" w:cs="Arial" w:eastAsia="Arial" w:hAnsi="Arial"/>
          <w:sz w:val="17"/>
          <w:szCs w:val="17"/>
          <w:u w:val="single" w:color="auto"/>
          <w:color w:val="auto"/>
        </w:rPr>
        <w:t>Discounted Term Loan Prepayment</w:t>
      </w:r>
      <w:r>
        <w:rPr>
          <w:rFonts w:ascii="Arial" w:cs="Arial" w:eastAsia="Arial" w:hAnsi="Arial"/>
          <w:sz w:val="17"/>
          <w:szCs w:val="17"/>
          <w:color w:val="auto"/>
        </w:rPr>
        <w:t xml:space="preserve">”) pursuant to a Borrower Offer of Specified Discount Prepayment, Borrower Solicitation of Discount Range Prepayment Offers or Borrower Solicitation of Discounted Prepayment Offers, in each case made in accordance with this </w:t>
      </w:r>
      <w:r>
        <w:rPr>
          <w:rFonts w:ascii="Arial" w:cs="Arial" w:eastAsia="Arial" w:hAnsi="Arial"/>
          <w:sz w:val="17"/>
          <w:szCs w:val="17"/>
          <w:u w:val="single" w:color="auto"/>
          <w:color w:val="auto"/>
        </w:rPr>
        <w:t>Section 2.11(a)(ii)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Borrower shall not make any Borrowing of Revolving Loans to fund any Discounted Term Loan Prepayment and (y) the Borrower shall not initiate any action under this </w:t>
      </w:r>
      <w:r>
        <w:rPr>
          <w:rFonts w:ascii="Arial" w:cs="Arial" w:eastAsia="Arial" w:hAnsi="Arial"/>
          <w:sz w:val="17"/>
          <w:szCs w:val="17"/>
          <w:u w:val="single" w:color="auto"/>
          <w:color w:val="auto"/>
        </w:rPr>
        <w:t>Section 2.11(a)(ii)</w:t>
      </w:r>
      <w:r>
        <w:rPr>
          <w:rFonts w:ascii="Arial" w:cs="Arial" w:eastAsia="Arial" w:hAnsi="Arial"/>
          <w:sz w:val="17"/>
          <w:szCs w:val="17"/>
          <w:color w:val="auto"/>
        </w:rPr>
        <w:t xml:space="preserve"> in order to make a Discounted Term Loan Prepayment with respect to any Class unless (I) at least ten (10) Business Days shall have passed since the consummation of the most recent Discounted Term Loan Prepayment with respect to such Class as a result of a prepayment made by the Borrower on the applicable Discounted Prepayment Effective Date; or (II) at least three (3) Business Days shall have passed since the date the Borrower was notified that no Term Lender was willing to accept any prepayment of any Term Loan and/or Other Term Loan at the Specified Discount, within the Discount Range or at any discount to par value, as applicable, or in the case of Borrower Solicitation of Discounted Prepayment Offers, the date of the Borrower’s election not to accept any Solicited Discounted Prepayment Offers.</w:t>
      </w:r>
    </w:p>
    <w:p>
      <w:pPr>
        <w:spacing w:after="0" w:line="175" w:lineRule="exact"/>
        <w:rPr>
          <w:rFonts w:ascii="Arial" w:cs="Arial" w:eastAsia="Arial" w:hAnsi="Arial"/>
          <w:sz w:val="17"/>
          <w:szCs w:val="17"/>
          <w:color w:val="010000"/>
        </w:rPr>
      </w:pPr>
    </w:p>
    <w:p>
      <w:pPr>
        <w:jc w:val="both"/>
        <w:ind w:left="660" w:firstLine="644"/>
        <w:spacing w:after="0" w:line="239" w:lineRule="auto"/>
        <w:tabs>
          <w:tab w:leader="none" w:pos="1787" w:val="left"/>
        </w:tabs>
        <w:numPr>
          <w:ilvl w:val="2"/>
          <w:numId w:val="99"/>
        </w:numPr>
        <w:rPr>
          <w:rFonts w:ascii="Arial" w:cs="Arial" w:eastAsia="Arial" w:hAnsi="Arial"/>
          <w:sz w:val="16"/>
          <w:szCs w:val="16"/>
          <w:color w:val="010000"/>
        </w:rPr>
      </w:pPr>
      <w:r>
        <w:rPr>
          <w:rFonts w:ascii="Arial" w:cs="Arial" w:eastAsia="Arial" w:hAnsi="Arial"/>
          <w:sz w:val="16"/>
          <w:szCs w:val="16"/>
          <w:color w:val="auto"/>
        </w:rPr>
        <w:t xml:space="preserve">(1) Subject to the proviso to subsection (A) above, the Borrower may from time to time offer to make a Discounted Term Loan Prepayment by providing the Auction Agent with three (3) Business Days’ notice in the form of a Specified Discount Prepayment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offer shall be made available, at the sole discretion of the Borrower, to each Term Lender and/or each Lender with respect to any Class of Term Loans on an individual tranche basis, (II) any such offer shall specify the aggregate principal amount offered to be prepaid (the “</w:t>
      </w:r>
      <w:r>
        <w:rPr>
          <w:rFonts w:ascii="Arial" w:cs="Arial" w:eastAsia="Arial" w:hAnsi="Arial"/>
          <w:sz w:val="16"/>
          <w:szCs w:val="16"/>
          <w:u w:val="single" w:color="auto"/>
          <w:color w:val="auto"/>
        </w:rPr>
        <w:t>Specified Discount Prepayment Amount</w:t>
      </w:r>
      <w:r>
        <w:rPr>
          <w:rFonts w:ascii="Arial" w:cs="Arial" w:eastAsia="Arial" w:hAnsi="Arial"/>
          <w:sz w:val="16"/>
          <w:szCs w:val="16"/>
          <w:color w:val="auto"/>
        </w:rPr>
        <w:t>”) with respect to each applicable Class, the Class or Classes of Term Loans subject to such offer and the specific percentage discount to par (the “</w:t>
      </w:r>
      <w:r>
        <w:rPr>
          <w:rFonts w:ascii="Arial" w:cs="Arial" w:eastAsia="Arial" w:hAnsi="Arial"/>
          <w:sz w:val="16"/>
          <w:szCs w:val="16"/>
          <w:u w:val="single" w:color="auto"/>
          <w:color w:val="auto"/>
        </w:rPr>
        <w:t>Specified Discount</w:t>
      </w:r>
      <w:r>
        <w:rPr>
          <w:rFonts w:ascii="Arial" w:cs="Arial" w:eastAsia="Arial" w:hAnsi="Arial"/>
          <w:sz w:val="16"/>
          <w:szCs w:val="16"/>
          <w:color w:val="auto"/>
        </w:rPr>
        <w:t>”) of such Term Loans to be prepaid (it being understood that different Specified Discounts and/or Specified Discount Prepayment Amounts may be offered with respect to different Classes of Term Loans and, in such an event, each such offer will be treated as a separate offer pursuant to the terms of this Section),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Term Lender to the Auction Agent (or its delegate) by no later than 5:00 p.m., New York City time, on the third Business Day after the date of delivery of such notice to the relevant Term Lenders (the “</w:t>
      </w:r>
      <w:r>
        <w:rPr>
          <w:rFonts w:ascii="Arial" w:cs="Arial" w:eastAsia="Arial" w:hAnsi="Arial"/>
          <w:sz w:val="16"/>
          <w:szCs w:val="16"/>
          <w:u w:val="single" w:color="auto"/>
          <w:color w:val="auto"/>
        </w:rPr>
        <w:t>Specified Discount Prepayment Response Date</w:t>
      </w:r>
      <w:r>
        <w:rPr>
          <w:rFonts w:ascii="Arial" w:cs="Arial" w:eastAsia="Arial" w:hAnsi="Arial"/>
          <w:sz w:val="16"/>
          <w:szCs w:val="16"/>
          <w:color w:val="auto"/>
        </w:rPr>
        <w:t>”).</w:t>
      </w:r>
    </w:p>
    <w:p>
      <w:pPr>
        <w:spacing w:after="0" w:line="170" w:lineRule="exact"/>
        <w:rPr>
          <w:sz w:val="20"/>
          <w:szCs w:val="20"/>
          <w:color w:val="auto"/>
        </w:rPr>
      </w:pPr>
    </w:p>
    <w:p>
      <w:pPr>
        <w:jc w:val="both"/>
        <w:ind w:left="660" w:firstLine="644"/>
        <w:spacing w:after="0" w:line="219" w:lineRule="auto"/>
        <w:tabs>
          <w:tab w:leader="none" w:pos="1845"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Arial" w:cs="Arial" w:eastAsia="Arial" w:hAnsi="Arial"/>
          <w:sz w:val="18"/>
          <w:szCs w:val="18"/>
          <w:u w:val="single" w:color="auto"/>
          <w:color w:val="auto"/>
        </w:rPr>
        <w:t>Discount Prepayment Accepting Lender</w:t>
      </w:r>
      <w:r>
        <w:rPr>
          <w:rFonts w:ascii="Arial" w:cs="Arial" w:eastAsia="Arial" w:hAnsi="Arial"/>
          <w:sz w:val="18"/>
          <w:szCs w:val="18"/>
          <w:color w:val="auto"/>
        </w:rPr>
        <w:t>”), the amount and the Classes of such Term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75</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Discount Prepayment Response Date shall be deemed to have declined to accept the applicable Borrower Offer of Specified Discount Prepayment.</w:t>
      </w:r>
    </w:p>
    <w:p>
      <w:pPr>
        <w:spacing w:after="0" w:line="208" w:lineRule="exact"/>
        <w:rPr>
          <w:sz w:val="20"/>
          <w:szCs w:val="20"/>
          <w:color w:val="auto"/>
        </w:rPr>
      </w:pPr>
    </w:p>
    <w:p>
      <w:pPr>
        <w:jc w:val="both"/>
        <w:ind w:firstLine="644"/>
        <w:spacing w:after="0" w:line="238" w:lineRule="auto"/>
        <w:tabs>
          <w:tab w:leader="none" w:pos="1111" w:val="left"/>
        </w:tabs>
        <w:numPr>
          <w:ilvl w:val="0"/>
          <w:numId w:val="101"/>
        </w:numPr>
        <w:rPr>
          <w:rFonts w:ascii="Arial" w:cs="Arial" w:eastAsia="Arial" w:hAnsi="Arial"/>
          <w:sz w:val="16"/>
          <w:szCs w:val="16"/>
          <w:color w:val="010000"/>
        </w:rPr>
      </w:pPr>
      <w:r>
        <w:rPr>
          <w:rFonts w:ascii="Arial" w:cs="Arial" w:eastAsia="Arial" w:hAnsi="Arial"/>
          <w:sz w:val="16"/>
          <w:szCs w:val="16"/>
          <w:color w:val="auto"/>
        </w:rPr>
        <w:t xml:space="preserve">If there is at least one Discount Prepayment Accepting Lender, the Borrower will make prepayment of outstanding Term Loans pursuant to this paragraph (B) to each Discount Prepayment Accepting Lender in accordance with the respective outstanding amount and Classes of Term Loans specified in such Term Lender’s Specified Discount Prepayment Response given pursuant to subsection (2);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the Borrower and subject to rounding requirements of the Auction Agent made in its reasonable discretion) will calculate such proration (the “</w:t>
      </w:r>
      <w:r>
        <w:rPr>
          <w:rFonts w:ascii="Arial" w:cs="Arial" w:eastAsia="Arial" w:hAnsi="Arial"/>
          <w:sz w:val="16"/>
          <w:szCs w:val="16"/>
          <w:u w:val="single" w:color="auto"/>
          <w:color w:val="auto"/>
        </w:rPr>
        <w:t>Specified Discount Proration</w:t>
      </w:r>
      <w:r>
        <w:rPr>
          <w:rFonts w:ascii="Arial" w:cs="Arial" w:eastAsia="Arial" w:hAnsi="Arial"/>
          <w:sz w:val="16"/>
          <w:szCs w:val="16"/>
          <w:color w:val="auto"/>
        </w:rPr>
        <w:t>”). The Auction Agent shall promptly, and in any case within three (3) Business Days following the Specified Discount Prepayment Response Date, notify (I) the Borrower of the respective Term Lenders’ responses to such offer, the Discounted Prepayment Effective Date and the aggregate principal amount of the Discounted Term Loan Prepayment and the Classes to be prepaid, (II) each Term Lender of the Discounted Prepayment Effective Date, and the aggregate principal amount and the Classes of Term Loans to be prepaid at the Specified Discount on such date and (III) each Discount Prepayment Accepting Lender of the Specified Discount Proration, if any, and confirmation of the principal amount, Class and Type of Loans of such Term Lender to be prepaid at the Specified Discount on such date. Each determination by the Auction Agent of the amounts stated in the foregoing notices to the Borrower and Term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spacing w:after="0" w:line="172" w:lineRule="exact"/>
        <w:rPr>
          <w:sz w:val="20"/>
          <w:szCs w:val="20"/>
          <w:color w:val="auto"/>
        </w:rPr>
      </w:pPr>
    </w:p>
    <w:p>
      <w:pPr>
        <w:jc w:val="both"/>
        <w:ind w:firstLine="644"/>
        <w:spacing w:after="0" w:line="224" w:lineRule="auto"/>
        <w:tabs>
          <w:tab w:leader="none" w:pos="1090" w:val="left"/>
        </w:tabs>
        <w:numPr>
          <w:ilvl w:val="0"/>
          <w:numId w:val="102"/>
        </w:numPr>
        <w:rPr>
          <w:rFonts w:ascii="Arial" w:cs="Arial" w:eastAsia="Arial" w:hAnsi="Arial"/>
          <w:sz w:val="17"/>
          <w:szCs w:val="17"/>
          <w:color w:val="010000"/>
        </w:rPr>
      </w:pPr>
      <w:r>
        <w:rPr>
          <w:rFonts w:ascii="Arial" w:cs="Arial" w:eastAsia="Arial" w:hAnsi="Arial"/>
          <w:sz w:val="17"/>
          <w:szCs w:val="17"/>
          <w:color w:val="auto"/>
        </w:rPr>
        <w:t xml:space="preserve">(1) Subject to the proviso to subsection (A) above, the Borrower may from time to time solicit Discount Range Prepayment Offers by providing the Auction Agent with three (3) Business Days’ notice in the form of a Discount Range Prepayment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solicitation shall be extended, at the sole discretion of the Borrower, to each Term Lender and/or each Lender with respect to any Class of Term Loans on an individual tranche basis, (II) any such notice shall specify the maximum aggregate principal amount of the relevant Term Loans (the “</w:t>
      </w:r>
      <w:r>
        <w:rPr>
          <w:rFonts w:ascii="Arial" w:cs="Arial" w:eastAsia="Arial" w:hAnsi="Arial"/>
          <w:sz w:val="17"/>
          <w:szCs w:val="17"/>
          <w:u w:val="single" w:color="auto"/>
          <w:color w:val="auto"/>
        </w:rPr>
        <w:t>Discount Range Prepayment Amount</w:t>
      </w:r>
      <w:r>
        <w:rPr>
          <w:rFonts w:ascii="Arial" w:cs="Arial" w:eastAsia="Arial" w:hAnsi="Arial"/>
          <w:sz w:val="17"/>
          <w:szCs w:val="17"/>
          <w:color w:val="auto"/>
        </w:rPr>
        <w:t>”), the Class or Classes of Term Loans subject to such offer and the maximum and minimum percentage discounts to par (the “</w:t>
      </w:r>
      <w:r>
        <w:rPr>
          <w:rFonts w:ascii="Arial" w:cs="Arial" w:eastAsia="Arial" w:hAnsi="Arial"/>
          <w:sz w:val="17"/>
          <w:szCs w:val="17"/>
          <w:u w:val="single" w:color="auto"/>
          <w:color w:val="auto"/>
        </w:rPr>
        <w:t>Discount Range</w:t>
      </w:r>
      <w:r>
        <w:rPr>
          <w:rFonts w:ascii="Arial" w:cs="Arial" w:eastAsia="Arial" w:hAnsi="Arial"/>
          <w:sz w:val="17"/>
          <w:szCs w:val="17"/>
          <w:color w:val="auto"/>
        </w:rPr>
        <w:t>”) of the principal amount of such Term Loans with respect to each relevant Class of Term Loans willing to be prepaid by the Borrower (it being understood that different Discount Ranges and/or Discount Range Prepayment Amounts may be offered with respect to different Classes of Term Loans and, in such an event, each such offer will be treated as a separate offer pursuant to the terms of this Section), (III) the Discount Range Prepayment Amount shall be in an aggregate amount not less than $1,000,000 and whole increments of $500,000 in excess thereof and (IV) each such solicitation by the Borrower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Business Day after the date of delivery of such notice to the relevant Term Lenders (the “</w:t>
      </w:r>
      <w:r>
        <w:rPr>
          <w:rFonts w:ascii="Arial" w:cs="Arial" w:eastAsia="Arial" w:hAnsi="Arial"/>
          <w:sz w:val="17"/>
          <w:szCs w:val="17"/>
          <w:u w:val="single" w:color="auto"/>
          <w:color w:val="auto"/>
        </w:rPr>
        <w:t>Discount Range Prepayment Response Date</w:t>
      </w:r>
      <w:r>
        <w:rPr>
          <w:rFonts w:ascii="Arial" w:cs="Arial" w:eastAsia="Arial" w:hAnsi="Arial"/>
          <w:sz w:val="17"/>
          <w:szCs w:val="17"/>
          <w:color w:val="auto"/>
        </w:rPr>
        <w:t>”). Each relevant Term Lender’s Discount Range Prepayment Offer shall be irrevocable and shall specify a discount to par within the Discount Range (the “</w:t>
      </w:r>
      <w:r>
        <w:rPr>
          <w:rFonts w:ascii="Arial" w:cs="Arial" w:eastAsia="Arial" w:hAnsi="Arial"/>
          <w:sz w:val="17"/>
          <w:szCs w:val="17"/>
          <w:u w:val="single" w:color="auto"/>
          <w:color w:val="auto"/>
        </w:rPr>
        <w:t>Submitted Discount</w:t>
      </w:r>
      <w:r>
        <w:rPr>
          <w:rFonts w:ascii="Arial" w:cs="Arial" w:eastAsia="Arial" w:hAnsi="Arial"/>
          <w:sz w:val="17"/>
          <w:szCs w:val="17"/>
          <w:color w:val="auto"/>
        </w:rPr>
        <w:t>”) at which such Term Lender is willing to allow prepayment of any or all of its then outstanding Term Loans of the applicable Class or Classes and the maximum aggregate principal amount and Classes of such Term Lender’s Term Loans (the “</w:t>
      </w:r>
      <w:r>
        <w:rPr>
          <w:rFonts w:ascii="Arial" w:cs="Arial" w:eastAsia="Arial" w:hAnsi="Arial"/>
          <w:sz w:val="17"/>
          <w:szCs w:val="17"/>
          <w:u w:val="single" w:color="auto"/>
          <w:color w:val="auto"/>
        </w:rPr>
        <w:t>Submitted Amount</w:t>
      </w:r>
      <w:r>
        <w:rPr>
          <w:rFonts w:ascii="Arial" w:cs="Arial" w:eastAsia="Arial" w:hAnsi="Arial"/>
          <w:sz w:val="17"/>
          <w:szCs w:val="17"/>
          <w:color w:val="auto"/>
        </w:rPr>
        <w:t>”) such Term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172" w:lineRule="exact"/>
        <w:rPr>
          <w:sz w:val="20"/>
          <w:szCs w:val="20"/>
          <w:color w:val="auto"/>
        </w:rPr>
      </w:pPr>
    </w:p>
    <w:p>
      <w:pPr>
        <w:jc w:val="both"/>
        <w:ind w:firstLine="644"/>
        <w:spacing w:after="0" w:line="229" w:lineRule="auto"/>
        <w:tabs>
          <w:tab w:leader="none" w:pos="1152" w:val="left"/>
        </w:tabs>
        <w:numPr>
          <w:ilvl w:val="0"/>
          <w:numId w:val="103"/>
        </w:numPr>
        <w:rPr>
          <w:rFonts w:ascii="Arial" w:cs="Arial" w:eastAsia="Arial" w:hAnsi="Arial"/>
          <w:sz w:val="17"/>
          <w:szCs w:val="17"/>
          <w:color w:val="010000"/>
        </w:rPr>
      </w:pPr>
      <w:r>
        <w:rPr>
          <w:rFonts w:ascii="Arial" w:cs="Arial" w:eastAsia="Arial" w:hAnsi="Arial"/>
          <w:sz w:val="17"/>
          <w:szCs w:val="17"/>
          <w:color w:val="auto"/>
        </w:rPr>
        <w:t>The Auction Agent shall review all Discount Range Prepayment Offers received on or before the applicable Discount Range Prepayment Response Date and shall determine (in consultation with the Borrower and subject to rounding requirements of the Auction Agent made in its sole reasonable discretion) the Applicable Discount and Term Loans to be prepaid at such Applicable Discount in accordance with this subsection (C). The Borrower agrees to accept on the Discount Range Prepayment Response Date all Discount Range Prepayment Offers received by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0000FF"/>
          <w:highlight w:val="lightGray"/>
        </w:rPr>
        <w:t>76</w:t>
      </w:r>
    </w:p>
    <w:p>
      <w:pPr>
        <w:sectPr>
          <w:pgSz w:w="11900" w:h="16838" w:orient="portrait"/>
          <w:cols w:equalWidth="0" w:num="1">
            <w:col w:w="10580"/>
          </w:cols>
          <w:pgMar w:left="980" w:top="1440" w:right="339" w:bottom="1440" w:gutter="0" w:footer="0" w:header="0"/>
        </w:sectPr>
      </w:pPr>
    </w:p>
    <w:bookmarkStart w:id="134" w:name="page135"/>
    <w:bookmarkEnd w:id="134"/>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discount to par within the Discount Range being referred to as the “ </w:t>
      </w:r>
      <w:r>
        <w:rPr>
          <w:rFonts w:ascii="Arial" w:cs="Arial" w:eastAsia="Arial" w:hAnsi="Arial"/>
          <w:sz w:val="16"/>
          <w:szCs w:val="16"/>
          <w:u w:val="single" w:color="auto"/>
          <w:color w:val="auto"/>
        </w:rPr>
        <w:t>Applicable Discount</w:t>
      </w:r>
      <w:r>
        <w:rPr>
          <w:rFonts w:ascii="Arial" w:cs="Arial" w:eastAsia="Arial" w:hAnsi="Arial"/>
          <w:sz w:val="16"/>
          <w:szCs w:val="16"/>
          <w:color w:val="auto"/>
        </w:rPr>
        <w:t>”) which yields a Discounted Term Loan Prepayment in an aggregate principal amount equal to the lower of (I) the Discount Range Prepayment Amount and (II) the sum of all Submitted Amounts. Each Term Lender that has submitted a Discount Range Prepayment Offer to accept prepayment at a discount to par that is larger than or equal to the</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Applicable Discount shall be deemed to have irrevocably consented to prepayment of Term Loans equal to its Submitted Amount (subject to any required proration pursuant to the following subsection (3)) at the Applicable Discount (each such Term Lender, a “</w:t>
      </w:r>
      <w:r>
        <w:rPr>
          <w:rFonts w:ascii="Arial" w:cs="Arial" w:eastAsia="Arial" w:hAnsi="Arial"/>
          <w:sz w:val="16"/>
          <w:szCs w:val="16"/>
          <w:u w:val="single" w:color="auto"/>
          <w:color w:val="auto"/>
        </w:rPr>
        <w:t>Participating Lender</w:t>
      </w:r>
      <w:r>
        <w:rPr>
          <w:rFonts w:ascii="Arial" w:cs="Arial" w:eastAsia="Arial" w:hAnsi="Arial"/>
          <w:sz w:val="16"/>
          <w:szCs w:val="16"/>
          <w:color w:val="auto"/>
        </w:rPr>
        <w:t>”).</w:t>
      </w:r>
    </w:p>
    <w:p>
      <w:pPr>
        <w:spacing w:after="0" w:line="140" w:lineRule="exact"/>
        <w:rPr>
          <w:sz w:val="20"/>
          <w:szCs w:val="20"/>
          <w:color w:val="auto"/>
        </w:rPr>
      </w:pPr>
    </w:p>
    <w:p>
      <w:pPr>
        <w:jc w:val="both"/>
        <w:ind w:firstLine="644"/>
        <w:spacing w:after="0" w:line="239" w:lineRule="auto"/>
        <w:tabs>
          <w:tab w:leader="none" w:pos="1077" w:val="left"/>
        </w:tabs>
        <w:numPr>
          <w:ilvl w:val="0"/>
          <w:numId w:val="104"/>
        </w:numPr>
        <w:rPr>
          <w:rFonts w:ascii="Arial" w:cs="Arial" w:eastAsia="Arial" w:hAnsi="Arial"/>
          <w:sz w:val="16"/>
          <w:szCs w:val="16"/>
          <w:color w:val="010000"/>
        </w:rPr>
      </w:pPr>
      <w:r>
        <w:rPr>
          <w:rFonts w:ascii="Arial" w:cs="Arial" w:eastAsia="Arial" w:hAnsi="Arial"/>
          <w:sz w:val="16"/>
          <w:szCs w:val="16"/>
          <w:color w:val="auto"/>
        </w:rPr>
        <w:t xml:space="preserve">If there is at least one Participating Lender, the Borrower will prepay the respective outstanding Term Loans of each Participating Lender in the aggregate principal amount and of the Classes specified in such Term Lender’s Discount Range Prepayment Offer at the Applicable Discount;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Arial" w:cs="Arial" w:eastAsia="Arial" w:hAnsi="Arial"/>
          <w:sz w:val="16"/>
          <w:szCs w:val="16"/>
          <w:u w:val="single" w:color="auto"/>
          <w:color w:val="auto"/>
        </w:rPr>
        <w:t>Identified Participating Lenders</w:t>
      </w:r>
      <w:r>
        <w:rPr>
          <w:rFonts w:ascii="Arial" w:cs="Arial" w:eastAsia="Arial" w:hAnsi="Arial"/>
          <w:sz w:val="16"/>
          <w:szCs w:val="16"/>
          <w:color w:val="auto"/>
        </w:rPr>
        <w:t>”) shall be made pro-rata among the Identified Participating Lenders in accordance with the Submitted Amount of each such Identified Participating Lender and the Auction Agent (in consultation with the Borrower and subject to rounding requirements of the Auction Agent made in its sole reasonable discretion) will calculate such proration (the “</w:t>
      </w:r>
      <w:r>
        <w:rPr>
          <w:rFonts w:ascii="Arial" w:cs="Arial" w:eastAsia="Arial" w:hAnsi="Arial"/>
          <w:sz w:val="16"/>
          <w:szCs w:val="16"/>
          <w:u w:val="single" w:color="auto"/>
          <w:color w:val="auto"/>
        </w:rPr>
        <w:t>Discount Range Proration</w:t>
      </w:r>
      <w:r>
        <w:rPr>
          <w:rFonts w:ascii="Arial" w:cs="Arial" w:eastAsia="Arial" w:hAnsi="Arial"/>
          <w:sz w:val="16"/>
          <w:szCs w:val="16"/>
          <w:color w:val="auto"/>
        </w:rPr>
        <w:t>”). The Auction Agent shall promptly, and in any case within five (5) Business Days following the Discount Range Prepayment Response Date, notify (I) the Borrower of the respective Term Lenders’ responses to such solicitation, the Discounted Prepayment Effective Date, the Applicable Discount, and the aggregate principal amount of the Discounted Term Loan Prepayment and the Classes to be prepaid, (II) each Term Lender of the Discounted Prepayment Effective Date, the Applicable Discount, and the aggregate principal amount and Classes of Term Loans to be prepaid at the Applicable Discount on such date, (III) each Participating Lender of the aggregate principal amount and Classes of such Term Lender to be prepaid at the Applicable Discount on such date, and (z) if applicable, each Identified Participating Lender of the Discount Range Proration. Each determination by the Auction Agent of the amounts stated in the foregoing notices to the Borrower and Term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spacing w:after="0" w:line="166" w:lineRule="exact"/>
        <w:rPr>
          <w:sz w:val="20"/>
          <w:szCs w:val="20"/>
          <w:color w:val="auto"/>
        </w:rPr>
      </w:pPr>
    </w:p>
    <w:p>
      <w:pPr>
        <w:jc w:val="both"/>
        <w:ind w:firstLine="644"/>
        <w:spacing w:after="0" w:line="224" w:lineRule="auto"/>
        <w:tabs>
          <w:tab w:leader="none" w:pos="1125" w:val="left"/>
        </w:tabs>
        <w:numPr>
          <w:ilvl w:val="0"/>
          <w:numId w:val="105"/>
        </w:numPr>
        <w:rPr>
          <w:rFonts w:ascii="Arial" w:cs="Arial" w:eastAsia="Arial" w:hAnsi="Arial"/>
          <w:sz w:val="17"/>
          <w:szCs w:val="17"/>
          <w:color w:val="010000"/>
        </w:rPr>
      </w:pPr>
      <w:r>
        <w:rPr>
          <w:rFonts w:ascii="Arial" w:cs="Arial" w:eastAsia="Arial" w:hAnsi="Arial"/>
          <w:sz w:val="17"/>
          <w:szCs w:val="17"/>
          <w:color w:val="auto"/>
        </w:rPr>
        <w:t xml:space="preserve">(1) Subject to the proviso to subsection (A) above, the Borrower may from time to time solicit Solicited Discounted Prepayment Offers by providing the Auction Agent with three (3) Business Days’ notice in the form of a Solicited Discounted Prepayment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solicitation shall be extended, at the sole discretion of the Borrower, to each Term Lender and/or each Lender with respect to any Class of Term Loans on an individual tranche basis, (II) any such notice shall specify the maximum aggregate dollar amount of the Term Loans (the “</w:t>
      </w:r>
      <w:r>
        <w:rPr>
          <w:rFonts w:ascii="Arial" w:cs="Arial" w:eastAsia="Arial" w:hAnsi="Arial"/>
          <w:sz w:val="17"/>
          <w:szCs w:val="17"/>
          <w:u w:val="single" w:color="auto"/>
          <w:color w:val="auto"/>
        </w:rPr>
        <w:t>Solicited Discounted Prepayment Amount</w:t>
      </w:r>
      <w:r>
        <w:rPr>
          <w:rFonts w:ascii="Arial" w:cs="Arial" w:eastAsia="Arial" w:hAnsi="Arial"/>
          <w:sz w:val="17"/>
          <w:szCs w:val="17"/>
          <w:color w:val="auto"/>
        </w:rPr>
        <w:t>”) and the Class or Classes of Term Loans the Borrower is willing to prepay at a discount (it being understood that different Solicited Discounted Prepayment Amounts may be offered with respect to different Classes of Term Loans and, in such an event, each such offer will be treated as a separate offer pursuant to the terms of this Section), (III) the Solicited Discounted Prepayment Amount shall be in an aggregate amount not less than $1,000,000 and whole increments of $500,000 in excess thereof and (IV) each such solicitation by the Borrower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Arial" w:cs="Arial" w:eastAsia="Arial" w:hAnsi="Arial"/>
          <w:sz w:val="17"/>
          <w:szCs w:val="17"/>
          <w:u w:val="single" w:color="auto"/>
          <w:color w:val="auto"/>
        </w:rPr>
        <w:t>Solicited Discounted Prepayment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Response Date</w:t>
      </w:r>
      <w:r>
        <w:rPr>
          <w:rFonts w:ascii="Arial" w:cs="Arial" w:eastAsia="Arial" w:hAnsi="Arial"/>
          <w:sz w:val="17"/>
          <w:szCs w:val="17"/>
          <w:color w:val="auto"/>
        </w:rPr>
        <w:t>”). Each Term Lender’s Solicited Discounted Prepayment Offer shall (x) be irrevocable, (y) remain outstanding until the Acceptance Date, and (z) specify both a discount to par (the “</w:t>
      </w:r>
      <w:r>
        <w:rPr>
          <w:rFonts w:ascii="Arial" w:cs="Arial" w:eastAsia="Arial" w:hAnsi="Arial"/>
          <w:sz w:val="17"/>
          <w:szCs w:val="17"/>
          <w:u w:val="single" w:color="auto"/>
          <w:color w:val="auto"/>
        </w:rPr>
        <w:t>Offered Discount</w:t>
      </w:r>
      <w:r>
        <w:rPr>
          <w:rFonts w:ascii="Arial" w:cs="Arial" w:eastAsia="Arial" w:hAnsi="Arial"/>
          <w:sz w:val="17"/>
          <w:szCs w:val="17"/>
          <w:color w:val="auto"/>
        </w:rPr>
        <w:t>”) at which such Term Lender is willing to allow prepayment of its then outstanding Term Loan and the maximum aggregate principal amount and Classes of such Term Loans (the “</w:t>
      </w:r>
      <w:r>
        <w:rPr>
          <w:rFonts w:ascii="Arial" w:cs="Arial" w:eastAsia="Arial" w:hAnsi="Arial"/>
          <w:sz w:val="17"/>
          <w:szCs w:val="17"/>
          <w:u w:val="single" w:color="auto"/>
          <w:color w:val="auto"/>
        </w:rPr>
        <w:t>Offered Amount</w:t>
      </w:r>
      <w:r>
        <w:rPr>
          <w:rFonts w:ascii="Arial" w:cs="Arial" w:eastAsia="Arial" w:hAnsi="Arial"/>
          <w:sz w:val="17"/>
          <w:szCs w:val="17"/>
          <w:color w:val="auto"/>
        </w:rPr>
        <w:t>”) such Term Lender is willing to have prepaid at the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172" w:lineRule="exact"/>
        <w:rPr>
          <w:sz w:val="20"/>
          <w:szCs w:val="20"/>
          <w:color w:val="auto"/>
        </w:rPr>
      </w:pPr>
    </w:p>
    <w:p>
      <w:pPr>
        <w:jc w:val="both"/>
        <w:ind w:firstLine="644"/>
        <w:spacing w:after="0" w:line="219" w:lineRule="auto"/>
        <w:tabs>
          <w:tab w:leader="none" w:pos="1066"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The Auction Agent shall promptly provide the Borrower with a copy of all Solicited Discounted Prepayment Offers received on or before the Solicited Discounted Prepayment Response Date. The Borrower shall review all such Solicited Discounted Prepayment Offers and select the smallest of the Offered Discounts specified by the relevant responding Term Lenders in the Solicited Discounted Prepayment Offers that is acceptable to the Borrower (the “</w:t>
      </w:r>
      <w:r>
        <w:rPr>
          <w:rFonts w:ascii="Arial" w:cs="Arial" w:eastAsia="Arial" w:hAnsi="Arial"/>
          <w:sz w:val="18"/>
          <w:szCs w:val="18"/>
          <w:u w:val="single" w:color="auto"/>
          <w:color w:val="auto"/>
        </w:rPr>
        <w:t>Acceptable Discount</w:t>
      </w:r>
      <w:r>
        <w:rPr>
          <w:rFonts w:ascii="Arial" w:cs="Arial" w:eastAsia="Arial" w:hAnsi="Arial"/>
          <w:sz w:val="18"/>
          <w:szCs w:val="18"/>
          <w:color w:val="auto"/>
        </w:rPr>
        <w:t>”), if any. If the Borrower elects to accept any Offered Discount as the Acceptable Discount, then as soon as practicable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0000FF"/>
          <w:highlight w:val="lightGray"/>
        </w:rPr>
        <w:t>77</w:t>
      </w:r>
    </w:p>
    <w:p>
      <w:pPr>
        <w:sectPr>
          <w:pgSz w:w="11900" w:h="16838" w:orient="portrait"/>
          <w:cols w:equalWidth="0" w:num="1">
            <w:col w:w="10580"/>
          </w:cols>
          <w:pgMar w:left="980" w:top="1440" w:right="339" w:bottom="1440" w:gutter="0" w:footer="0" w:header="0"/>
        </w:sectPr>
      </w:pPr>
    </w:p>
    <w:bookmarkStart w:id="135" w:name="page136"/>
    <w:bookmarkEnd w:id="135"/>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determination of the Acceptable Discount, but in no event later than by the third Business Day after the date of receipt by the Borrower from the Auction Agent of a copy of all Solicited Discounted Prepayment Offers pursuant to the first sentence of this subsection (2) (the “</w:t>
      </w:r>
      <w:r>
        <w:rPr>
          <w:rFonts w:ascii="Arial" w:cs="Arial" w:eastAsia="Arial" w:hAnsi="Arial"/>
          <w:sz w:val="16"/>
          <w:szCs w:val="16"/>
          <w:u w:val="single" w:color="auto"/>
          <w:color w:val="auto"/>
        </w:rPr>
        <w:t>Acceptance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the Borrower shall submit an Acceptance and Prepayment Notice to the Auction Agent setting forth the Acceptable Discount. If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Auction Agent shall fail to receive an Acceptance and Prepayment Notice from the Borrower by the Acceptance Date, the Borrower shall be deemed to have rejected all Solicited Discounted Prepayment Offers.</w:t>
      </w:r>
    </w:p>
    <w:p>
      <w:pPr>
        <w:spacing w:after="0" w:line="161" w:lineRule="exact"/>
        <w:rPr>
          <w:sz w:val="20"/>
          <w:szCs w:val="20"/>
          <w:color w:val="auto"/>
        </w:rPr>
      </w:pPr>
    </w:p>
    <w:p>
      <w:pPr>
        <w:jc w:val="both"/>
        <w:ind w:firstLine="644"/>
        <w:spacing w:after="0"/>
        <w:tabs>
          <w:tab w:leader="none" w:pos="1082" w:val="left"/>
        </w:tabs>
        <w:numPr>
          <w:ilvl w:val="0"/>
          <w:numId w:val="107"/>
        </w:numPr>
        <w:rPr>
          <w:rFonts w:ascii="Arial" w:cs="Arial" w:eastAsia="Arial" w:hAnsi="Arial"/>
          <w:sz w:val="16"/>
          <w:szCs w:val="16"/>
          <w:color w:val="010000"/>
        </w:rPr>
      </w:pPr>
      <w:r>
        <w:rPr>
          <w:rFonts w:ascii="Arial" w:cs="Arial" w:eastAsia="Arial" w:hAnsi="Arial"/>
          <w:sz w:val="16"/>
          <w:szCs w:val="16"/>
          <w:color w:val="auto"/>
        </w:rPr>
        <w:t>Based upon the Acceptable Discount and the Solicited Discounted Prepayment Offers received by Auction Agent by the Solicited Discounted Prepayment Response Date, within three (3) Business Days after receipt of an Acceptance and Prepayment Notice (the “</w:t>
      </w:r>
      <w:r>
        <w:rPr>
          <w:rFonts w:ascii="Arial" w:cs="Arial" w:eastAsia="Arial" w:hAnsi="Arial"/>
          <w:sz w:val="16"/>
          <w:szCs w:val="16"/>
          <w:u w:val="single" w:color="auto"/>
          <w:color w:val="auto"/>
        </w:rPr>
        <w:t>Discounted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Prepayment Determination Date</w:t>
      </w:r>
      <w:r>
        <w:rPr>
          <w:rFonts w:ascii="Arial" w:cs="Arial" w:eastAsia="Arial" w:hAnsi="Arial"/>
          <w:sz w:val="16"/>
          <w:szCs w:val="16"/>
          <w:color w:val="auto"/>
        </w:rPr>
        <w:t>”), the Auction Agent will determine (in consultation with the Borrower and subject to rounding requirements of the Auction Agent made in its sole reasonable discretion) the aggregate principal amount and the Classes of Term Loans (the “</w:t>
      </w:r>
      <w:r>
        <w:rPr>
          <w:rFonts w:ascii="Arial" w:cs="Arial" w:eastAsia="Arial" w:hAnsi="Arial"/>
          <w:sz w:val="16"/>
          <w:szCs w:val="16"/>
          <w:u w:val="single" w:color="auto"/>
          <w:color w:val="auto"/>
        </w:rPr>
        <w:t>Acceptable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Prepayment Amount</w:t>
      </w:r>
      <w:r>
        <w:rPr>
          <w:rFonts w:ascii="Arial" w:cs="Arial" w:eastAsia="Arial" w:hAnsi="Arial"/>
          <w:sz w:val="16"/>
          <w:szCs w:val="16"/>
          <w:color w:val="auto"/>
        </w:rPr>
        <w:t xml:space="preserve">”) to be prepaid by the Borrower at the Acceptable Discount in accordance with this </w:t>
      </w:r>
      <w:r>
        <w:rPr>
          <w:rFonts w:ascii="Arial" w:cs="Arial" w:eastAsia="Arial" w:hAnsi="Arial"/>
          <w:sz w:val="16"/>
          <w:szCs w:val="16"/>
          <w:u w:val="single" w:color="auto"/>
          <w:color w:val="auto"/>
        </w:rPr>
        <w:t>Section 2.11(a)(ii)(D)</w:t>
      </w:r>
      <w:r>
        <w:rPr>
          <w:rFonts w:ascii="Arial" w:cs="Arial" w:eastAsia="Arial" w:hAnsi="Arial"/>
          <w:sz w:val="16"/>
          <w:szCs w:val="16"/>
          <w:color w:val="auto"/>
        </w:rPr>
        <w:t>). If the Borrower elects to accept any Acceptable Discount, then the Borrower agrees to accept all Solicited Discounted Prepayment Offers received by Auction Agent by the Solicited Discounted Prepayment Response Date, in the order from largest Offered Discount to smallest Offered Discount, up to and including the Acceptable Discount. Each Term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Term Lender, a “</w:t>
      </w:r>
      <w:r>
        <w:rPr>
          <w:rFonts w:ascii="Arial" w:cs="Arial" w:eastAsia="Arial" w:hAnsi="Arial"/>
          <w:sz w:val="16"/>
          <w:szCs w:val="16"/>
          <w:u w:val="single" w:color="auto"/>
          <w:color w:val="auto"/>
        </w:rPr>
        <w:t>Qualifying Lender</w:t>
      </w:r>
      <w:r>
        <w:rPr>
          <w:rFonts w:ascii="Arial" w:cs="Arial" w:eastAsia="Arial" w:hAnsi="Arial"/>
          <w:sz w:val="16"/>
          <w:szCs w:val="16"/>
          <w:color w:val="auto"/>
        </w:rPr>
        <w:t xml:space="preserve">”). The Borrower will prepay outstanding Term Loans pursuant to this subsection (D) to each Qualifying Lender in the aggregate principal amount and of the Classes specified in such Term Lender’s Solicited Discounted Prepayment Offer at the Acceptable Discount;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Arial" w:cs="Arial" w:eastAsia="Arial" w:hAnsi="Arial"/>
          <w:sz w:val="16"/>
          <w:szCs w:val="16"/>
          <w:u w:val="single" w:color="auto"/>
          <w:color w:val="auto"/>
        </w:rPr>
        <w:t>Identified Qualifying Lenders</w:t>
      </w:r>
      <w:r>
        <w:rPr>
          <w:rFonts w:ascii="Arial" w:cs="Arial" w:eastAsia="Arial" w:hAnsi="Arial"/>
          <w:sz w:val="16"/>
          <w:szCs w:val="16"/>
          <w:color w:val="auto"/>
        </w:rPr>
        <w:t>”) shall be made pro rata among the Identified Qualifying Lenders in accordance with the Offered Amount of each such Identified Qualifying Lender and the Auction Agent (in consultation with the Borrower and subject to rounding requirements of the Auction Agent made in its sole reasonable discretion) will calculate such proration (the “</w:t>
      </w:r>
      <w:r>
        <w:rPr>
          <w:rFonts w:ascii="Arial" w:cs="Arial" w:eastAsia="Arial" w:hAnsi="Arial"/>
          <w:sz w:val="16"/>
          <w:szCs w:val="16"/>
          <w:u w:val="single" w:color="auto"/>
          <w:color w:val="auto"/>
        </w:rPr>
        <w:t>Solicited Discount Proration</w:t>
      </w:r>
      <w:r>
        <w:rPr>
          <w:rFonts w:ascii="Arial" w:cs="Arial" w:eastAsia="Arial" w:hAnsi="Arial"/>
          <w:sz w:val="16"/>
          <w:szCs w:val="16"/>
          <w:color w:val="auto"/>
        </w:rPr>
        <w:t>”). On or prior to the Discounted Prepayment Determination Date, the Auction Agent shall promptly notify (I) the Borrower of the Discounted Prepayment Effective Date and Acceptable Prepayment Amount comprising the Discounted Term Loan Prepayment and the Classes to be prepaid, (II) each Term Lender of the Discounted Prepayment Effective Date, the Acceptable Discount, and the Acceptable Prepayment Amount of all Term Loans and the Classes to be prepaid to be prepaid at the Applicable Discount on such date, (III) each Qualifying Lender of the aggregate principal amount and the Classes of such Term Lender to be prepaid at the Acceptable Discount on such date, and (IV) if applicable, each Identified Qualifying Lender of the Solicited Discount Proration. Each determination by the Auction Agent of the amounts stated in the foregoing notices to the Borrower and Term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spacing w:after="0" w:line="301" w:lineRule="exact"/>
        <w:rPr>
          <w:sz w:val="20"/>
          <w:szCs w:val="20"/>
          <w:color w:val="auto"/>
        </w:rPr>
      </w:pPr>
    </w:p>
    <w:p>
      <w:pPr>
        <w:jc w:val="both"/>
        <w:ind w:firstLine="644"/>
        <w:spacing w:after="0" w:line="229" w:lineRule="auto"/>
        <w:tabs>
          <w:tab w:leader="none" w:pos="1112" w:val="left"/>
        </w:tabs>
        <w:numPr>
          <w:ilvl w:val="0"/>
          <w:numId w:val="108"/>
        </w:numPr>
        <w:rPr>
          <w:rFonts w:ascii="Arial" w:cs="Arial" w:eastAsia="Arial" w:hAnsi="Arial"/>
          <w:sz w:val="18"/>
          <w:szCs w:val="18"/>
          <w:color w:val="010000"/>
        </w:rPr>
      </w:pPr>
      <w:r>
        <w:rPr>
          <w:rFonts w:ascii="Arial" w:cs="Arial" w:eastAsia="Arial" w:hAnsi="Arial"/>
          <w:sz w:val="18"/>
          <w:szCs w:val="18"/>
          <w:color w:val="auto"/>
        </w:rPr>
        <w:t>In connection with any Discounted Term Loan Prepayment, the Borrower and the Term Lenders acknowledge and agree that the Auction Agent may require as a condition to any Discounted Term Loan Prepayment, the payment of customary fees and expenses from the Borrower in connection therewith.</w:t>
      </w:r>
    </w:p>
    <w:p>
      <w:pPr>
        <w:spacing w:after="0" w:line="163" w:lineRule="exact"/>
        <w:rPr>
          <w:rFonts w:ascii="Arial" w:cs="Arial" w:eastAsia="Arial" w:hAnsi="Arial"/>
          <w:sz w:val="18"/>
          <w:szCs w:val="18"/>
          <w:color w:val="010000"/>
        </w:rPr>
      </w:pPr>
    </w:p>
    <w:p>
      <w:pPr>
        <w:jc w:val="both"/>
        <w:ind w:firstLine="644"/>
        <w:spacing w:after="0" w:line="241" w:lineRule="auto"/>
        <w:tabs>
          <w:tab w:leader="none" w:pos="1074" w:val="left"/>
        </w:tabs>
        <w:numPr>
          <w:ilvl w:val="0"/>
          <w:numId w:val="108"/>
        </w:numPr>
        <w:rPr>
          <w:rFonts w:ascii="Arial" w:cs="Arial" w:eastAsia="Arial" w:hAnsi="Arial"/>
          <w:sz w:val="16"/>
          <w:szCs w:val="16"/>
          <w:color w:val="010000"/>
        </w:rPr>
      </w:pPr>
      <w:r>
        <w:rPr>
          <w:rFonts w:ascii="Arial" w:cs="Arial" w:eastAsia="Arial" w:hAnsi="Arial"/>
          <w:sz w:val="16"/>
          <w:szCs w:val="16"/>
          <w:color w:val="auto"/>
        </w:rPr>
        <w:t xml:space="preserve">If any Term Loan is prepaid in accordance with paragraphs (B) through (D) above, the Borrower shall prepay such Term Loans on the Discounted Prepayment Effective Date. The Borrower shall make such prepayment to the Auction Agent, for the account of the Discount Prepayment Accepting Lenders, Participating Lenders, or Qualifying Lenders, as applicable, at the Administrative Agent’s Office in immediately available funds not later than 11:00 a.m., New York City time, on the Discounted Prepayment Effective Date and all such prepayments shall be applied to the remaining principal installments of the relevant Class of Term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w:t>
      </w:r>
      <w:r>
        <w:rPr>
          <w:rFonts w:ascii="Arial" w:cs="Arial" w:eastAsia="Arial" w:hAnsi="Arial"/>
          <w:sz w:val="16"/>
          <w:szCs w:val="16"/>
          <w:u w:val="single" w:color="auto"/>
          <w:color w:val="auto"/>
        </w:rPr>
        <w:t>Section 2.11(a)(ii)</w:t>
      </w:r>
      <w:r>
        <w:rPr>
          <w:rFonts w:ascii="Arial" w:cs="Arial" w:eastAsia="Arial" w:hAnsi="Arial"/>
          <w:sz w:val="16"/>
          <w:szCs w:val="16"/>
          <w:color w:val="auto"/>
        </w:rPr>
        <w:t xml:space="preserve"> shall be paid to the Discount Prepayment Accepting Lenders, Participating Lenders, or Qualifying Lenders, as applicable. The aggregate principal amount of the Classes and installments of the relevant Term Loans outstanding shall be deemed reduced by the full par value of the aggregate principal amount of the Classes of Term Loans prepaid on the Discounted Prepayment Effective Date in any Discounted Term Loan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0000FF"/>
          <w:highlight w:val="lightGray"/>
        </w:rPr>
        <w:t>78</w:t>
      </w:r>
    </w:p>
    <w:p>
      <w:pPr>
        <w:sectPr>
          <w:pgSz w:w="11900" w:h="16838" w:orient="portrait"/>
          <w:cols w:equalWidth="0" w:num="1">
            <w:col w:w="10580"/>
          </w:cols>
          <w:pgMar w:left="980" w:top="1440" w:right="339" w:bottom="1440" w:gutter="0" w:footer="0" w:header="0"/>
        </w:sectPr>
      </w:pPr>
    </w:p>
    <w:bookmarkStart w:id="136" w:name="page137"/>
    <w:bookmarkEnd w:id="136"/>
    <w:p>
      <w:pPr>
        <w:spacing w:after="0" w:line="63" w:lineRule="exact"/>
        <w:rPr>
          <w:sz w:val="20"/>
          <w:szCs w:val="20"/>
          <w:color w:val="auto"/>
        </w:rPr>
      </w:pPr>
    </w:p>
    <w:p>
      <w:pPr>
        <w:jc w:val="both"/>
        <w:ind w:left="660" w:firstLine="644"/>
        <w:spacing w:after="0" w:line="224" w:lineRule="auto"/>
        <w:tabs>
          <w:tab w:leader="none" w:pos="1856" w:val="left"/>
        </w:tabs>
        <w:numPr>
          <w:ilvl w:val="0"/>
          <w:numId w:val="109"/>
        </w:numPr>
        <w:rPr>
          <w:rFonts w:ascii="Arial" w:cs="Arial" w:eastAsia="Arial" w:hAnsi="Arial"/>
          <w:sz w:val="18"/>
          <w:szCs w:val="18"/>
          <w:color w:val="010000"/>
        </w:rPr>
      </w:pPr>
      <w:r>
        <w:rPr>
          <w:rFonts w:ascii="Arial" w:cs="Arial" w:eastAsia="Arial" w:hAnsi="Arial"/>
          <w:sz w:val="18"/>
          <w:szCs w:val="18"/>
          <w:color w:val="auto"/>
        </w:rPr>
        <w:t xml:space="preserve">To the extent not expressly provided for herein, each Discounted Term Loan Prepayment shall be consummated pursuant to procedures consistent, with the provisions in this </w:t>
      </w:r>
      <w:r>
        <w:rPr>
          <w:rFonts w:ascii="Arial" w:cs="Arial" w:eastAsia="Arial" w:hAnsi="Arial"/>
          <w:sz w:val="18"/>
          <w:szCs w:val="18"/>
          <w:u w:val="single" w:color="auto"/>
          <w:color w:val="auto"/>
        </w:rPr>
        <w:t>Section 2.11(a)(ii)</w:t>
      </w:r>
      <w:r>
        <w:rPr>
          <w:rFonts w:ascii="Arial" w:cs="Arial" w:eastAsia="Arial" w:hAnsi="Arial"/>
          <w:sz w:val="18"/>
          <w:szCs w:val="18"/>
          <w:color w:val="auto"/>
        </w:rPr>
        <w:t>, established by the Auction Agent acting in its reasonable discretion and as reasonably agreed by the Borrower.</w:t>
      </w:r>
    </w:p>
    <w:p>
      <w:pPr>
        <w:spacing w:after="0" w:line="176" w:lineRule="exact"/>
        <w:rPr>
          <w:rFonts w:ascii="Arial" w:cs="Arial" w:eastAsia="Arial" w:hAnsi="Arial"/>
          <w:sz w:val="18"/>
          <w:szCs w:val="18"/>
          <w:color w:val="010000"/>
        </w:rPr>
      </w:pPr>
    </w:p>
    <w:p>
      <w:pPr>
        <w:jc w:val="both"/>
        <w:ind w:left="660" w:firstLine="644"/>
        <w:spacing w:after="0" w:line="219" w:lineRule="auto"/>
        <w:tabs>
          <w:tab w:leader="none" w:pos="1828" w:val="left"/>
        </w:tabs>
        <w:numPr>
          <w:ilvl w:val="0"/>
          <w:numId w:val="109"/>
        </w:numPr>
        <w:rPr>
          <w:rFonts w:ascii="Arial" w:cs="Arial" w:eastAsia="Arial" w:hAnsi="Arial"/>
          <w:sz w:val="18"/>
          <w:szCs w:val="18"/>
          <w:color w:val="010000"/>
        </w:rPr>
      </w:pPr>
      <w:r>
        <w:rPr>
          <w:rFonts w:ascii="Arial" w:cs="Arial" w:eastAsia="Arial" w:hAnsi="Arial"/>
          <w:sz w:val="18"/>
          <w:szCs w:val="18"/>
          <w:color w:val="auto"/>
        </w:rPr>
        <w:t xml:space="preserve">Notwithstanding anything in any Loan Document to the contrary, for purposes of this </w:t>
      </w:r>
      <w:r>
        <w:rPr>
          <w:rFonts w:ascii="Arial" w:cs="Arial" w:eastAsia="Arial" w:hAnsi="Arial"/>
          <w:sz w:val="18"/>
          <w:szCs w:val="18"/>
          <w:u w:val="single" w:color="auto"/>
          <w:color w:val="auto"/>
        </w:rPr>
        <w:t>Section 2.11(a)(ii)</w:t>
      </w:r>
      <w:r>
        <w:rPr>
          <w:rFonts w:ascii="Arial" w:cs="Arial" w:eastAsia="Arial" w:hAnsi="Arial"/>
          <w:sz w:val="18"/>
          <w:szCs w:val="18"/>
          <w:color w:val="auto"/>
        </w:rPr>
        <w:t xml:space="preserve">,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or communication actually received outside of normal business hours shall be deemed to have been given as of the opening of business on the next Business Day.</w:t>
      </w:r>
    </w:p>
    <w:p>
      <w:pPr>
        <w:spacing w:after="0" w:line="162" w:lineRule="exact"/>
        <w:rPr>
          <w:rFonts w:ascii="Arial" w:cs="Arial" w:eastAsia="Arial" w:hAnsi="Arial"/>
          <w:sz w:val="18"/>
          <w:szCs w:val="18"/>
          <w:color w:val="010000"/>
        </w:rPr>
      </w:pPr>
    </w:p>
    <w:p>
      <w:pPr>
        <w:jc w:val="both"/>
        <w:ind w:left="660" w:firstLine="644"/>
        <w:spacing w:after="0" w:line="235" w:lineRule="auto"/>
        <w:tabs>
          <w:tab w:leader="none" w:pos="1689" w:val="left"/>
        </w:tabs>
        <w:numPr>
          <w:ilvl w:val="0"/>
          <w:numId w:val="109"/>
        </w:numPr>
        <w:rPr>
          <w:rFonts w:ascii="Arial" w:cs="Arial" w:eastAsia="Arial" w:hAnsi="Arial"/>
          <w:sz w:val="17"/>
          <w:szCs w:val="17"/>
          <w:color w:val="010000"/>
        </w:rPr>
      </w:pPr>
      <w:r>
        <w:rPr>
          <w:rFonts w:ascii="Arial" w:cs="Arial" w:eastAsia="Arial" w:hAnsi="Arial"/>
          <w:sz w:val="17"/>
          <w:szCs w:val="17"/>
          <w:color w:val="auto"/>
        </w:rPr>
        <w:t xml:space="preserve">The Borrower and each of the Term Lenders acknowledges and agrees that the Auction Agent may perform any and all of its duties under this </w:t>
      </w:r>
      <w:r>
        <w:rPr>
          <w:rFonts w:ascii="Arial" w:cs="Arial" w:eastAsia="Arial" w:hAnsi="Arial"/>
          <w:sz w:val="17"/>
          <w:szCs w:val="17"/>
          <w:u w:val="single" w:color="auto"/>
          <w:color w:val="auto"/>
        </w:rPr>
        <w:t>Section 2.11(a)(ii)</w:t>
      </w:r>
      <w:r>
        <w:rPr>
          <w:rFonts w:ascii="Arial" w:cs="Arial" w:eastAsia="Arial" w:hAnsi="Arial"/>
          <w:sz w:val="17"/>
          <w:szCs w:val="17"/>
          <w:color w:val="auto"/>
        </w:rPr>
        <w:t xml:space="preserve">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w:t>
      </w:r>
      <w:r>
        <w:rPr>
          <w:rFonts w:ascii="Arial" w:cs="Arial" w:eastAsia="Arial" w:hAnsi="Arial"/>
          <w:sz w:val="17"/>
          <w:szCs w:val="17"/>
          <w:u w:val="single" w:color="auto"/>
          <w:color w:val="auto"/>
        </w:rPr>
        <w:t>Section 2.11(a)(ii)</w:t>
      </w:r>
      <w:r>
        <w:rPr>
          <w:rFonts w:ascii="Arial" w:cs="Arial" w:eastAsia="Arial" w:hAnsi="Arial"/>
          <w:sz w:val="17"/>
          <w:szCs w:val="17"/>
          <w:color w:val="auto"/>
        </w:rPr>
        <w:t xml:space="preserve"> as well as activities of the Auction Agent.</w:t>
      </w:r>
    </w:p>
    <w:p>
      <w:pPr>
        <w:spacing w:after="0" w:line="163" w:lineRule="exact"/>
        <w:rPr>
          <w:rFonts w:ascii="Arial" w:cs="Arial" w:eastAsia="Arial" w:hAnsi="Arial"/>
          <w:sz w:val="17"/>
          <w:szCs w:val="17"/>
          <w:color w:val="010000"/>
        </w:rPr>
      </w:pPr>
    </w:p>
    <w:p>
      <w:pPr>
        <w:jc w:val="both"/>
        <w:ind w:left="660" w:firstLine="644"/>
        <w:spacing w:after="0" w:line="232" w:lineRule="auto"/>
        <w:tabs>
          <w:tab w:leader="none" w:pos="1748" w:val="left"/>
        </w:tabs>
        <w:numPr>
          <w:ilvl w:val="0"/>
          <w:numId w:val="109"/>
        </w:numPr>
        <w:rPr>
          <w:rFonts w:ascii="Arial" w:cs="Arial" w:eastAsia="Arial" w:hAnsi="Arial"/>
          <w:sz w:val="17"/>
          <w:szCs w:val="17"/>
          <w:color w:val="010000"/>
        </w:rPr>
      </w:pPr>
      <w:r>
        <w:rPr>
          <w:rFonts w:ascii="Arial" w:cs="Arial" w:eastAsia="Arial" w:hAnsi="Arial"/>
          <w:sz w:val="17"/>
          <w:szCs w:val="17"/>
          <w:color w:val="auto"/>
        </w:rPr>
        <w:t xml:space="preserve">The Borrower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(and if such offer is revoked pursuant to this subclause (J), any failure by the Borrower to make any prepayment to a Term Lender, as applicable, pursuant to this </w:t>
      </w:r>
      <w:r>
        <w:rPr>
          <w:rFonts w:ascii="Arial" w:cs="Arial" w:eastAsia="Arial" w:hAnsi="Arial"/>
          <w:sz w:val="17"/>
          <w:szCs w:val="17"/>
          <w:u w:val="single" w:color="auto"/>
          <w:color w:val="auto"/>
        </w:rPr>
        <w:t>Section 2.11(a)(ii)</w:t>
      </w:r>
      <w:r>
        <w:rPr>
          <w:rFonts w:ascii="Arial" w:cs="Arial" w:eastAsia="Arial" w:hAnsi="Arial"/>
          <w:sz w:val="17"/>
          <w:szCs w:val="17"/>
          <w:color w:val="auto"/>
        </w:rPr>
        <w:t xml:space="preserve"> shall not constitute a Default or Event of Default under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or otherwise).</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 xml:space="preserve">Notwithstanding anything to contrary, the provisions of this </w:t>
      </w:r>
      <w:r>
        <w:rPr>
          <w:rFonts w:ascii="Arial" w:cs="Arial" w:eastAsia="Arial" w:hAnsi="Arial"/>
          <w:sz w:val="17"/>
          <w:szCs w:val="17"/>
          <w:u w:val="single" w:color="auto"/>
          <w:color w:val="auto"/>
        </w:rPr>
        <w:t>Section 2.11(a)(ii)</w:t>
      </w:r>
      <w:r>
        <w:rPr>
          <w:rFonts w:ascii="Arial" w:cs="Arial" w:eastAsia="Arial" w:hAnsi="Arial"/>
          <w:sz w:val="17"/>
          <w:szCs w:val="17"/>
          <w:color w:val="auto"/>
        </w:rPr>
        <w:t xml:space="preserve"> shall permit any transaction permitted by such section to be conducted on a Class by Class basis and on a non-pro rata basis across Classes (but not within a single Class), in each case, as selected by the Borrower.</w:t>
      </w:r>
    </w:p>
    <w:p>
      <w:pPr>
        <w:spacing w:after="0" w:line="147" w:lineRule="exact"/>
        <w:rPr>
          <w:sz w:val="20"/>
          <w:szCs w:val="20"/>
          <w:color w:val="auto"/>
        </w:rPr>
      </w:pPr>
    </w:p>
    <w:p>
      <w:pPr>
        <w:jc w:val="both"/>
        <w:ind w:firstLine="656"/>
        <w:spacing w:after="0" w:line="229" w:lineRule="auto"/>
        <w:tabs>
          <w:tab w:leader="none" w:pos="10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In the event and on each occasion that the aggregate Revolving Exposures exceed the aggregate Revolving Commitments, the Borrower shall prepay Revolving Loan Borrowings (or, if no such Borrowings are outstanding, deposit Cash Collateral in an account with the Administrative Agent pursuant to </w:t>
      </w:r>
      <w:r>
        <w:rPr>
          <w:rFonts w:ascii="Arial" w:cs="Arial" w:eastAsia="Arial" w:hAnsi="Arial"/>
          <w:sz w:val="18"/>
          <w:szCs w:val="18"/>
          <w:u w:val="single" w:color="auto"/>
          <w:color w:val="auto"/>
        </w:rPr>
        <w:t>Section 2.05(j)</w:t>
      </w:r>
      <w:r>
        <w:rPr>
          <w:rFonts w:ascii="Arial" w:cs="Arial" w:eastAsia="Arial" w:hAnsi="Arial"/>
          <w:sz w:val="18"/>
          <w:szCs w:val="18"/>
          <w:color w:val="auto"/>
        </w:rPr>
        <w:t>) in an aggregate amount necessary to eliminate such excess.</w:t>
      </w:r>
    </w:p>
    <w:p>
      <w:pPr>
        <w:spacing w:after="0" w:line="163" w:lineRule="exact"/>
        <w:rPr>
          <w:rFonts w:ascii="Arial" w:cs="Arial" w:eastAsia="Arial" w:hAnsi="Arial"/>
          <w:sz w:val="18"/>
          <w:szCs w:val="18"/>
          <w:color w:val="auto"/>
        </w:rPr>
      </w:pPr>
    </w:p>
    <w:p>
      <w:pPr>
        <w:jc w:val="both"/>
        <w:ind w:firstLine="656"/>
        <w:spacing w:after="0" w:line="224" w:lineRule="auto"/>
        <w:tabs>
          <w:tab w:leader="none" w:pos="104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In the event and on each occasion that any Net Proceeds are received by or on behalf of the Borrower or any of its Restricted Subsidiaries in respect of any Prepayment Event, the Borrower shall, within ten Business Days after such Net Proceeds are received (or, in the case of a Prepayment Event described in clause (b) of the definition of the term “Prepayment Event,” on the date of such Prepayment Event), prepay Term Loan Borrowings in an aggregate amount equal to the Disposition/Debt Percentage of the amount of such Net Proceeds;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event described in clause (a) of the definition of the term “Prepayment Event” in reliance on clause (I) of the first proviso to </w:t>
      </w:r>
      <w:r>
        <w:rPr>
          <w:rFonts w:ascii="Arial" w:cs="Arial" w:eastAsia="Arial" w:hAnsi="Arial"/>
          <w:sz w:val="17"/>
          <w:szCs w:val="17"/>
          <w:u w:val="single" w:color="auto"/>
          <w:color w:val="auto"/>
        </w:rPr>
        <w:t>Section 6.05(k)</w:t>
      </w:r>
      <w:r>
        <w:rPr>
          <w:rFonts w:ascii="Arial" w:cs="Arial" w:eastAsia="Arial" w:hAnsi="Arial"/>
          <w:sz w:val="17"/>
          <w:szCs w:val="17"/>
          <w:color w:val="auto"/>
        </w:rPr>
        <w:t xml:space="preserve">, if the Borrower or any of the Restricted Subsidiaries invests (or commits to invest) the Net Proceeds from such event (or a portion thereof) within 540 days after receipt of such Net Proceeds in the business of Holdings and its Subsidiaries (including any acquisitions or other Investment permitted under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540 day period (or if committed to be so invested within such 540 day period, have not been so invested within 720 days after receipt thereof), at which time a prepayment shall be required in an amount equal to such Net Proceeds that have not been so invested (or committed to be invested);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Borrower may elect to deem expenditures that occur prior to the receipt of such Net Proceeds but otherwise would be permissible reinvestments to have been reinvested in accordance with the provisions of this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if such expenditures are made following the later of (A) ninety (90) days prior to receipt of such Net Proceeds and (B) the date the definitive agreement with a third party is entered into for the sale, transfer or other Disposition of the assets underlying such Net Proceeds);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Borrower may use a portion of such Net Proceeds to prepay, redeem or repurchase (or to offer to prepay, redeem or repurchase) any other Indebtedness that is secured by a Lien on the Collateral that ranks equal in priority (but without regard to the control of remedies) with the Lien on the Collateral securing the Secured Obligations to the extent such other Indebtedness and the Liens securing the same are permitted hereunder and the documentation governing such other Indebtedness requires such a prepayment, redemption or repurchase (or such an offer to prepay, redeem or repurchase) (such Indebtedness required to be so repaid, redeemed or repurchased (or offered to be repaid, redeemed or repurchased), the “</w:t>
      </w:r>
      <w:r>
        <w:rPr>
          <w:rFonts w:ascii="Arial" w:cs="Arial" w:eastAsia="Arial" w:hAnsi="Arial"/>
          <w:sz w:val="17"/>
          <w:szCs w:val="17"/>
          <w:u w:val="single" w:color="auto"/>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79</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u w:val="single" w:color="auto"/>
          <w:color w:val="auto"/>
        </w:rPr>
        <w:t>Applicable Indebtedness</w:t>
      </w:r>
      <w:r>
        <w:rPr>
          <w:rFonts w:ascii="Arial" w:cs="Arial" w:eastAsia="Arial" w:hAnsi="Arial"/>
          <w:sz w:val="18"/>
          <w:szCs w:val="18"/>
          <w:color w:val="auto"/>
        </w:rPr>
        <w:t>”), in each case in an amount not to exceed the product of (x) the amount of such Net Proceeds and (y) a fraction, the numerator of which is the outstanding principal amount of such Other Applicable Indebtedness and the denominator of which is the aggregate outstanding principal amount of Term Loans and such Other Applicable Indebtedness.</w:t>
      </w:r>
    </w:p>
    <w:p>
      <w:pPr>
        <w:spacing w:after="0" w:line="176" w:lineRule="exact"/>
        <w:rPr>
          <w:sz w:val="20"/>
          <w:szCs w:val="20"/>
          <w:color w:val="auto"/>
        </w:rPr>
      </w:pPr>
    </w:p>
    <w:p>
      <w:pPr>
        <w:jc w:val="both"/>
        <w:ind w:firstLine="656"/>
        <w:spacing w:after="0" w:line="235" w:lineRule="auto"/>
        <w:tabs>
          <w:tab w:leader="none" w:pos="1114" w:val="left"/>
        </w:tabs>
        <w:numPr>
          <w:ilvl w:val="1"/>
          <w:numId w:val="111"/>
        </w:numPr>
        <w:rPr>
          <w:rFonts w:ascii="Arial" w:cs="Arial" w:eastAsia="Arial" w:hAnsi="Arial"/>
          <w:sz w:val="16"/>
          <w:szCs w:val="16"/>
          <w:color w:val="auto"/>
        </w:rPr>
      </w:pPr>
      <w:r>
        <w:rPr>
          <w:rFonts w:ascii="Arial" w:cs="Arial" w:eastAsia="Arial" w:hAnsi="Arial"/>
          <w:sz w:val="16"/>
          <w:szCs w:val="16"/>
          <w:color w:val="auto"/>
        </w:rPr>
        <w:t>Following the end of each fiscal year of the Borrower, commencing with the fiscal year ending December 31, 2022, the Borrower shall prepay Term Loan Borrowings in an aggregate amount (the “</w:t>
      </w:r>
      <w:r>
        <w:rPr>
          <w:rFonts w:ascii="Arial" w:cs="Arial" w:eastAsia="Arial" w:hAnsi="Arial"/>
          <w:sz w:val="16"/>
          <w:szCs w:val="16"/>
          <w:u w:val="single" w:color="auto"/>
          <w:color w:val="auto"/>
        </w:rPr>
        <w:t>ECF Payment Amount</w:t>
      </w:r>
      <w:r>
        <w:rPr>
          <w:rFonts w:ascii="Arial" w:cs="Arial" w:eastAsia="Arial" w:hAnsi="Arial"/>
          <w:sz w:val="16"/>
          <w:szCs w:val="16"/>
          <w:color w:val="auto"/>
        </w:rPr>
        <w:t xml:space="preserve">”) equal to the ECF Percentage of Excess Cash Flow for such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at the Borrower’s option, such amount shall be reduced by the sum of (i) the aggregate amount of prepayments, repurchases or redemptions during such fiscal year or, at the option of the Borrower, after such fiscal year and prior to the date of the required Excess Cash Flow payment in lieu of being deducted from the Excess Cash Flow prepayment with respect to the fiscal year in which actually made (including, without limitation, loan buybacks and prepayments in connection with lender replacement provisions) of (x) Term Loans (and, to the extent the revolving commitments are reduced in a corresponding amount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Revolving Loans, Incremental Revolving Loans and Other Revolving Loans) made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and repurchases pursuant to </w:t>
      </w:r>
      <w:r>
        <w:rPr>
          <w:rFonts w:ascii="Arial" w:cs="Arial" w:eastAsia="Arial" w:hAnsi="Arial"/>
          <w:sz w:val="16"/>
          <w:szCs w:val="16"/>
          <w:u w:val="single" w:color="auto"/>
          <w:color w:val="auto"/>
        </w:rPr>
        <w:t>Section 9.04(h)</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reduction as a result of prepayments pursuant to </w:t>
      </w:r>
      <w:r>
        <w:rPr>
          <w:rFonts w:ascii="Arial" w:cs="Arial" w:eastAsia="Arial" w:hAnsi="Arial"/>
          <w:sz w:val="16"/>
          <w:szCs w:val="16"/>
          <w:u w:val="single" w:color="auto"/>
          <w:color w:val="auto"/>
        </w:rPr>
        <w:t>Section 2.11(a)(ii)</w:t>
      </w:r>
      <w:r>
        <w:rPr>
          <w:rFonts w:ascii="Arial" w:cs="Arial" w:eastAsia="Arial" w:hAnsi="Arial"/>
          <w:sz w:val="16"/>
          <w:szCs w:val="16"/>
          <w:color w:val="auto"/>
        </w:rPr>
        <w:t xml:space="preserve"> and repurchases pursuant to </w:t>
      </w:r>
      <w:r>
        <w:rPr>
          <w:rFonts w:ascii="Arial" w:cs="Arial" w:eastAsia="Arial" w:hAnsi="Arial"/>
          <w:sz w:val="16"/>
          <w:szCs w:val="16"/>
          <w:u w:val="single" w:color="auto"/>
          <w:color w:val="auto"/>
        </w:rPr>
        <w:t>Section 9.04(h)</w:t>
      </w:r>
      <w:r>
        <w:rPr>
          <w:rFonts w:ascii="Arial" w:cs="Arial" w:eastAsia="Arial" w:hAnsi="Arial"/>
          <w:sz w:val="16"/>
          <w:szCs w:val="16"/>
          <w:color w:val="auto"/>
        </w:rPr>
        <w:t xml:space="preserve"> shall be limited to the actual amount of such cash prepayment) and (y) other Indebtedness that is secured by any portion of the Collateral on an equal priority basis (but without regard to the control of remedies) with Liens securing the Secured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the prepayment of any revolving commitments, there is a corresponding reduction in commitments), excluding, in each case under this sub-clause (i), all such prepayments funded with the proceeds of other long-term Indebtedness (other than revolving Indebtedness or intercompany loans among the Borrower and its Restricted Subsidiaries) (unless such long-term Indebtedness has been repaid with internally generated cash) or issuances of Equity Interests and (ii) the ECF Deductions, (B) any such amounts described in the foregoing clause (A) that have not been applied to reduce the ECF Prepayment Amount shall be carried over to subsequent fiscal years and may be applied to reduce the ECF Prepayment Amount in respect of such subsequent fiscal years, until such time as such amounts have been used to reduce any such ECF Prepayment Amount and (C) no prepayment of Term Loans shall be required under this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unless, and solely to the extent that, the ECF Payment Amount for such fiscal year exceeds the greater of</w:t>
      </w:r>
    </w:p>
    <w:p>
      <w:pPr>
        <w:spacing w:after="0" w:line="4" w:lineRule="exact"/>
        <w:rPr>
          <w:rFonts w:ascii="Arial" w:cs="Arial" w:eastAsia="Arial" w:hAnsi="Arial"/>
          <w:sz w:val="16"/>
          <w:szCs w:val="16"/>
          <w:color w:val="auto"/>
        </w:rPr>
      </w:pPr>
    </w:p>
    <w:p>
      <w:pPr>
        <w:ind w:left="280" w:hanging="272"/>
        <w:spacing w:after="0"/>
        <w:tabs>
          <w:tab w:leader="none" w:pos="2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$20,000,000 and (y) 15% of Consolidated EBITDA for the most recently ended Test Period as of such time determined on a Pro Forma Basis (such</w:t>
      </w:r>
    </w:p>
    <w:p>
      <w:pPr>
        <w:spacing w:after="0" w:line="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threshold, the “</w:t>
      </w:r>
      <w:r>
        <w:rPr>
          <w:rFonts w:ascii="Arial" w:cs="Arial" w:eastAsia="Arial" w:hAnsi="Arial"/>
          <w:sz w:val="16"/>
          <w:szCs w:val="16"/>
          <w:u w:val="single" w:color="auto"/>
          <w:color w:val="auto"/>
        </w:rPr>
        <w:t>ECF Threshold</w:t>
      </w:r>
      <w:r>
        <w:rPr>
          <w:rFonts w:ascii="Arial" w:cs="Arial" w:eastAsia="Arial" w:hAnsi="Arial"/>
          <w:sz w:val="16"/>
          <w:szCs w:val="16"/>
          <w:color w:val="auto"/>
        </w:rPr>
        <w:t>”) (any amounts not in excess of such amount, “</w:t>
      </w:r>
      <w:r>
        <w:rPr>
          <w:rFonts w:ascii="Arial" w:cs="Arial" w:eastAsia="Arial" w:hAnsi="Arial"/>
          <w:sz w:val="16"/>
          <w:szCs w:val="16"/>
          <w:u w:val="single" w:color="auto"/>
          <w:color w:val="auto"/>
        </w:rPr>
        <w:t>Retained ECF Proceeds</w:t>
      </w:r>
      <w:r>
        <w:rPr>
          <w:rFonts w:ascii="Arial" w:cs="Arial" w:eastAsia="Arial" w:hAnsi="Arial"/>
          <w:sz w:val="16"/>
          <w:szCs w:val="16"/>
          <w:color w:val="auto"/>
        </w:rPr>
        <w:t xml:space="preserve">”) (it being understood that the Borrower shall only be required to repay Term Loans under this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for such fiscal year in the amount by which the ECF Payment Amount exceeds the ECF Threshold);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further</w:t>
      </w:r>
      <w:r>
        <w:rPr>
          <w:rFonts w:ascii="Arial" w:cs="Arial" w:eastAsia="Arial" w:hAnsi="Arial"/>
          <w:sz w:val="16"/>
          <w:szCs w:val="16"/>
          <w:color w:val="auto"/>
        </w:rPr>
        <w:t>, that the Borrower may use a portion of such Excess Cash Flow to prepay, redeem or repurchase (or to offer to prepay, redeem</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or repurchase) any Other Applicable Indebtedness, in each case in an amount not to exceed the product of (x) the amount of such ECF Percentage of Excess Cash Flow and (y) a fraction, the numerator of which is the outstanding principal amount of such Other Applicable Indebtedness and the denominator of which is the aggregate outstanding principal amount of Term Loans and such Other Applicable Indebtedness. Each prepayment pursuant to this paragraph</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shall be made on or before the date that is ten Business Days after the date on which financial statements are required to be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with respect to the fiscal year for which Excess Cash Flow is being calculated.</w:t>
      </w:r>
    </w:p>
    <w:p>
      <w:pPr>
        <w:spacing w:after="0" w:line="161" w:lineRule="exact"/>
        <w:rPr>
          <w:sz w:val="20"/>
          <w:szCs w:val="20"/>
          <w:color w:val="auto"/>
        </w:rPr>
      </w:pPr>
    </w:p>
    <w:p>
      <w:pPr>
        <w:jc w:val="both"/>
        <w:ind w:firstLine="656"/>
        <w:spacing w:after="0" w:line="241" w:lineRule="auto"/>
        <w:tabs>
          <w:tab w:leader="none" w:pos="1099"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Prior to any optional or mandatory prepayment of Borrowings hereunder, the Borrower shall select the Borrowing or Borrowings of any Class to be prepaid and shall specify such selection in the notice of such prepayment pursuant to paragraph (f) of this Section (including in the event of any mandatory prepayment of Term Loan Borrowings made at a time when Term Loan Borrowings of more than one Class remain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ind w:left="260" w:hanging="252"/>
        <w:spacing w:after="0" w:line="232" w:lineRule="auto"/>
        <w:tabs>
          <w:tab w:leader="none" w:pos="2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Term Lender (and, to the extent provided in the Incremental Facility Amendment, Refinancing Amendment or Loan Modification Offer for any</w:t>
      </w:r>
    </w:p>
    <w:p>
      <w:pPr>
        <w:jc w:val="both"/>
        <w:spacing w:after="0" w:line="234" w:lineRule="auto"/>
        <w:rPr>
          <w:sz w:val="20"/>
          <w:szCs w:val="20"/>
          <w:color w:val="auto"/>
        </w:rPr>
      </w:pPr>
      <w:r>
        <w:rPr>
          <w:rFonts w:ascii="Arial" w:cs="Arial" w:eastAsia="Arial" w:hAnsi="Arial"/>
          <w:sz w:val="16"/>
          <w:szCs w:val="16"/>
          <w:color w:val="auto"/>
        </w:rPr>
        <w:t>Class of Term Loans, any Lender that holds Term Loans of such Class) may elect, by notice to the Administrative Agent by telephone (confirmed by hand delivery, facsimile or other electronic transmission) at least one Business Day prior to the prepayment date, to decline all or any portion of any prepayment of its Term Loans or Other Term Loans of any such Class pursuant to this Section (other than an optional prepayment pursuant to paragraph (a)(i) of this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Section or a mandatory prepayment as a result of the Prepayment Event set forth in clause (b) of the definition thereof, which may not be declined), in which case the aggregate amount of the prepayment that would have been applied to prepay Term Loans of any such Class but was so declined shall be retained by Holdings, the Borrower and the Restricted Subsidiaries (such amounts, “</w:t>
      </w:r>
      <w:r>
        <w:rPr>
          <w:rFonts w:ascii="Arial" w:cs="Arial" w:eastAsia="Arial" w:hAnsi="Arial"/>
          <w:sz w:val="16"/>
          <w:szCs w:val="16"/>
          <w:u w:val="single" w:color="auto"/>
          <w:color w:val="auto"/>
        </w:rPr>
        <w:t>Retained Declined Proceeds</w:t>
      </w:r>
      <w:r>
        <w:rPr>
          <w:rFonts w:ascii="Arial" w:cs="Arial" w:eastAsia="Arial" w:hAnsi="Arial"/>
          <w:sz w:val="16"/>
          <w:szCs w:val="16"/>
          <w:color w:val="auto"/>
        </w:rPr>
        <w:t>”) and (II) notwithstanding anything to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contrary set forth in this Agreement, any prepayment of Loans with the Net Proceeds of, or in exchange for, Credit Agreement Refinancing Indebtedness pursuant to clause (b) of the definition of Prepayment Event shall be applied solely to each applicable Class or Classes of Loans being refinanced as selected by the Borrower. Optional and mandatory prepayments of Term Loan Borrowings shall be allocated among the Class or Classes of Term Loan</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Borrowings as directed by the Borrower. In the absence of a designation by the Borrower as described in the preceding provisions of this paragraph of the Type of Borrowing of any Class, the Administrative Agent shall make such designation in its reasonable discretion </w:t>
      </w:r>
      <w:r>
        <w:rPr>
          <w:rFonts w:ascii="Arial" w:cs="Arial" w:eastAsia="Arial" w:hAnsi="Arial"/>
          <w:sz w:val="18"/>
          <w:szCs w:val="18"/>
          <w:color w:val="FF0000"/>
        </w:rPr>
        <w:t>with a view, but no obligation, to</w:t>
      </w:r>
      <w:r>
        <w:rPr>
          <w:rFonts w:ascii="Arial" w:cs="Arial" w:eastAsia="Arial" w:hAnsi="Arial"/>
          <w:sz w:val="18"/>
          <w:szCs w:val="18"/>
          <w:color w:val="auto"/>
        </w:rPr>
        <w:t xml:space="preserve"> </w:t>
      </w:r>
      <w:r>
        <w:rPr>
          <w:rFonts w:ascii="Arial" w:cs="Arial" w:eastAsia="Arial" w:hAnsi="Arial"/>
          <w:sz w:val="18"/>
          <w:szCs w:val="18"/>
          <w:color w:val="FF0000"/>
          <w:strike w:val="1"/>
        </w:rPr>
        <w:t>minimize breakage costs owing under</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Section 2.16</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5490845</wp:posOffset>
            </wp:positionH>
            <wp:positionV relativeFrom="paragraph">
              <wp:posOffset>-187325</wp:posOffset>
            </wp:positionV>
            <wp:extent cx="16465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1646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80</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63" w:lineRule="exact"/>
        <w:rPr>
          <w:sz w:val="20"/>
          <w:szCs w:val="20"/>
          <w:color w:val="auto"/>
        </w:rPr>
      </w:pPr>
    </w:p>
    <w:p>
      <w:pPr>
        <w:jc w:val="both"/>
        <w:ind w:firstLine="656"/>
        <w:spacing w:after="0" w:line="238" w:lineRule="auto"/>
        <w:tabs>
          <w:tab w:leader="none" w:pos="10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Borrower shall notify the Administrative Agent of any prepayment hereunder by telephone or delivering a Notice of Loan Prepayment; provid</w:t>
      </w:r>
      <w:r>
        <w:rPr>
          <w:rFonts w:ascii="Arial" w:cs="Arial" w:eastAsia="Arial" w:hAnsi="Arial"/>
          <w:sz w:val="16"/>
          <w:szCs w:val="16"/>
          <w:u w:val="single" w:color="auto"/>
          <w:color w:val="auto"/>
        </w:rPr>
        <w:t>ed</w:t>
      </w:r>
      <w:r>
        <w:rPr>
          <w:rFonts w:ascii="Arial" w:cs="Arial" w:eastAsia="Arial" w:hAnsi="Arial"/>
          <w:sz w:val="16"/>
          <w:szCs w:val="16"/>
          <w:color w:val="auto"/>
        </w:rPr>
        <w:t xml:space="preserve"> that, unless otherwise agreed by the Administrative Agent, such notice must be received (i) in the case of prepayment of a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SOFR</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Borrowing, not later than 11:00 a.m., New York City time, three (3) Business Days before the date of prepayment or (ii) in the case of prepayment of</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an ABR Borrowing, not later than 11:00 a.m., New York City time, one Business Day before the date of prepayment;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further</w:t>
      </w:r>
      <w:r>
        <w:rPr>
          <w:rFonts w:ascii="Arial" w:cs="Arial" w:eastAsia="Arial" w:hAnsi="Arial"/>
          <w:sz w:val="16"/>
          <w:szCs w:val="16"/>
          <w:color w:val="000000"/>
        </w:rPr>
        <w:t xml:space="preserve">, that each telephonic notice shall be confirmed promptly by hand delivery, facsimile or other electronic transmission to the Administrative Agent of a written Notice of Loan Prepayment signed by a Responsible Officer of the Borrower. Each such notice shall be irrevocable and shall specify the prepayment date and the principal amount of each Borrowing or portion thereof to be prepaid and, in the case of a mandatory prepayment, a reasonably detailed calculation of the amount of such prepayment;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16"/>
          <w:szCs w:val="16"/>
          <w:u w:val="single" w:color="auto"/>
          <w:color w:val="000000"/>
        </w:rPr>
        <w:t>Section 2.02</w:t>
      </w:r>
      <w:r>
        <w:rPr>
          <w:rFonts w:ascii="Arial" w:cs="Arial" w:eastAsia="Arial" w:hAnsi="Arial"/>
          <w:sz w:val="16"/>
          <w:szCs w:val="16"/>
          <w:color w:val="000000"/>
        </w:rPr>
        <w:t xml:space="preserve">, except as necessary to apply fully the required amount of a mandatory prepayment. Each prepayment of a Borrowing shall be applied ratably to the Loans included in the prepaid Borrowing. Prepayments shall be accompanied by accrued interest to the extent required by </w:t>
      </w:r>
      <w:r>
        <w:rPr>
          <w:rFonts w:ascii="Arial" w:cs="Arial" w:eastAsia="Arial" w:hAnsi="Arial"/>
          <w:sz w:val="16"/>
          <w:szCs w:val="16"/>
          <w:u w:val="single" w:color="auto"/>
          <w:color w:val="000000"/>
        </w:rPr>
        <w:t>Section 2.13</w:t>
      </w:r>
      <w:r>
        <w:rPr>
          <w:rFonts w:ascii="Arial" w:cs="Arial" w:eastAsia="Arial" w:hAnsi="Arial"/>
          <w:sz w:val="16"/>
          <w:szCs w:val="16"/>
          <w:color w:val="000000"/>
        </w:rPr>
        <w:t xml:space="preserve">. At the Borrower’s election in connection with any prepayment pursuant to this </w:t>
      </w:r>
      <w:r>
        <w:rPr>
          <w:rFonts w:ascii="Arial" w:cs="Arial" w:eastAsia="Arial" w:hAnsi="Arial"/>
          <w:sz w:val="16"/>
          <w:szCs w:val="16"/>
          <w:u w:val="single" w:color="auto"/>
          <w:color w:val="000000"/>
        </w:rPr>
        <w:t>Section 2.11</w:t>
      </w:r>
      <w:r>
        <w:rPr>
          <w:rFonts w:ascii="Arial" w:cs="Arial" w:eastAsia="Arial" w:hAnsi="Arial"/>
          <w:sz w:val="16"/>
          <w:szCs w:val="16"/>
          <w:color w:val="000000"/>
        </w:rPr>
        <w:t>, such prepayment shall not be applied to any Term Loan or Revolving Loan of a Defaulting Lender and shall be allocated ratably among the relevant non-Defaulting Lenders.</w:t>
      </w:r>
    </w:p>
    <w:p>
      <w:pPr>
        <w:spacing w:after="0" w:line="172" w:lineRule="exact"/>
        <w:rPr>
          <w:rFonts w:ascii="Arial" w:cs="Arial" w:eastAsia="Arial" w:hAnsi="Arial"/>
          <w:sz w:val="16"/>
          <w:szCs w:val="16"/>
          <w:color w:val="auto"/>
        </w:rPr>
      </w:pPr>
    </w:p>
    <w:p>
      <w:pPr>
        <w:jc w:val="both"/>
        <w:ind w:firstLine="656"/>
        <w:spacing w:after="0"/>
        <w:tabs>
          <w:tab w:leader="none" w:pos="104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 to the extent that any of or all the Net Proceeds of any Prepayment Event set forth in clause (a) of the definition thereof by a Foreign Subsidiary giving rise to a prepayment pursuant to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(a “</w:t>
      </w:r>
      <w:r>
        <w:rPr>
          <w:rFonts w:ascii="Arial" w:cs="Arial" w:eastAsia="Arial" w:hAnsi="Arial"/>
          <w:sz w:val="16"/>
          <w:szCs w:val="16"/>
          <w:u w:val="single" w:color="auto"/>
          <w:color w:val="auto"/>
        </w:rPr>
        <w:t>Foreign Prepayment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w:t>
      </w:r>
      <w:r>
        <w:rPr>
          <w:rFonts w:ascii="Arial" w:cs="Arial" w:eastAsia="Arial" w:hAnsi="Arial"/>
          <w:sz w:val="16"/>
          <w:szCs w:val="16"/>
          <w:color w:val="auto"/>
        </w:rPr>
        <w:t xml:space="preserve">”) or Excess Cash Flow of a Foreign Subsidiary giving rise to a prepayment pursuant to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are prohibited or delayed by any Requirement of Law from being repatriated to the Borrower, an amount equal to the portion of such Net Proceeds or Excess Cash Flow so affected will not be required to be applied to repay Term Loans at the times provided in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as the case may be, so long, but only so long, as the applicable Requirement of Law will not permit repatriation to the Borrower (the Borrower hereby agreeing to cause the applicable Foreign Subsidiary to promptly take all actions reasonably required by the applicable Requirement of Law to permit such repatriation), and once such repatriation of any of such affected Net Proceeds or Excess Cash Flow is permitted under the applicable Requirement of Law, an amount equal to such Net Proceeds or Excess Cash Flow will be promptly applied (net of additional taxes that would be payable or reserved against as a result of repatriating such amounts to the extent not taken into account by the definition of Net Proceeds or Excess Cash Flow, as applicable) to the repayment of the Term Loans pursuant to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as applicable, and (B) to the extent that and for so long as the Borrower has determined in good faith that repatriation of any of or all the Net Proceeds of any Foreign Prepayment Event or Excess Cash Flow of a Foreign Subsidiary would have a material adverse tax consequence (taking into account any foreign tax credit or benefit actually realized in connection with such repatriation) with respect to such Net Proceeds or Excess Cash Flow, an amount equal to the Net Proceeds or Excess Cash Flow so affected will not be required to be applied to repay Term Loans at the times provided in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when the Borrower determines in good faith that repatriation of any of or all the Net Proceeds of any Foreign Prepayment Event or Excess Cash Flow would no longer have a material adverse tax consequence (taking into account any foreign tax credit or benefit actually realized in connection with such repatriation) with respect to such Net Proceeds or Excess Cash Flow, an amount equal to such Net Proceeds or Excess Cash Flow shall be promptly applied (net of additional taxes that would be payable or reserved against as a result of repatriating such amounts to the extent not taken into account by the definition of Net Proceeds or Excess Cash Flow, as applicable) to the repayment of the Term Loans pursuant to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as applicable.</w:t>
      </w:r>
    </w:p>
    <w:p>
      <w:pPr>
        <w:spacing w:after="0" w:line="3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5"/>
          <w:szCs w:val="15"/>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3238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165" w:lineRule="exact"/>
        <w:rPr>
          <w:sz w:val="20"/>
          <w:szCs w:val="20"/>
          <w:color w:val="auto"/>
        </w:rPr>
      </w:pPr>
    </w:p>
    <w:p>
      <w:pPr>
        <w:jc w:val="both"/>
        <w:ind w:firstLine="656"/>
        <w:spacing w:after="0" w:line="215" w:lineRule="auto"/>
        <w:tabs>
          <w:tab w:leader="none" w:pos="104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The Borrower agrees to pay to the Administrative Agent in dollars for the account of each Revolving Lender a commitment fee, which shall accrue at the rate of 0.25% per annum (or at any time following delivery of the consolidated financial statements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as of and for the fiscal quarter ended September 30, 2021, 0.375% per annum if the First Lien Leverage Ratio is greater than 2.75 to 1.00) on the actual daily unused amount of the Revolving Commitment of such Lender during the period from and including the Effective Date to but excluding the date on which the Revolving Commitments terminate. Accrued commitment fees shall be payable in arrears on the third Business Day following the last day of March, June, September and December of each year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81</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6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excluding the last day). For purposes of computing commitment fees, a Revolving Commitment of a Lender shall be deemed to be used to the extent of the outstanding Revolving Loans and LC Exposure of such Lender.</w:t>
      </w:r>
    </w:p>
    <w:p>
      <w:pPr>
        <w:spacing w:after="0" w:line="162" w:lineRule="exact"/>
        <w:rPr>
          <w:sz w:val="20"/>
          <w:szCs w:val="20"/>
          <w:color w:val="auto"/>
        </w:rPr>
      </w:pPr>
    </w:p>
    <w:p>
      <w:pPr>
        <w:jc w:val="both"/>
        <w:ind w:firstLine="656"/>
        <w:spacing w:after="0" w:line="225" w:lineRule="auto"/>
        <w:tabs>
          <w:tab w:leader="none" w:pos="1104"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The Borrower agrees to pay to the Administrative Agent for the account of each Revolving Lender (other than any Defaulting Lender) a participation fee with respect to its participations in Letters of Credit, which shall accrue at the Applicable Rate, in each case, used to determine the interest rate applicable to </w:t>
      </w:r>
      <w:r>
        <w:rPr>
          <w:rFonts w:ascii="Arial" w:cs="Arial" w:eastAsia="Arial" w:hAnsi="Arial"/>
          <w:sz w:val="17"/>
          <w:szCs w:val="17"/>
          <w:color w:val="FF0000"/>
          <w:strike w:val="1"/>
        </w:rPr>
        <w:t>Eurocurrency</w:t>
      </w:r>
      <w:r>
        <w:rPr>
          <w:rFonts w:ascii="Arial" w:cs="Arial" w:eastAsia="Arial" w:hAnsi="Arial"/>
          <w:sz w:val="17"/>
          <w:szCs w:val="17"/>
          <w:u w:val="single" w:color="auto"/>
          <w:color w:val="0000FF"/>
          <w:highlight w:val="lightGray"/>
        </w:rPr>
        <w:t>Term SOFR</w:t>
      </w:r>
      <w:r>
        <w:rPr>
          <w:rFonts w:ascii="Arial" w:cs="Arial" w:eastAsia="Arial" w:hAnsi="Arial"/>
          <w:sz w:val="17"/>
          <w:szCs w:val="17"/>
          <w:color w:val="auto"/>
        </w:rPr>
        <w:t xml:space="preserve"> Revolving Loans, on the daily amount of such Revolving Lender’s LC Exposure (excluding any portion thereof attributable to unreimbursed LC Disbursements), during the period from and including the Effective Date to but excluding the later of the date on which such Revolving Lender’s Revolving Commitment terminates and the date on which such Revolving Lender ceases to have any LC Exposure. In addition, the Borrower agrees to pay to each Issuing Bank, for its own account, a fronting fee, in respect of each Letter of Credit issued by such Issuing Bank to the Borrower for the period from the date of issuance of such Letter of Credit through the expiration date of such Letter of Credit (or if terminated on an earlier date to the termination date of such Letter of Credit), computed at a rate equal to 0.125% per annum or such other percentage per annum to be agreed upon between the Borrower and such Issuing Bank of the daily outstanding amount of such Letter of Credit,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the last day of March, June, September and December of each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fees shall be payable on the date on which the Revolving Commitments terminate and any such fees accruing after the date on which the Revolving Commitments terminate shall be payable on demand until the expiration or cancellation of all outstanding Letters of Credit. All participation fees and fronting fees shall be computed on the basis of a year of 360 days and shall be payable for the actual number of days elapsed.</w:t>
      </w:r>
    </w:p>
    <w:p>
      <w:pPr>
        <w:spacing w:after="0" w:line="167" w:lineRule="exact"/>
        <w:rPr>
          <w:rFonts w:ascii="Arial" w:cs="Arial" w:eastAsia="Arial" w:hAnsi="Arial"/>
          <w:sz w:val="17"/>
          <w:szCs w:val="17"/>
          <w:color w:val="auto"/>
        </w:rPr>
      </w:pPr>
    </w:p>
    <w:p>
      <w:pPr>
        <w:jc w:val="both"/>
        <w:ind w:firstLine="656"/>
        <w:spacing w:after="0" w:line="229" w:lineRule="auto"/>
        <w:tabs>
          <w:tab w:leader="none" w:pos="103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immediately available funds, to the Administrative Agent (or to an Issuing Bank, in the case of fees payable to it) for distribution, in the case of commitment fees and participation fees, to the Revolving Lenders entitled thereto. Fees paid hereunder shall not be refundable under any circumstances.</w:t>
      </w:r>
    </w:p>
    <w:p>
      <w:pPr>
        <w:spacing w:after="0" w:line="163" w:lineRule="exact"/>
        <w:rPr>
          <w:rFonts w:ascii="Arial" w:cs="Arial" w:eastAsia="Arial" w:hAnsi="Arial"/>
          <w:sz w:val="18"/>
          <w:szCs w:val="18"/>
          <w:color w:val="auto"/>
        </w:rPr>
      </w:pPr>
    </w:p>
    <w:p>
      <w:pPr>
        <w:ind w:firstLine="656"/>
        <w:spacing w:after="0" w:line="246" w:lineRule="auto"/>
        <w:tabs>
          <w:tab w:leader="none" w:pos="103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an agency fee payable in the amount and at the times separately agreed upon between the Borrower and the Administrative Agent.</w:t>
      </w:r>
    </w:p>
    <w:p>
      <w:pPr>
        <w:spacing w:after="0" w:line="156" w:lineRule="exact"/>
        <w:rPr>
          <w:rFonts w:ascii="Arial" w:cs="Arial" w:eastAsia="Arial" w:hAnsi="Arial"/>
          <w:sz w:val="18"/>
          <w:szCs w:val="18"/>
          <w:color w:val="auto"/>
        </w:rPr>
      </w:pPr>
    </w:p>
    <w:p>
      <w:pPr>
        <w:jc w:val="both"/>
        <w:ind w:firstLine="656"/>
        <w:spacing w:after="0" w:line="229" w:lineRule="auto"/>
        <w:tabs>
          <w:tab w:leader="none" w:pos="103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Notwithstanding the foregoing, and subject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the Borrower shall not be obligated to pay any amounts to any Defaulting Lender pursuant to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shall be payable to any non-Defaulting Lender which assumes the obligations of a Defaulting Lender pursuant to </w:t>
      </w:r>
      <w:r>
        <w:rPr>
          <w:rFonts w:ascii="Arial" w:cs="Arial" w:eastAsia="Arial" w:hAnsi="Arial"/>
          <w:sz w:val="18"/>
          <w:szCs w:val="18"/>
          <w:u w:val="single" w:color="auto"/>
          <w:color w:val="auto"/>
        </w:rPr>
        <w:t>Section 2.22(a)(iv)</w:t>
      </w:r>
      <w:r>
        <w:rPr>
          <w:rFonts w:ascii="Arial" w:cs="Arial" w:eastAsia="Arial" w:hAnsi="Arial"/>
          <w:sz w:val="18"/>
          <w:szCs w:val="18"/>
          <w:color w:val="auto"/>
        </w:rPr>
        <w:t>.</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4572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65" w:lineRule="exact"/>
        <w:rPr>
          <w:sz w:val="20"/>
          <w:szCs w:val="20"/>
          <w:color w:val="auto"/>
        </w:rPr>
      </w:pPr>
    </w:p>
    <w:p>
      <w:pPr>
        <w:ind w:left="1040" w:hanging="384"/>
        <w:spacing w:after="0"/>
        <w:tabs>
          <w:tab w:leader="none" w:pos="10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Loans comprising each ABR Borrowing shall bear interest at the Alternate Base Rate plus the Applicable Rate.</w:t>
      </w:r>
    </w:p>
    <w:p>
      <w:pPr>
        <w:spacing w:after="0" w:line="198" w:lineRule="exact"/>
        <w:rPr>
          <w:rFonts w:ascii="Arial" w:cs="Arial" w:eastAsia="Arial" w:hAnsi="Arial"/>
          <w:sz w:val="18"/>
          <w:szCs w:val="18"/>
          <w:color w:val="auto"/>
        </w:rPr>
      </w:pPr>
    </w:p>
    <w:p>
      <w:pPr>
        <w:ind w:firstLine="656"/>
        <w:spacing w:after="0" w:line="235" w:lineRule="auto"/>
        <w:tabs>
          <w:tab w:leader="none" w:pos="107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The Loans comprising each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SOFR</w:t>
      </w:r>
      <w:r>
        <w:rPr>
          <w:rFonts w:ascii="Arial" w:cs="Arial" w:eastAsia="Arial" w:hAnsi="Arial"/>
          <w:sz w:val="18"/>
          <w:szCs w:val="18"/>
          <w:color w:val="auto"/>
        </w:rPr>
        <w:t xml:space="preserve"> Borrowing shall bear interest at </w:t>
      </w:r>
      <w:r>
        <w:rPr>
          <w:rFonts w:ascii="Arial" w:cs="Arial" w:eastAsia="Arial" w:hAnsi="Arial"/>
          <w:sz w:val="18"/>
          <w:szCs w:val="18"/>
          <w:color w:val="FF0000"/>
          <w:strike w:val="1"/>
        </w:rPr>
        <w:t>the</w:t>
      </w:r>
      <w:r>
        <w:rPr>
          <w:rFonts w:ascii="Arial" w:cs="Arial" w:eastAsia="Arial" w:hAnsi="Arial"/>
          <w:sz w:val="18"/>
          <w:szCs w:val="18"/>
          <w:color w:val="auto"/>
        </w:rPr>
        <w:t xml:space="preserve"> Adjusted </w:t>
      </w:r>
      <w:r>
        <w:rPr>
          <w:rFonts w:ascii="Arial" w:cs="Arial" w:eastAsia="Arial" w:hAnsi="Arial"/>
          <w:sz w:val="18"/>
          <w:szCs w:val="18"/>
          <w:color w:val="FF0000"/>
          <w:strike w:val="1"/>
        </w:rPr>
        <w:t>LIBO Rate</w:t>
      </w:r>
      <w:r>
        <w:rPr>
          <w:rFonts w:ascii="Arial" w:cs="Arial" w:eastAsia="Arial" w:hAnsi="Arial"/>
          <w:sz w:val="18"/>
          <w:szCs w:val="18"/>
          <w:u w:val="single" w:color="auto"/>
          <w:color w:val="0000FF"/>
          <w:highlight w:val="lightGray"/>
        </w:rPr>
        <w:t>Term SOFR</w:t>
      </w:r>
      <w:r>
        <w:rPr>
          <w:rFonts w:ascii="Arial" w:cs="Arial" w:eastAsia="Arial" w:hAnsi="Arial"/>
          <w:sz w:val="18"/>
          <w:szCs w:val="18"/>
          <w:color w:val="auto"/>
        </w:rPr>
        <w:t xml:space="preserve"> for the Interest Period in effect for such Borrowing plus the Applicable Rate</w:t>
      </w:r>
      <w:r>
        <w:rPr>
          <w:rFonts w:ascii="Arial" w:cs="Arial" w:eastAsia="Arial" w:hAnsi="Arial"/>
          <w:sz w:val="18"/>
          <w:szCs w:val="18"/>
          <w:u w:val="single" w:color="auto"/>
          <w:color w:val="0000FF"/>
        </w:rPr>
        <w:t>.</w:t>
      </w:r>
    </w:p>
    <w:p>
      <w:pPr>
        <w:spacing w:after="0" w:line="161" w:lineRule="exact"/>
        <w:rPr>
          <w:rFonts w:ascii="Arial" w:cs="Arial" w:eastAsia="Arial" w:hAnsi="Arial"/>
          <w:sz w:val="18"/>
          <w:szCs w:val="18"/>
          <w:color w:val="auto"/>
        </w:rPr>
      </w:pPr>
    </w:p>
    <w:p>
      <w:pPr>
        <w:jc w:val="both"/>
        <w:ind w:firstLine="656"/>
        <w:spacing w:after="0" w:line="248" w:lineRule="auto"/>
        <w:tabs>
          <w:tab w:leader="none" w:pos="1054"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any principal of or interest on any Loan or any fee or other amount payable by the Borrower hereunder is not paid when due, whether at stated maturity, upon acceleration or otherwise, during the continuance of an Event of Default under clauses </w:t>
      </w:r>
      <w:r>
        <w:rPr>
          <w:rFonts w:ascii="Arial" w:cs="Arial" w:eastAsia="Arial" w:hAnsi="Arial"/>
          <w:sz w:val="16"/>
          <w:szCs w:val="16"/>
          <w:u w:val="single" w:color="auto"/>
          <w:color w:val="auto"/>
        </w:rPr>
        <w:t>(a)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w:t>
      </w:r>
    </w:p>
    <w:p>
      <w:pPr>
        <w:jc w:val="both"/>
        <w:ind w:firstLine="8"/>
        <w:spacing w:after="0" w:line="241" w:lineRule="auto"/>
        <w:tabs>
          <w:tab w:leader="none" w:pos="239" w:val="left"/>
        </w:tabs>
        <w:numPr>
          <w:ilvl w:val="0"/>
          <w:numId w:val="119"/>
        </w:numPr>
        <w:rPr>
          <w:rFonts w:ascii="Arial" w:cs="Arial" w:eastAsia="Arial" w:hAnsi="Arial"/>
          <w:sz w:val="16"/>
          <w:szCs w:val="16"/>
          <w:u w:val="single" w:color="auto"/>
          <w:color w:val="auto"/>
        </w:rPr>
      </w:pPr>
      <w:r>
        <w:rPr>
          <w:rFonts w:ascii="Arial" w:cs="Arial" w:eastAsia="Arial" w:hAnsi="Arial"/>
          <w:sz w:val="16"/>
          <w:szCs w:val="16"/>
          <w:color w:val="auto"/>
        </w:rPr>
        <w:t xml:space="preserve">of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such overdue amount shall bear interest, after as well as before judgment, at a rate per annum equal to (i) in the case of overdue principal of any Loan, 2.00% per annum plus the rate otherwise applicable to such Loan as provided in the preceding paragraphs of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(ii) in the case of any other amount, 2.00% per annum plus the rate applicable to ABR Revolving Loans as provided in paragraph (a)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amount shall be payable pursuant to this </w:t>
      </w:r>
      <w:r>
        <w:rPr>
          <w:rFonts w:ascii="Arial" w:cs="Arial" w:eastAsia="Arial" w:hAnsi="Arial"/>
          <w:sz w:val="16"/>
          <w:szCs w:val="16"/>
          <w:u w:val="single" w:color="auto"/>
          <w:color w:val="auto"/>
        </w:rPr>
        <w:t>Section 2.13(c)</w:t>
      </w:r>
      <w:r>
        <w:rPr>
          <w:rFonts w:ascii="Arial" w:cs="Arial" w:eastAsia="Arial" w:hAnsi="Arial"/>
          <w:sz w:val="16"/>
          <w:szCs w:val="16"/>
          <w:color w:val="auto"/>
        </w:rPr>
        <w:t xml:space="preserve"> to a Defaulting Lender so long as such Lender shall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amounts shall accrue pursuant to this </w:t>
      </w:r>
      <w:r>
        <w:rPr>
          <w:rFonts w:ascii="Arial" w:cs="Arial" w:eastAsia="Arial" w:hAnsi="Arial"/>
          <w:sz w:val="16"/>
          <w:szCs w:val="16"/>
          <w:u w:val="single" w:color="auto"/>
          <w:color w:val="auto"/>
        </w:rPr>
        <w:t>Section 2.13(c)</w:t>
      </w:r>
      <w:r>
        <w:rPr>
          <w:rFonts w:ascii="Arial" w:cs="Arial" w:eastAsia="Arial" w:hAnsi="Arial"/>
          <w:sz w:val="16"/>
          <w:szCs w:val="16"/>
          <w:color w:val="auto"/>
        </w:rPr>
        <w:t xml:space="preserve"> on any overdue amount, reimbursement obligation in respect of any LC Disbursement or other amount payable to a Defaulting Lender so long as such Lender shall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amounts shall be payable to any non-Defaulting Lender which assumes the obligations of a Defaulting Lender pursuant to </w:t>
      </w:r>
      <w:r>
        <w:rPr>
          <w:rFonts w:ascii="Arial" w:cs="Arial" w:eastAsia="Arial" w:hAnsi="Arial"/>
          <w:sz w:val="16"/>
          <w:szCs w:val="16"/>
          <w:u w:val="single" w:color="auto"/>
          <w:color w:val="auto"/>
        </w:rPr>
        <w:t>Section 2.22(a)(iv)</w:t>
      </w:r>
      <w:r>
        <w:rPr>
          <w:rFonts w:ascii="Arial" w:cs="Arial" w:eastAsia="Arial" w:hAnsi="Arial"/>
          <w:sz w:val="16"/>
          <w:szCs w:val="16"/>
          <w:color w:val="auto"/>
        </w:rPr>
        <w:t>.</w:t>
      </w:r>
    </w:p>
    <w:p>
      <w:pPr>
        <w:spacing w:after="0" w:line="162" w:lineRule="exact"/>
        <w:rPr>
          <w:rFonts w:ascii="Arial" w:cs="Arial" w:eastAsia="Arial" w:hAnsi="Arial"/>
          <w:sz w:val="16"/>
          <w:szCs w:val="16"/>
          <w:u w:val="single" w:color="auto"/>
          <w:color w:val="auto"/>
        </w:rPr>
      </w:pPr>
    </w:p>
    <w:p>
      <w:pPr>
        <w:jc w:val="both"/>
        <w:ind w:firstLine="656"/>
        <w:spacing w:after="0" w:line="248" w:lineRule="auto"/>
        <w:tabs>
          <w:tab w:leader="none" w:pos="1054"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paragraph (c) of this Section shall be payable on demand,</w:t>
      </w:r>
    </w:p>
    <w:p>
      <w:pPr>
        <w:ind w:left="280" w:hanging="272"/>
        <w:spacing w:after="0"/>
        <w:tabs>
          <w:tab w:leader="none" w:pos="2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event of any repayment or prepayment of any Loan (other than a prepayment of an ABR Revolving Loan prior to the end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-1778000</wp:posOffset>
            </wp:positionV>
            <wp:extent cx="2540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82</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 xml:space="preserve">Revolving Availability Period), accrued interest on the principal amount repaid or prepaid shall be payable on the date of such repayment or prepayment and (iii) in the event of any conversion of any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SOFR</w:t>
      </w:r>
      <w:r>
        <w:rPr>
          <w:rFonts w:ascii="Arial" w:cs="Arial" w:eastAsia="Arial" w:hAnsi="Arial"/>
          <w:sz w:val="18"/>
          <w:szCs w:val="18"/>
          <w:color w:val="auto"/>
        </w:rPr>
        <w:t xml:space="preserve"> Loan prior to the end of the current Interest Period therefor, accrued interest on such Loan shall be payable on the effective date of such conversion.</w:t>
      </w:r>
    </w:p>
    <w:p>
      <w:pPr>
        <w:spacing w:after="0" w:line="176" w:lineRule="exact"/>
        <w:rPr>
          <w:sz w:val="20"/>
          <w:szCs w:val="20"/>
          <w:color w:val="auto"/>
        </w:rPr>
      </w:pPr>
    </w:p>
    <w:p>
      <w:pPr>
        <w:jc w:val="both"/>
        <w:ind w:firstLine="656"/>
        <w:spacing w:after="0" w:line="228" w:lineRule="auto"/>
        <w:tabs>
          <w:tab w:leader="none" w:pos="10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All computations of interest for ABR Loans (including ABR Loans determined by reference to </w:t>
      </w:r>
      <w:r>
        <w:rPr>
          <w:rFonts w:ascii="Arial" w:cs="Arial" w:eastAsia="Arial" w:hAnsi="Arial"/>
          <w:sz w:val="17"/>
          <w:szCs w:val="17"/>
          <w:color w:val="FF0000"/>
          <w:strike w:val="1"/>
        </w:rPr>
        <w:t>the</w:t>
      </w:r>
      <w:r>
        <w:rPr>
          <w:rFonts w:ascii="Arial" w:cs="Arial" w:eastAsia="Arial" w:hAnsi="Arial"/>
          <w:sz w:val="17"/>
          <w:szCs w:val="17"/>
          <w:color w:val="auto"/>
        </w:rPr>
        <w:t xml:space="preserve"> Adjusted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highlight w:val="lightGray"/>
        </w:rPr>
        <w:t>Term SOFR</w:t>
      </w:r>
      <w:r>
        <w:rPr>
          <w:rFonts w:ascii="Arial" w:cs="Arial" w:eastAsia="Arial" w:hAnsi="Arial"/>
          <w:sz w:val="17"/>
          <w:szCs w:val="17"/>
          <w:color w:val="auto"/>
        </w:rPr>
        <w:t xml:space="preserv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generally accepted market practice differs from the foregoing, in accordance with such generally accepted market practice. Interest shall accrue on each Loan for the day on which the Loan is made, and shall not accrue on a Loan, or any portion thereof, for the day on which the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 made shall, subject to </w:t>
      </w:r>
      <w:r>
        <w:rPr>
          <w:rFonts w:ascii="Arial" w:cs="Arial" w:eastAsia="Arial" w:hAnsi="Arial"/>
          <w:sz w:val="17"/>
          <w:szCs w:val="17"/>
          <w:u w:val="single" w:color="auto"/>
          <w:color w:val="auto"/>
        </w:rPr>
        <w:t>Section 2.18</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color w:val="auto"/>
        </w:rPr>
        <w:t>Alternate Rate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2719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1271905" cy="8255"/>
                    </a:xfrm>
                    <a:prstGeom prst="rect">
                      <a:avLst/>
                    </a:prstGeom>
                    <a:noFill/>
                  </pic:spPr>
                </pic:pic>
              </a:graphicData>
            </a:graphic>
          </wp:anchor>
        </w:drawing>
      </w:r>
    </w:p>
    <w:p>
      <w:pPr>
        <w:spacing w:after="0" w:line="178" w:lineRule="exact"/>
        <w:rPr>
          <w:sz w:val="20"/>
          <w:szCs w:val="20"/>
          <w:color w:val="auto"/>
        </w:rPr>
      </w:pPr>
    </w:p>
    <w:p>
      <w:pPr>
        <w:ind w:firstLine="656"/>
        <w:spacing w:after="0" w:line="235" w:lineRule="auto"/>
        <w:tabs>
          <w:tab w:leader="none" w:pos="116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Other than as set forth in clause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below, if, at least two Business Days prior to the commencement of any Interest Period for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SOFR</w:t>
      </w:r>
      <w:r>
        <w:rPr>
          <w:rFonts w:ascii="Arial" w:cs="Arial" w:eastAsia="Arial" w:hAnsi="Arial"/>
          <w:sz w:val="18"/>
          <w:szCs w:val="18"/>
          <w:color w:val="FF0000"/>
        </w:rPr>
        <w:t xml:space="preserve"> </w:t>
      </w:r>
      <w:r>
        <w:rPr>
          <w:rFonts w:ascii="Arial" w:cs="Arial" w:eastAsia="Arial" w:hAnsi="Arial"/>
          <w:sz w:val="18"/>
          <w:szCs w:val="18"/>
          <w:color w:val="000000"/>
        </w:rPr>
        <w:t>Borrowing:</w:t>
      </w:r>
    </w:p>
    <w:p>
      <w:pPr>
        <w:spacing w:after="0" w:line="161" w:lineRule="exact"/>
        <w:rPr>
          <w:rFonts w:ascii="Arial" w:cs="Arial" w:eastAsia="Arial" w:hAnsi="Arial"/>
          <w:sz w:val="18"/>
          <w:szCs w:val="18"/>
          <w:color w:val="auto"/>
        </w:rPr>
      </w:pPr>
    </w:p>
    <w:p>
      <w:pPr>
        <w:jc w:val="both"/>
        <w:ind w:left="660" w:firstLine="644"/>
        <w:spacing w:after="0" w:line="267" w:lineRule="auto"/>
        <w:tabs>
          <w:tab w:leader="none" w:pos="1676"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the Administrative Agent determines (which determination shall be conclusive absent manifest error) </w:t>
      </w:r>
      <w:r>
        <w:rPr>
          <w:rFonts w:ascii="Arial" w:cs="Arial" w:eastAsia="Arial" w:hAnsi="Arial"/>
          <w:sz w:val="16"/>
          <w:szCs w:val="16"/>
          <w:u w:val="single" w:color="auto"/>
          <w:color w:val="0000FF"/>
          <w:highlight w:val="lightGray"/>
        </w:rPr>
        <w:t>prior to the commencement of</w:t>
      </w:r>
      <w:r>
        <w:rPr>
          <w:rFonts w:ascii="Arial" w:cs="Arial" w:eastAsia="Arial" w:hAnsi="Arial"/>
          <w:sz w:val="16"/>
          <w:szCs w:val="16"/>
          <w:color w:val="auto"/>
        </w:rPr>
        <w:t xml:space="preserve"> </w:t>
      </w:r>
      <w:r>
        <w:rPr>
          <w:rFonts w:ascii="Arial" w:cs="Arial" w:eastAsia="Arial" w:hAnsi="Arial"/>
          <w:sz w:val="16"/>
          <w:szCs w:val="16"/>
          <w:color w:val="0000FF"/>
          <w:highlight w:val="lightGray"/>
        </w:rPr>
        <w:t xml:space="preserve">any Interest Period for a Term SOFR Borrowing, </w:t>
      </w:r>
      <w:r>
        <w:rPr>
          <w:rFonts w:ascii="Arial" w:cs="Arial" w:eastAsia="Arial" w:hAnsi="Arial"/>
          <w:sz w:val="16"/>
          <w:szCs w:val="16"/>
          <w:color w:val="000000"/>
        </w:rPr>
        <w:t>that adequate and reasonable means do not exist for ascertaining</w:t>
      </w:r>
      <w:r>
        <w:rPr>
          <w:rFonts w:ascii="Arial" w:cs="Arial" w:eastAsia="Arial" w:hAnsi="Arial"/>
          <w:sz w:val="16"/>
          <w:szCs w:val="16"/>
          <w:color w:val="0000FF"/>
          <w:highlight w:val="lightGray"/>
        </w:rPr>
        <w:t xml:space="preserve"> </w:t>
      </w:r>
      <w:r>
        <w:rPr>
          <w:rFonts w:ascii="Arial" w:cs="Arial" w:eastAsia="Arial" w:hAnsi="Arial"/>
          <w:sz w:val="16"/>
          <w:szCs w:val="16"/>
          <w:color w:val="FF0000"/>
          <w:strike w:val="1"/>
        </w:rPr>
        <w:t>the LIBO Rate</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Adjusted Term</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SOFR (including because the Term SOFR Reference</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8000"/>
        </w:rPr>
        <w:t>Rate is not available or published on a current basis</w:t>
      </w:r>
      <w:r>
        <w:rPr>
          <w:rFonts w:ascii="Arial" w:cs="Arial" w:eastAsia="Arial" w:hAnsi="Arial"/>
          <w:sz w:val="16"/>
          <w:szCs w:val="16"/>
          <w:u w:val="single" w:color="auto"/>
          <w:color w:val="0000FF"/>
          <w:highlight w:val="lightGray"/>
        </w:rPr>
        <w:t>),</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for such Interest Period; or</w:t>
      </w:r>
    </w:p>
    <w:p>
      <w:pPr>
        <w:spacing w:after="0" w:line="141" w:lineRule="exact"/>
        <w:rPr>
          <w:rFonts w:ascii="Arial" w:cs="Arial" w:eastAsia="Arial" w:hAnsi="Arial"/>
          <w:sz w:val="16"/>
          <w:szCs w:val="16"/>
          <w:color w:val="auto"/>
        </w:rPr>
      </w:pPr>
    </w:p>
    <w:p>
      <w:pPr>
        <w:jc w:val="both"/>
        <w:ind w:left="660" w:firstLine="644"/>
        <w:spacing w:after="0" w:line="222" w:lineRule="auto"/>
        <w:tabs>
          <w:tab w:leader="none" w:pos="179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the Administrative Agent is advised by the Required Lenders that </w:t>
      </w:r>
      <w:r>
        <w:rPr>
          <w:rFonts w:ascii="Arial" w:cs="Arial" w:eastAsia="Arial" w:hAnsi="Arial"/>
          <w:sz w:val="18"/>
          <w:szCs w:val="18"/>
          <w:color w:val="FF0000"/>
          <w:strike w:val="1"/>
        </w:rPr>
        <w:t>the LIBO Rate for the applicable Agreed Currency and</w:t>
      </w:r>
      <w:r>
        <w:rPr>
          <w:rFonts w:ascii="Arial" w:cs="Arial" w:eastAsia="Arial" w:hAnsi="Arial"/>
          <w:sz w:val="18"/>
          <w:szCs w:val="18"/>
          <w:u w:val="single" w:color="auto"/>
          <w:color w:val="0000FF"/>
          <w:highlight w:val="lightGray"/>
        </w:rPr>
        <w:t>Term</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SOFR for</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such Interest Period</w:t>
      </w:r>
      <w:r>
        <w:rPr>
          <w:rFonts w:ascii="Arial" w:cs="Arial" w:eastAsia="Arial" w:hAnsi="Arial"/>
          <w:sz w:val="18"/>
          <w:szCs w:val="18"/>
          <w:color w:val="0000FF"/>
          <w:highlight w:val="lightGray"/>
        </w:rPr>
        <w:t xml:space="preserve"> </w:t>
      </w:r>
      <w:r>
        <w:rPr>
          <w:rFonts w:ascii="Arial" w:cs="Arial" w:eastAsia="Arial" w:hAnsi="Arial"/>
          <w:sz w:val="18"/>
          <w:szCs w:val="18"/>
          <w:color w:val="FF0000"/>
          <w:strike w:val="1"/>
        </w:rPr>
        <w:t>or payment period, as applicable,</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will not adequately and fairly reflect the cost to such Lenders (or Lender) of</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 xml:space="preserve">making or maintaining their Loans (or its Loan) included in such Borrowing for </w:t>
      </w:r>
      <w:r>
        <w:rPr>
          <w:rFonts w:ascii="Arial" w:cs="Arial" w:eastAsia="Arial" w:hAnsi="Arial"/>
          <w:sz w:val="18"/>
          <w:szCs w:val="18"/>
          <w:color w:val="FF0000"/>
          <w:strike w:val="1"/>
        </w:rPr>
        <w:t>the applicable Agreed Currency and</w:t>
      </w:r>
      <w:r>
        <w:rPr>
          <w:rFonts w:ascii="Arial" w:cs="Arial" w:eastAsia="Arial" w:hAnsi="Arial"/>
          <w:sz w:val="18"/>
          <w:szCs w:val="18"/>
          <w:color w:val="000000"/>
        </w:rPr>
        <w:t xml:space="preserve"> such Interest Period </w:t>
      </w:r>
      <w:r>
        <w:rPr>
          <w:rFonts w:ascii="Arial" w:cs="Arial" w:eastAsia="Arial" w:hAnsi="Arial"/>
          <w:sz w:val="18"/>
          <w:szCs w:val="18"/>
          <w:color w:val="FF0000"/>
          <w:strike w:val="1"/>
        </w:rPr>
        <w:t>or</w:t>
      </w:r>
      <w:r>
        <w:rPr>
          <w:rFonts w:ascii="Arial" w:cs="Arial" w:eastAsia="Arial" w:hAnsi="Arial"/>
          <w:sz w:val="18"/>
          <w:szCs w:val="18"/>
          <w:color w:val="000000"/>
        </w:rPr>
        <w:t xml:space="preserve"> </w:t>
      </w:r>
      <w:r>
        <w:rPr>
          <w:rFonts w:ascii="Arial" w:cs="Arial" w:eastAsia="Arial" w:hAnsi="Arial"/>
          <w:sz w:val="18"/>
          <w:szCs w:val="18"/>
          <w:color w:val="FF0000"/>
          <w:strike w:val="1"/>
        </w:rPr>
        <w:t>payment period, as applicable</w:t>
      </w:r>
      <w:r>
        <w:rPr>
          <w:rFonts w:ascii="Arial" w:cs="Arial" w:eastAsia="Arial" w:hAnsi="Arial"/>
          <w:sz w:val="18"/>
          <w:szCs w:val="18"/>
          <w:color w:val="FF0000"/>
        </w:rPr>
        <w:t xml:space="preserve"> </w:t>
      </w:r>
      <w:r>
        <w:rPr>
          <w:rFonts w:ascii="Arial" w:cs="Arial" w:eastAsia="Arial" w:hAnsi="Arial"/>
          <w:sz w:val="18"/>
          <w:szCs w:val="18"/>
          <w:color w:val="000000"/>
        </w:rPr>
        <w:t>(in each case with respect to the applicable Loans impacted by this clause (</w:t>
      </w:r>
      <w:r>
        <w:rPr>
          <w:rFonts w:ascii="Arial" w:cs="Arial" w:eastAsia="Arial" w:hAnsi="Arial"/>
          <w:sz w:val="18"/>
          <w:szCs w:val="18"/>
          <w:color w:val="FF0000"/>
          <w:strike w:val="1"/>
        </w:rPr>
        <w:t>b</w:t>
      </w:r>
      <w:r>
        <w:rPr>
          <w:rFonts w:ascii="Arial" w:cs="Arial" w:eastAsia="Arial" w:hAnsi="Arial"/>
          <w:sz w:val="18"/>
          <w:szCs w:val="18"/>
          <w:u w:val="single" w:color="auto"/>
          <w:color w:val="0000FF"/>
          <w:highlight w:val="lightGray"/>
        </w:rPr>
        <w:t>ii</w:t>
      </w:r>
      <w:r>
        <w:rPr>
          <w:rFonts w:ascii="Arial" w:cs="Arial" w:eastAsia="Arial" w:hAnsi="Arial"/>
          <w:sz w:val="18"/>
          <w:szCs w:val="18"/>
          <w:color w:val="000000"/>
        </w:rPr>
        <w:t>) or clause (</w:t>
      </w:r>
      <w:r>
        <w:rPr>
          <w:rFonts w:ascii="Arial" w:cs="Arial" w:eastAsia="Arial" w:hAnsi="Arial"/>
          <w:sz w:val="18"/>
          <w:szCs w:val="18"/>
          <w:color w:val="FF0000"/>
          <w:strike w:val="1"/>
        </w:rPr>
        <w:t>a</w:t>
      </w:r>
      <w:r>
        <w:rPr>
          <w:rFonts w:ascii="Arial" w:cs="Arial" w:eastAsia="Arial" w:hAnsi="Arial"/>
          <w:sz w:val="18"/>
          <w:szCs w:val="18"/>
          <w:u w:val="single" w:color="auto"/>
          <w:color w:val="0000FF"/>
          <w:highlight w:val="lightGray"/>
        </w:rPr>
        <w:t>i</w:t>
      </w:r>
      <w:r>
        <w:rPr>
          <w:rFonts w:ascii="Arial" w:cs="Arial" w:eastAsia="Arial" w:hAnsi="Arial"/>
          <w:sz w:val="18"/>
          <w:szCs w:val="18"/>
          <w:color w:val="000000"/>
        </w:rPr>
        <w:t>) above,</w:t>
      </w:r>
      <w:r>
        <w:rPr>
          <w:rFonts w:ascii="Arial" w:cs="Arial" w:eastAsia="Arial" w:hAnsi="Arial"/>
          <w:sz w:val="18"/>
          <w:szCs w:val="18"/>
          <w:color w:val="FF0000"/>
        </w:rPr>
        <w:t xml:space="preserve"> </w:t>
      </w:r>
      <w:r>
        <w:rPr>
          <w:rFonts w:ascii="Arial" w:cs="Arial" w:eastAsia="Arial" w:hAnsi="Arial"/>
          <w:sz w:val="18"/>
          <w:szCs w:val="18"/>
          <w:u w:val="single" w:color="auto"/>
          <w:color w:val="0000FF"/>
          <w:highlight w:val="lightGray"/>
        </w:rPr>
        <w:t>the</w:t>
      </w:r>
      <w:r>
        <w:rPr>
          <w:rFonts w:ascii="Arial" w:cs="Arial" w:eastAsia="Arial" w:hAnsi="Arial"/>
          <w:sz w:val="18"/>
          <w:szCs w:val="18"/>
          <w:color w:val="FF0000"/>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Impacted</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Loans</w:t>
      </w:r>
      <w:r>
        <w:rPr>
          <w:rFonts w:ascii="Arial" w:cs="Arial" w:eastAsia="Arial" w:hAnsi="Arial"/>
          <w:sz w:val="18"/>
          <w:szCs w:val="18"/>
          <w:color w:val="000000"/>
        </w:rPr>
        <w: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Administrative Agent shall give notice thereof to the Borrower and the Lenders by telephone or facsimile as promptly as practicable thereafter and, until</w:t>
      </w:r>
    </w:p>
    <w:p>
      <w:pPr>
        <w:spacing w:after="0" w:line="8" w:lineRule="exact"/>
        <w:rPr>
          <w:sz w:val="20"/>
          <w:szCs w:val="20"/>
          <w:color w:val="auto"/>
        </w:rPr>
      </w:pPr>
    </w:p>
    <w:p>
      <w:pPr>
        <w:jc w:val="both"/>
        <w:ind w:firstLine="8"/>
        <w:spacing w:after="0" w:line="224" w:lineRule="auto"/>
        <w:tabs>
          <w:tab w:leader="none" w:pos="273" w:val="left"/>
        </w:tabs>
        <w:numPr>
          <w:ilvl w:val="0"/>
          <w:numId w:val="123"/>
        </w:numPr>
        <w:rPr>
          <w:rFonts w:ascii="Arial" w:cs="Arial" w:eastAsia="Arial" w:hAnsi="Arial"/>
          <w:sz w:val="17"/>
          <w:szCs w:val="17"/>
          <w:u w:val="single" w:color="auto"/>
          <w:color w:val="0000FF"/>
          <w:highlight w:val="lightGray"/>
        </w:rPr>
      </w:pPr>
      <w:r>
        <w:rPr>
          <w:rFonts w:ascii="Arial" w:cs="Arial" w:eastAsia="Arial" w:hAnsi="Arial"/>
          <w:sz w:val="17"/>
          <w:szCs w:val="17"/>
          <w:color w:val="auto"/>
        </w:rPr>
        <w:t xml:space="preserve">the Administrative Agent notifies the Borrower and the Lenders that the circumstances giving rise to such notice no longer exist, </w:t>
      </w:r>
      <w:r>
        <w:rPr>
          <w:rFonts w:ascii="Arial" w:cs="Arial" w:eastAsia="Arial" w:hAnsi="Arial"/>
          <w:sz w:val="17"/>
          <w:szCs w:val="17"/>
          <w:color w:val="FF0000"/>
          <w:strike w:val="1"/>
        </w:rPr>
        <w:t>(x)</w:t>
      </w:r>
      <w:r>
        <w:rPr>
          <w:rFonts w:ascii="Arial" w:cs="Arial" w:eastAsia="Arial" w:hAnsi="Arial"/>
          <w:sz w:val="17"/>
          <w:szCs w:val="17"/>
          <w:u w:val="single" w:color="auto"/>
          <w:color w:val="0000FF"/>
          <w:highlight w:val="lightGray"/>
        </w:rPr>
        <w:t>with respect to</w:t>
      </w:r>
      <w:r>
        <w:rPr>
          <w:rFonts w:ascii="Arial" w:cs="Arial" w:eastAsia="Arial" w:hAnsi="Arial"/>
          <w:sz w:val="17"/>
          <w:szCs w:val="17"/>
          <w:color w:val="auto"/>
        </w:rPr>
        <w:t xml:space="preserve"> </w:t>
      </w:r>
      <w:r>
        <w:rPr>
          <w:rFonts w:ascii="Arial" w:cs="Arial" w:eastAsia="Arial" w:hAnsi="Arial"/>
          <w:sz w:val="17"/>
          <w:szCs w:val="17"/>
          <w:color w:val="0000FF"/>
          <w:highlight w:val="lightGray"/>
        </w:rPr>
        <w:t>Adjusted Term SOFR and (y) the Borrower delivers a n</w:t>
      </w:r>
      <w:r>
        <w:rPr>
          <w:rFonts w:ascii="Arial" w:cs="Arial" w:eastAsia="Arial" w:hAnsi="Arial"/>
          <w:sz w:val="17"/>
          <w:szCs w:val="17"/>
          <w:u w:val="single" w:color="auto"/>
          <w:color w:val="0000FF"/>
          <w:highlight w:val="lightGray"/>
        </w:rPr>
        <w:t>ew Interest Election Request in accordance with the terms of Section 2.07 or a new Borrowing</w:t>
      </w:r>
      <w:r>
        <w:rPr>
          <w:rFonts w:ascii="Arial" w:cs="Arial" w:eastAsia="Arial" w:hAnsi="Arial"/>
          <w:sz w:val="17"/>
          <w:szCs w:val="17"/>
          <w:color w:val="0000FF"/>
          <w:highlight w:val="lightGray"/>
        </w:rPr>
        <w:t xml:space="preserve"> </w:t>
      </w:r>
      <w:r>
        <w:rPr>
          <w:rFonts w:ascii="Arial" w:cs="Arial" w:eastAsia="Arial" w:hAnsi="Arial"/>
          <w:sz w:val="17"/>
          <w:szCs w:val="17"/>
          <w:u w:val="single" w:color="auto"/>
          <w:color w:val="0000FF"/>
          <w:highlight w:val="lightGray"/>
        </w:rPr>
        <w:t>Request in accordance with the terms of Section 2.03,</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any Interest Election Request that requests the conversion of any</w:t>
      </w:r>
      <w:r>
        <w:rPr>
          <w:rFonts w:ascii="Arial" w:cs="Arial" w:eastAsia="Arial" w:hAnsi="Arial"/>
          <w:sz w:val="17"/>
          <w:szCs w:val="17"/>
          <w:color w:val="0000FF"/>
          <w:highlight w:val="lightGray"/>
        </w:rPr>
        <w:t xml:space="preserve"> </w:t>
      </w:r>
      <w:r>
        <w:rPr>
          <w:rFonts w:ascii="Arial" w:cs="Arial" w:eastAsia="Arial" w:hAnsi="Arial"/>
          <w:sz w:val="17"/>
          <w:szCs w:val="17"/>
          <w:color w:val="FF0000"/>
          <w:strike w:val="1"/>
        </w:rPr>
        <w:t>affected</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Borrowing to, or</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 xml:space="preserve">continuation of any </w:t>
      </w:r>
      <w:r>
        <w:rPr>
          <w:rFonts w:ascii="Arial" w:cs="Arial" w:eastAsia="Arial" w:hAnsi="Arial"/>
          <w:sz w:val="17"/>
          <w:szCs w:val="17"/>
          <w:color w:val="FF0000"/>
          <w:strike w:val="1"/>
        </w:rPr>
        <w:t>affected</w:t>
      </w:r>
      <w:r>
        <w:rPr>
          <w:rFonts w:ascii="Arial" w:cs="Arial" w:eastAsia="Arial" w:hAnsi="Arial"/>
          <w:sz w:val="17"/>
          <w:szCs w:val="17"/>
          <w:color w:val="000000"/>
        </w:rPr>
        <w:t xml:space="preserve"> Borrowing as, a </w:t>
      </w:r>
      <w:r>
        <w:rPr>
          <w:rFonts w:ascii="Arial" w:cs="Arial" w:eastAsia="Arial" w:hAnsi="Arial"/>
          <w:sz w:val="17"/>
          <w:szCs w:val="17"/>
          <w:color w:val="FF0000"/>
          <w:strike w:val="1"/>
        </w:rPr>
        <w:t>Eurocurrency Borrowing shall be ineffective and (y) if any Borrowing Request requests a Eurocurrency</w:t>
      </w:r>
      <w:r>
        <w:rPr>
          <w:rFonts w:ascii="Arial" w:cs="Arial" w:eastAsia="Arial" w:hAnsi="Arial"/>
          <w:sz w:val="17"/>
          <w:szCs w:val="17"/>
          <w:color w:val="000000"/>
        </w:rPr>
        <w:t xml:space="preserve"> </w:t>
      </w:r>
      <w:r>
        <w:rPr>
          <w:rFonts w:ascii="Arial" w:cs="Arial" w:eastAsia="Arial" w:hAnsi="Arial"/>
          <w:sz w:val="17"/>
          <w:szCs w:val="17"/>
          <w:color w:val="FF0000"/>
          <w:strike w:val="1"/>
        </w:rPr>
        <w:t xml:space="preserve">Borrowing then such Borrowing shall be made as an ABR Borrowing and the utilization of the LIBO Rate component in determining </w:t>
      </w:r>
      <w:r>
        <w:rPr>
          <w:rFonts w:ascii="Arial" w:cs="Arial" w:eastAsia="Arial" w:hAnsi="Arial"/>
          <w:sz w:val="17"/>
          <w:szCs w:val="17"/>
          <w:color w:val="008000"/>
          <w:strike w:val="1"/>
        </w:rPr>
        <w:t>the Alternate Base</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 xml:space="preserve">Rate shall be </w:t>
      </w:r>
      <w:r>
        <w:rPr>
          <w:rFonts w:ascii="Arial" w:cs="Arial" w:eastAsia="Arial" w:hAnsi="Arial"/>
          <w:sz w:val="17"/>
          <w:szCs w:val="17"/>
          <w:color w:val="FF0000"/>
          <w:strike w:val="1"/>
        </w:rPr>
        <w:t>suspended; provided, however, that, in each case, the Borrower may revoke any such Borrowing Request that is pending when such notice is</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received.</w:t>
      </w:r>
      <w:r>
        <w:rPr>
          <w:rFonts w:ascii="Arial" w:cs="Arial" w:eastAsia="Arial" w:hAnsi="Arial"/>
          <w:sz w:val="17"/>
          <w:szCs w:val="17"/>
          <w:u w:val="single" w:color="auto"/>
          <w:color w:val="0000FF"/>
          <w:highlight w:val="lightGray"/>
          <w:strike w:val="1"/>
        </w:rPr>
        <w:t>Term SOFR Borrowing and any Borrowing Request that requests a Term SOFR Borrowing shall instead be deemed to be an Interest Election</w:t>
      </w:r>
      <w:r>
        <w:rPr>
          <w:rFonts w:ascii="Arial" w:cs="Arial" w:eastAsia="Arial" w:hAnsi="Arial"/>
          <w:sz w:val="17"/>
          <w:szCs w:val="17"/>
          <w:color w:val="FF0000"/>
          <w:strike w:val="1"/>
        </w:rPr>
        <w:t xml:space="preserve"> </w:t>
      </w:r>
      <w:r>
        <w:rPr>
          <w:rFonts w:ascii="Arial" w:cs="Arial" w:eastAsia="Arial" w:hAnsi="Arial"/>
          <w:sz w:val="17"/>
          <w:szCs w:val="17"/>
          <w:color w:val="0000FF"/>
          <w:highlight w:val="lightGray"/>
          <w:strike w:val="1"/>
        </w:rPr>
        <w:t xml:space="preserve">Request or a Borrowing Request, as applicable, for an ABR Borrowing; provided that if the circumstances giving rise to such notice affect only one Type of Borrowings, then all other Types of Borrowings shall be permitted. Furthermore, if any Term SOFR Loan is outstanding on the date of the Borrower’s </w:t>
      </w:r>
      <w:r>
        <w:rPr>
          <w:rFonts w:ascii="Arial" w:cs="Arial" w:eastAsia="Arial" w:hAnsi="Arial"/>
          <w:sz w:val="17"/>
          <w:szCs w:val="17"/>
          <w:u w:val="single" w:color="auto"/>
          <w:color w:val="0000FF"/>
          <w:highlight w:val="lightGray"/>
          <w:strike w:val="1"/>
        </w:rPr>
        <w:t xml:space="preserve">receipt of the notice from the Administrative Agent referred to in this Section 2.14(a) with respect to Adjusted Term SOFR, then until (x) the Administrative </w:t>
      </w:r>
      <w:r>
        <w:rPr>
          <w:rFonts w:ascii="Arial" w:cs="Arial" w:eastAsia="Arial" w:hAnsi="Arial"/>
          <w:sz w:val="17"/>
          <w:szCs w:val="17"/>
          <w:color w:val="0000FF"/>
          <w:highlight w:val="lightGray"/>
          <w:strike w:val="1"/>
        </w:rPr>
        <w:t>Agent notifies the Borrower and the Lenders that the circumstances giving rise to such notice no longer exist with respect to Adjusted Term SOFR and (y) the Borrower delivers a new Interest Election Reques</w:t>
      </w:r>
      <w:r>
        <w:rPr>
          <w:rFonts w:ascii="Arial" w:cs="Arial" w:eastAsia="Arial" w:hAnsi="Arial"/>
          <w:sz w:val="17"/>
          <w:szCs w:val="17"/>
          <w:u w:val="single" w:color="auto"/>
          <w:color w:val="0000FF"/>
          <w:highlight w:val="lightGray"/>
          <w:strike w:val="1"/>
        </w:rPr>
        <w:t>t in accordance with the terms of Section 2.</w:t>
      </w:r>
      <w:r>
        <w:rPr>
          <w:rFonts w:ascii="Arial" w:cs="Arial" w:eastAsia="Arial" w:hAnsi="Arial"/>
          <w:sz w:val="17"/>
          <w:szCs w:val="17"/>
          <w:color w:val="0000FF"/>
          <w:highlight w:val="lightGray"/>
          <w:strike w:val="1"/>
        </w:rPr>
        <w:t xml:space="preserve">07 or a new Borrowing Request in accordance with the </w:t>
      </w:r>
      <w:r>
        <w:rPr>
          <w:rFonts w:ascii="Arial" w:cs="Arial" w:eastAsia="Arial" w:hAnsi="Arial"/>
          <w:sz w:val="17"/>
          <w:szCs w:val="17"/>
          <w:u w:val="single" w:color="auto"/>
          <w:color w:val="0000FF"/>
          <w:highlight w:val="lightGray"/>
          <w:strike w:val="1"/>
        </w:rPr>
        <w:t xml:space="preserve">terms of Section 2.03, any Term SOFR Loan shall on </w:t>
      </w:r>
      <w:r>
        <w:rPr>
          <w:rFonts w:ascii="Arial" w:cs="Arial" w:eastAsia="Arial" w:hAnsi="Arial"/>
          <w:sz w:val="17"/>
          <w:szCs w:val="17"/>
          <w:u w:val="single" w:color="auto"/>
          <w:color w:val="008000"/>
          <w:strike w:val="1"/>
        </w:rPr>
        <w:t>the last day of the Interest Period applicable</w:t>
      </w:r>
      <w:r>
        <w:rPr>
          <w:rFonts w:ascii="Arial" w:cs="Arial" w:eastAsia="Arial" w:hAnsi="Arial"/>
          <w:sz w:val="17"/>
          <w:szCs w:val="17"/>
          <w:u w:val="single" w:color="auto"/>
          <w:color w:val="0000FF"/>
          <w:highlight w:val="lightGray"/>
          <w:strike w:val="1"/>
        </w:rPr>
        <w:t xml:space="preserve"> to such Loan, be converted by the Administrative Agent to, and shall constitute an ABR Loan.</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FF0000"/>
          <w:strike w:val="1"/>
        </w:rPr>
        <w:t xml:space="preserve">Notwithstanding the foregoing, if the Administrative Agent has made the determination described in clause (i) of this </w:t>
      </w:r>
      <w:r>
        <w:rPr>
          <w:rFonts w:ascii="Arial" w:cs="Arial" w:eastAsia="Arial" w:hAnsi="Arial"/>
          <w:sz w:val="16"/>
          <w:szCs w:val="16"/>
          <w:u w:val="single" w:color="auto"/>
          <w:color w:val="FF0000"/>
          <w:strike w:val="1"/>
        </w:rPr>
        <w:t>Section 2.14(a)</w:t>
      </w:r>
      <w:r>
        <w:rPr>
          <w:rFonts w:ascii="Arial" w:cs="Arial" w:eastAsia="Arial" w:hAnsi="Arial"/>
          <w:sz w:val="16"/>
          <w:szCs w:val="16"/>
          <w:color w:val="FF0000"/>
          <w:strike w:val="1"/>
        </w:rPr>
        <w:t xml:space="preserve"> and/or is advised by the Required Lenders of their determination in accordance with clause (ii) of this </w:t>
      </w:r>
      <w:r>
        <w:rPr>
          <w:rFonts w:ascii="Arial" w:cs="Arial" w:eastAsia="Arial" w:hAnsi="Arial"/>
          <w:sz w:val="16"/>
          <w:szCs w:val="16"/>
          <w:u w:val="single" w:color="auto"/>
          <w:color w:val="FF0000"/>
          <w:strike w:val="1"/>
        </w:rPr>
        <w:t>Section 2.14(a)</w:t>
      </w:r>
      <w:r>
        <w:rPr>
          <w:rFonts w:ascii="Arial" w:cs="Arial" w:eastAsia="Arial" w:hAnsi="Arial"/>
          <w:sz w:val="16"/>
          <w:szCs w:val="16"/>
          <w:color w:val="FF0000"/>
          <w:strike w:val="1"/>
        </w:rPr>
        <w:t xml:space="preserve"> and the Borrower shall so request, the Administrative</w:t>
      </w:r>
    </w:p>
    <w:p>
      <w:pPr>
        <w:jc w:val="both"/>
        <w:spacing w:after="0" w:line="218" w:lineRule="auto"/>
        <w:rPr>
          <w:sz w:val="20"/>
          <w:szCs w:val="20"/>
          <w:color w:val="auto"/>
        </w:rPr>
      </w:pPr>
      <w:r>
        <w:rPr>
          <w:rFonts w:ascii="Arial" w:cs="Arial" w:eastAsia="Arial" w:hAnsi="Arial"/>
          <w:sz w:val="18"/>
          <w:szCs w:val="18"/>
          <w:color w:val="FF0000"/>
          <w:strike w:val="1"/>
        </w:rPr>
        <w:t xml:space="preserve">Agent, the Required Lenders and the Borrower shall negotiate in good faith to amend the definition of “LIBO Rate”, and other applicable provisions to preserve the original intent thereof in light of such change;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until so amended, such Impacted Loans will be handled as otherwise provided pursuant to the terms of this </w:t>
      </w:r>
      <w:r>
        <w:rPr>
          <w:rFonts w:ascii="Arial" w:cs="Arial" w:eastAsia="Arial" w:hAnsi="Arial"/>
          <w:sz w:val="18"/>
          <w:szCs w:val="18"/>
          <w:u w:val="single" w:color="auto"/>
          <w:color w:val="FF0000"/>
          <w:strike w:val="1"/>
        </w:rPr>
        <w:t>Section 2.14</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further</w:t>
      </w:r>
      <w:r>
        <w:rPr>
          <w:rFonts w:ascii="Arial" w:cs="Arial" w:eastAsia="Arial" w:hAnsi="Arial"/>
          <w:sz w:val="18"/>
          <w:szCs w:val="18"/>
          <w:color w:val="FF0000"/>
          <w:strike w:val="1"/>
        </w:rPr>
        <w:t>, that any amended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83</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definition of “LIBO Rate” shall provide that in no event shall such amended LIBO Rate be less than 0.50% for purposes of this Agreement.</w:t>
      </w:r>
    </w:p>
    <w:p>
      <w:pPr>
        <w:ind w:left="1040" w:hanging="384"/>
        <w:spacing w:after="0"/>
        <w:tabs>
          <w:tab w:leader="none" w:pos="1040" w:val="left"/>
        </w:tabs>
        <w:numPr>
          <w:ilvl w:val="0"/>
          <w:numId w:val="124"/>
        </w:numPr>
        <w:rPr>
          <w:rFonts w:ascii="Arial" w:cs="Arial" w:eastAsia="Arial" w:hAnsi="Arial"/>
          <w:sz w:val="18"/>
          <w:szCs w:val="18"/>
          <w:u w:val="single" w:color="auto"/>
          <w:color w:val="0000FF"/>
          <w:highlight w:val="lightGray"/>
        </w:rPr>
      </w:pPr>
      <w:r>
        <w:rPr>
          <w:rFonts w:ascii="Arial" w:cs="Arial" w:eastAsia="Arial" w:hAnsi="Arial"/>
          <w:sz w:val="18"/>
          <w:szCs w:val="18"/>
          <w:u w:val="single" w:color="auto"/>
          <w:color w:val="0000FF"/>
          <w:highlight w:val="lightGray"/>
        </w:rPr>
        <w:t>Benchmark Replacement</w:t>
      </w:r>
    </w:p>
    <w:p>
      <w:pPr>
        <w:spacing w:after="0" w:line="168" w:lineRule="exact"/>
        <w:rPr>
          <w:rFonts w:ascii="Arial" w:cs="Arial" w:eastAsia="Arial" w:hAnsi="Arial"/>
          <w:sz w:val="18"/>
          <w:szCs w:val="18"/>
          <w:u w:val="single" w:color="auto"/>
          <w:color w:val="0000FF"/>
          <w:highlight w:val="lightGray"/>
        </w:rPr>
      </w:pPr>
    </w:p>
    <w:p>
      <w:pPr>
        <w:jc w:val="both"/>
        <w:ind w:left="660" w:firstLine="903"/>
        <w:spacing w:after="0" w:line="236" w:lineRule="auto"/>
        <w:tabs>
          <w:tab w:leader="none" w:pos="1936" w:val="left"/>
        </w:tabs>
        <w:numPr>
          <w:ilvl w:val="1"/>
          <w:numId w:val="124"/>
        </w:numPr>
        <w:rPr>
          <w:rFonts w:ascii="Arial" w:cs="Arial" w:eastAsia="Arial" w:hAnsi="Arial"/>
          <w:sz w:val="16"/>
          <w:szCs w:val="16"/>
          <w:u w:val="single" w:color="auto"/>
          <w:color w:val="0000FF"/>
          <w:highlight w:val="lightGray"/>
        </w:rPr>
      </w:pPr>
      <w:r>
        <w:rPr>
          <w:rFonts w:ascii="Arial" w:cs="Arial" w:eastAsia="Arial" w:hAnsi="Arial"/>
          <w:sz w:val="16"/>
          <w:szCs w:val="16"/>
          <w:u w:val="single" w:color="auto"/>
          <w:color w:val="0000FF"/>
          <w:highlight w:val="lightGray"/>
        </w:rPr>
        <w:t xml:space="preserve">Notwithstanding anything to the contrary herein or in any other Loan Document if a Benchmark Transition Event and its related </w:t>
      </w:r>
      <w:r>
        <w:rPr>
          <w:rFonts w:ascii="Arial" w:cs="Arial" w:eastAsia="Arial" w:hAnsi="Arial"/>
          <w:sz w:val="16"/>
          <w:szCs w:val="16"/>
          <w:color w:val="0000FF"/>
          <w:highlight w:val="lightGray"/>
        </w:rPr>
        <w:t xml:space="preserve">Benchmark Replacement Date have occurred prior to the Reference Time in respect of any setting of any Benchmark, then (A) if a Benchmark Replacement is determined in accordance with clause (a) of the definition of “Benchmark Replacement” for such Benchmark Replacement Date, </w:t>
      </w:r>
      <w:r>
        <w:rPr>
          <w:rFonts w:ascii="Arial" w:cs="Arial" w:eastAsia="Arial" w:hAnsi="Arial"/>
          <w:sz w:val="16"/>
          <w:szCs w:val="16"/>
          <w:u w:val="single" w:color="auto"/>
          <w:color w:val="0000FF"/>
          <w:highlight w:val="lightGray"/>
        </w:rPr>
        <w:t xml:space="preserve">the Administrative Agent and the Borrower will amend this Agreement to replace such Benchmark with such Benchmark Replacement for all </w:t>
      </w:r>
      <w:r>
        <w:rPr>
          <w:rFonts w:ascii="Arial" w:cs="Arial" w:eastAsia="Arial" w:hAnsi="Arial"/>
          <w:sz w:val="16"/>
          <w:szCs w:val="16"/>
          <w:color w:val="0000FF"/>
          <w:highlight w:val="lightGray"/>
        </w:rPr>
        <w:t xml:space="preserve">purposes hereunder and under any Loan Document in respect of such Benchmark setting and subsequent Benchmark settings, which amendment shall become effective without any further action or consent of any other party to this Agreement or any other Loan Document; provided that any </w:t>
      </w:r>
      <w:r>
        <w:rPr>
          <w:rFonts w:ascii="Arial" w:cs="Arial" w:eastAsia="Arial" w:hAnsi="Arial"/>
          <w:sz w:val="16"/>
          <w:szCs w:val="16"/>
          <w:u w:val="single" w:color="auto"/>
          <w:color w:val="0000FF"/>
          <w:highlight w:val="lightGray"/>
        </w:rPr>
        <w:t xml:space="preserve">outstanding affected Term SOFR Loans will be deemed to have been converted into ABR Loans at the end of the applicable Interest Period unless </w:t>
      </w:r>
      <w:r>
        <w:rPr>
          <w:rFonts w:ascii="Arial" w:cs="Arial" w:eastAsia="Arial" w:hAnsi="Arial"/>
          <w:sz w:val="16"/>
          <w:szCs w:val="16"/>
          <w:color w:val="0000FF"/>
          <w:highlight w:val="lightGray"/>
        </w:rPr>
        <w:t xml:space="preserve">such amendment otherwise becomes effective prior to such date and shall continue to constitute ABR Loans until the effectiveness of such amendment, and (B) if a Benchmark Replacement is determined in accordance with clause (b) of the definition of “Benchmark Replacement” for </w:t>
      </w:r>
      <w:r>
        <w:rPr>
          <w:rFonts w:ascii="Arial" w:cs="Arial" w:eastAsia="Arial" w:hAnsi="Arial"/>
          <w:sz w:val="16"/>
          <w:szCs w:val="16"/>
          <w:u w:val="single" w:color="auto"/>
          <w:color w:val="0000FF"/>
          <w:highlight w:val="lightGray"/>
        </w:rPr>
        <w:t xml:space="preserve">such Benchmark Replacement Date, the Administrative Agent and the Borrower will amend this Agreement to replace such Benchmark with such </w:t>
      </w:r>
      <w:r>
        <w:rPr>
          <w:rFonts w:ascii="Arial" w:cs="Arial" w:eastAsia="Arial" w:hAnsi="Arial"/>
          <w:sz w:val="16"/>
          <w:szCs w:val="16"/>
          <w:color w:val="0000FF"/>
          <w:highlight w:val="lightGray"/>
        </w:rPr>
        <w:t xml:space="preserve">Benchmark Replacement for all purposes hereunder and under any Loan Document in respect of any Benchmark setting, which amendment shall become effective at or after 5:00 p.m. (New York City time) on the fifth Business Day after the date on which such amendment is provided to the </w:t>
      </w:r>
      <w:r>
        <w:rPr>
          <w:rFonts w:ascii="Arial" w:cs="Arial" w:eastAsia="Arial" w:hAnsi="Arial"/>
          <w:sz w:val="16"/>
          <w:szCs w:val="16"/>
          <w:u w:val="single" w:color="auto"/>
          <w:color w:val="0000FF"/>
          <w:highlight w:val="lightGray"/>
        </w:rPr>
        <w:t xml:space="preserve">Lenders (without any further action or consent of any other party to this Agreement or any other Loan Document) so long as the Administrative </w:t>
      </w:r>
      <w:r>
        <w:rPr>
          <w:rFonts w:ascii="Arial" w:cs="Arial" w:eastAsia="Arial" w:hAnsi="Arial"/>
          <w:sz w:val="16"/>
          <w:szCs w:val="16"/>
          <w:color w:val="0000FF"/>
          <w:highlight w:val="lightGray"/>
        </w:rPr>
        <w:t xml:space="preserve">Agent has not received, by such time, written notice of objection to such Benchmark Replacement from Lenders </w:t>
      </w:r>
      <w:r>
        <w:rPr>
          <w:rFonts w:ascii="Arial" w:cs="Arial" w:eastAsia="Arial" w:hAnsi="Arial"/>
          <w:sz w:val="16"/>
          <w:szCs w:val="16"/>
          <w:u w:val="single" w:color="auto"/>
          <w:color w:val="0000FF"/>
          <w:highlight w:val="lightGray"/>
        </w:rPr>
        <w:t>comprising the Required Lenders</w:t>
      </w:r>
    </w:p>
    <w:p>
      <w:pPr>
        <w:spacing w:after="0" w:line="7" w:lineRule="exact"/>
        <w:rPr>
          <w:rFonts w:ascii="Arial" w:cs="Arial" w:eastAsia="Arial" w:hAnsi="Arial"/>
          <w:sz w:val="16"/>
          <w:szCs w:val="16"/>
          <w:u w:val="single" w:color="auto"/>
          <w:color w:val="0000FF"/>
          <w:highlight w:val="lightGray"/>
        </w:rPr>
      </w:pPr>
    </w:p>
    <w:p>
      <w:pPr>
        <w:ind w:left="660"/>
        <w:spacing w:after="0"/>
        <w:rPr>
          <w:rFonts w:ascii="Arial" w:cs="Arial" w:eastAsia="Arial" w:hAnsi="Arial"/>
          <w:sz w:val="16"/>
          <w:szCs w:val="16"/>
          <w:u w:val="single" w:color="auto"/>
          <w:color w:val="0000FF"/>
          <w:highlight w:val="lightGray"/>
        </w:rPr>
      </w:pPr>
      <w:r>
        <w:rPr>
          <w:rFonts w:ascii="Arial" w:cs="Arial" w:eastAsia="Arial" w:hAnsi="Arial"/>
          <w:sz w:val="18"/>
          <w:szCs w:val="18"/>
          <w:u w:val="single" w:color="auto"/>
          <w:color w:val="0000FF"/>
          <w:highlight w:val="lightGray"/>
        </w:rPr>
        <w:t>. If the Benchmark Replacement is Daily Simple SOFR, all interest payments will be payable on a monthly basis.</w:t>
      </w:r>
    </w:p>
    <w:p>
      <w:pPr>
        <w:spacing w:after="0" w:line="169"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FF0000"/>
          <w:strike w:val="1"/>
        </w:rPr>
        <w:t>(b</w:t>
      </w:r>
      <w:r>
        <w:rPr>
          <w:rFonts w:ascii="Arial" w:cs="Arial" w:eastAsia="Arial" w:hAnsi="Arial"/>
          <w:sz w:val="17"/>
          <w:szCs w:val="17"/>
          <w:color w:val="008000"/>
          <w:strike w:val="1"/>
        </w:rPr>
        <w:t>) Notwithstanding anything to the contrary</w:t>
      </w:r>
      <w:r>
        <w:rPr>
          <w:rFonts w:ascii="Arial" w:cs="Arial" w:eastAsia="Arial" w:hAnsi="Arial"/>
          <w:sz w:val="17"/>
          <w:szCs w:val="17"/>
          <w:color w:val="FF0000"/>
          <w:strike w:val="1"/>
        </w:rPr>
        <w:t xml:space="preserve"> in </w:t>
      </w:r>
      <w:r>
        <w:rPr>
          <w:rFonts w:ascii="Arial" w:cs="Arial" w:eastAsia="Arial" w:hAnsi="Arial"/>
          <w:sz w:val="17"/>
          <w:szCs w:val="17"/>
          <w:color w:val="008000"/>
          <w:strike w:val="1"/>
        </w:rPr>
        <w:t>this Agreement or any other Loan</w:t>
      </w:r>
      <w:r>
        <w:rPr>
          <w:rFonts w:ascii="Arial" w:cs="Arial" w:eastAsia="Arial" w:hAnsi="Arial"/>
          <w:sz w:val="17"/>
          <w:szCs w:val="17"/>
          <w:color w:val="FF0000"/>
          <w:strike w:val="1"/>
        </w:rPr>
        <w:t xml:space="preserve"> Documents, if the Administrative Agent determines (which determination shall be conclusive absent manifest error), or the Borrower notifies the Administrative Agent that the Borrower has determined, that:</w:t>
      </w:r>
    </w:p>
    <w:p>
      <w:pPr>
        <w:spacing w:after="0" w:line="134" w:lineRule="exact"/>
        <w:rPr>
          <w:sz w:val="20"/>
          <w:szCs w:val="20"/>
          <w:color w:val="auto"/>
        </w:rPr>
      </w:pPr>
    </w:p>
    <w:p>
      <w:pPr>
        <w:ind w:left="660" w:firstLine="644"/>
        <w:spacing w:after="0" w:line="289" w:lineRule="auto"/>
        <w:tabs>
          <w:tab w:leader="none" w:pos="1676" w:val="left"/>
        </w:tabs>
        <w:numPr>
          <w:ilvl w:val="0"/>
          <w:numId w:val="125"/>
        </w:numPr>
        <w:rPr>
          <w:rFonts w:ascii="Arial" w:cs="Arial" w:eastAsia="Arial" w:hAnsi="Arial"/>
          <w:sz w:val="16"/>
          <w:szCs w:val="16"/>
          <w:color w:val="FF0000"/>
          <w:strike w:val="1"/>
        </w:rPr>
      </w:pPr>
      <w:r>
        <w:rPr>
          <w:rFonts w:ascii="Arial" w:cs="Arial" w:eastAsia="Arial" w:hAnsi="Arial"/>
          <w:sz w:val="16"/>
          <w:szCs w:val="16"/>
          <w:color w:val="FF0000"/>
          <w:strike w:val="1"/>
        </w:rPr>
        <w:t xml:space="preserve">adequate and reasonable means do not exist for ascertaining LIBOR for any requested Interest Period, including, without limitation, because the LIBOR Screen </w:t>
      </w:r>
      <w:r>
        <w:rPr>
          <w:rFonts w:ascii="Arial" w:cs="Arial" w:eastAsia="Arial" w:hAnsi="Arial"/>
          <w:sz w:val="16"/>
          <w:szCs w:val="16"/>
          <w:color w:val="008000"/>
          <w:strike w:val="1"/>
        </w:rPr>
        <w:t>Rate is not available or published on a current basis</w:t>
      </w:r>
      <w:r>
        <w:rPr>
          <w:rFonts w:ascii="Arial" w:cs="Arial" w:eastAsia="Arial" w:hAnsi="Arial"/>
          <w:sz w:val="16"/>
          <w:szCs w:val="16"/>
          <w:color w:val="FF0000"/>
          <w:strike w:val="1"/>
        </w:rPr>
        <w:t>, and such circumstances are unlikely to be temporary; or</w:t>
      </w:r>
    </w:p>
    <w:p>
      <w:pPr>
        <w:spacing w:after="0" w:line="137" w:lineRule="exact"/>
        <w:rPr>
          <w:rFonts w:ascii="Arial" w:cs="Arial" w:eastAsia="Arial" w:hAnsi="Arial"/>
          <w:sz w:val="16"/>
          <w:szCs w:val="16"/>
          <w:color w:val="FF0000"/>
          <w:strike w:val="1"/>
        </w:rPr>
      </w:pPr>
    </w:p>
    <w:p>
      <w:pPr>
        <w:jc w:val="both"/>
        <w:ind w:left="660" w:firstLine="644"/>
        <w:spacing w:after="0" w:line="219" w:lineRule="auto"/>
        <w:tabs>
          <w:tab w:leader="none" w:pos="1770" w:val="left"/>
        </w:tabs>
        <w:numPr>
          <w:ilvl w:val="0"/>
          <w:numId w:val="125"/>
        </w:numPr>
        <w:rPr>
          <w:rFonts w:ascii="Arial" w:cs="Arial" w:eastAsia="Arial" w:hAnsi="Arial"/>
          <w:sz w:val="18"/>
          <w:szCs w:val="18"/>
          <w:color w:val="FF0000"/>
          <w:strike w:val="1"/>
        </w:rPr>
      </w:pPr>
      <w:r>
        <w:rPr>
          <w:rFonts w:ascii="Arial" w:cs="Arial" w:eastAsia="Arial" w:hAnsi="Arial"/>
          <w:sz w:val="18"/>
          <w:szCs w:val="18"/>
          <w:color w:val="FF0000"/>
          <w:strike w:val="1"/>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w:t>
      </w:r>
      <w:r>
        <w:rPr>
          <w:rFonts w:ascii="Arial" w:cs="Arial" w:eastAsia="Arial" w:hAnsi="Arial"/>
          <w:sz w:val="18"/>
          <w:szCs w:val="18"/>
          <w:color w:val="008000"/>
          <w:strike w:val="1"/>
        </w:rPr>
        <w:t>;</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8000"/>
          <w:strike w:val="1"/>
        </w:rPr>
        <w:t>provided</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that, at the time of such statement, there is no successor administrator that</w:t>
      </w:r>
      <w:r>
        <w:rPr>
          <w:rFonts w:ascii="Arial" w:cs="Arial" w:eastAsia="Arial" w:hAnsi="Arial"/>
          <w:sz w:val="18"/>
          <w:szCs w:val="18"/>
          <w:color w:val="FF0000"/>
          <w:strike w:val="1"/>
        </w:rPr>
        <w:t xml:space="preserve"> is satisfactory to </w:t>
      </w:r>
      <w:r>
        <w:rPr>
          <w:rFonts w:ascii="Arial" w:cs="Arial" w:eastAsia="Arial" w:hAnsi="Arial"/>
          <w:sz w:val="18"/>
          <w:szCs w:val="18"/>
          <w:color w:val="008000"/>
          <w:strike w:val="1"/>
        </w:rPr>
        <w:t>the</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Administrative Agent and the Borrower </w:t>
      </w:r>
      <w:r>
        <w:rPr>
          <w:rFonts w:ascii="Arial" w:cs="Arial" w:eastAsia="Arial" w:hAnsi="Arial"/>
          <w:sz w:val="18"/>
          <w:szCs w:val="18"/>
          <w:color w:val="FF0000"/>
          <w:strike w:val="1"/>
        </w:rPr>
        <w:t>that will continue to provide LIBOR after such specific date (such specific date, the “</w:t>
      </w:r>
      <w:r>
        <w:rPr>
          <w:rFonts w:ascii="Arial" w:cs="Arial" w:eastAsia="Arial" w:hAnsi="Arial"/>
          <w:sz w:val="18"/>
          <w:szCs w:val="18"/>
          <w:u w:val="single" w:color="auto"/>
          <w:color w:val="FF0000"/>
          <w:strike w:val="1"/>
        </w:rPr>
        <w:t>Scheduled</w:t>
      </w:r>
      <w:r>
        <w:rPr>
          <w:rFonts w:ascii="Arial" w:cs="Arial" w:eastAsia="Arial" w:hAnsi="Arial"/>
          <w:sz w:val="18"/>
          <w:szCs w:val="18"/>
          <w:color w:val="008000"/>
          <w:strike w:val="1"/>
        </w:rPr>
        <w:t xml:space="preserve"> </w:t>
      </w:r>
      <w:r>
        <w:rPr>
          <w:rFonts w:ascii="Arial" w:cs="Arial" w:eastAsia="Arial" w:hAnsi="Arial"/>
          <w:sz w:val="18"/>
          <w:szCs w:val="18"/>
          <w:u w:val="single" w:color="auto"/>
          <w:color w:val="FF0000"/>
          <w:strike w:val="1"/>
        </w:rPr>
        <w:t>Unavailability Date</w:t>
      </w:r>
      <w:r>
        <w:rPr>
          <w:rFonts w:ascii="Arial" w:cs="Arial" w:eastAsia="Arial" w:hAnsi="Arial"/>
          <w:sz w:val="18"/>
          <w:szCs w:val="18"/>
          <w:color w:val="FF0000"/>
          <w:strike w:val="1"/>
        </w:rPr>
        <w:t>”), or</w:t>
      </w:r>
    </w:p>
    <w:p>
      <w:pPr>
        <w:spacing w:after="0" w:line="163" w:lineRule="exact"/>
        <w:rPr>
          <w:sz w:val="20"/>
          <w:szCs w:val="20"/>
          <w:color w:val="auto"/>
        </w:rPr>
      </w:pPr>
    </w:p>
    <w:p>
      <w:pPr>
        <w:ind w:left="660" w:firstLine="903"/>
        <w:spacing w:after="0" w:line="246" w:lineRule="auto"/>
        <w:tabs>
          <w:tab w:leader="none" w:pos="2032" w:val="left"/>
        </w:tabs>
        <w:numPr>
          <w:ilvl w:val="0"/>
          <w:numId w:val="126"/>
        </w:numPr>
        <w:rPr>
          <w:rFonts w:ascii="Arial" w:cs="Arial" w:eastAsia="Arial" w:hAnsi="Arial"/>
          <w:sz w:val="18"/>
          <w:szCs w:val="18"/>
          <w:color w:val="FF0000"/>
          <w:strike w:val="1"/>
        </w:rPr>
      </w:pPr>
      <w:r>
        <w:rPr>
          <w:rFonts w:ascii="Arial" w:cs="Arial" w:eastAsia="Arial" w:hAnsi="Arial"/>
          <w:sz w:val="18"/>
          <w:szCs w:val="18"/>
          <w:color w:val="FF0000"/>
          <w:strike w:val="1"/>
        </w:rPr>
        <w:t>syndicated loans currently being executed, or that include language similar to that contained in this Section, are being executed or amended (as applicable) to incorporate or adopt a new benchmark interest rate to replace LIBOR,</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FF0000"/>
          <w:strike w:val="1"/>
        </w:rPr>
        <w:t xml:space="preserve">then, reasonably promptly after such determination by the Administrative Agent or receipt by the Administrative Agent of such notice, as applicable, the Administrative Agent and the Borrower may amend this Agreement in accordance with this </w:t>
      </w:r>
      <w:r>
        <w:rPr>
          <w:rFonts w:ascii="Arial" w:cs="Arial" w:eastAsia="Arial" w:hAnsi="Arial"/>
          <w:sz w:val="16"/>
          <w:szCs w:val="16"/>
          <w:u w:val="single" w:color="auto"/>
          <w:color w:val="FF0000"/>
          <w:strike w:val="1"/>
        </w:rPr>
        <w:t>Section 2.14</w:t>
      </w:r>
      <w:r>
        <w:rPr>
          <w:rFonts w:ascii="Arial" w:cs="Arial" w:eastAsia="Arial" w:hAnsi="Arial"/>
          <w:sz w:val="16"/>
          <w:szCs w:val="16"/>
          <w:color w:val="FF0000"/>
          <w:strike w:val="1"/>
        </w:rPr>
        <w:t xml:space="preserve"> to replace LIBOR with one or more alternate</w:t>
      </w:r>
    </w:p>
    <w:p>
      <w:pPr>
        <w:jc w:val="both"/>
        <w:spacing w:after="0" w:line="234" w:lineRule="auto"/>
        <w:rPr>
          <w:sz w:val="20"/>
          <w:szCs w:val="20"/>
          <w:color w:val="auto"/>
        </w:rPr>
      </w:pPr>
      <w:r>
        <w:rPr>
          <w:rFonts w:ascii="Arial" w:cs="Arial" w:eastAsia="Arial" w:hAnsi="Arial"/>
          <w:sz w:val="16"/>
          <w:szCs w:val="16"/>
          <w:color w:val="FF0000"/>
          <w:strike w:val="1"/>
        </w:rPr>
        <w:t xml:space="preserve">benchmark rates, which may be one or more SOFR-Based Rates, giving due consideration to any evolving or then existing convention for similar dollar denominated syndicated credit facilities for such alternate benchmark rates (any such proposed rate, a “ </w:t>
      </w:r>
      <w:r>
        <w:rPr>
          <w:rFonts w:ascii="Arial" w:cs="Arial" w:eastAsia="Arial" w:hAnsi="Arial"/>
          <w:sz w:val="16"/>
          <w:szCs w:val="16"/>
          <w:u w:val="single" w:color="auto"/>
          <w:color w:val="FF0000"/>
          <w:strike w:val="1"/>
        </w:rPr>
        <w:t>LIBOR Successor Rate</w:t>
      </w:r>
      <w:r>
        <w:rPr>
          <w:rFonts w:ascii="Arial" w:cs="Arial" w:eastAsia="Arial" w:hAnsi="Arial"/>
          <w:sz w:val="16"/>
          <w:szCs w:val="16"/>
          <w:color w:val="FF0000"/>
          <w:strike w:val="1"/>
        </w:rPr>
        <w:t>”) and, in each case, including any mathematical or other adjustments to any such benchmark or any method for calculating such adjustment, giving due consideration to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FF0000"/>
          <w:strike w:val="1"/>
        </w:rPr>
        <w:t>evolving or then existing convention for similar dollar denominated syndicated credit facilities for such benchmarks and with appropriate adjustments (x) to preserve the pricing in effect at the time of selection of such LIBOR Successor Rate and (y) for the duration and time for determination of the LIBOR Successor Rate in relation to any applicable Interest Period, which adjustment or method for calculating such adjustment shall be published on an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FF0000"/>
          <w:strike w:val="1"/>
        </w:rPr>
        <w:t>information service as selected by the Administrative Agent from time to time in its reasonable discretion (in consultation with the Borrower) and may be periodically updated (the “</w:t>
      </w:r>
      <w:r>
        <w:rPr>
          <w:rFonts w:ascii="Arial" w:cs="Arial" w:eastAsia="Arial" w:hAnsi="Arial"/>
          <w:sz w:val="16"/>
          <w:szCs w:val="16"/>
          <w:u w:val="single" w:color="auto"/>
          <w:color w:val="FF0000"/>
          <w:strike w:val="1"/>
        </w:rPr>
        <w:t>Adjustment</w:t>
      </w:r>
      <w:r>
        <w:rPr>
          <w:rFonts w:ascii="Arial" w:cs="Arial" w:eastAsia="Arial" w:hAnsi="Arial"/>
          <w:sz w:val="16"/>
          <w:szCs w:val="16"/>
          <w:color w:val="FF0000"/>
          <w:strike w:val="1"/>
        </w:rPr>
        <w:t xml:space="preserve"> ”, and any such amendment shall become effective at 5:00 p.m. (New York time) on the fifth Business Day after the Administrative Agent shall have posted such proposed amendment to all Lenders and the Borrower unless, prior to such time, Lenders comprising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FF0000"/>
          <w:strike w:val="1"/>
        </w:rPr>
        <w:t>Required Lenders have delivered to the Administrative Agent written notice that such Required Lenders in the case of an amendment to replace LIBOR with any alternate benchmark rate other than one or more SOFR-Based Rates, object to such amendment on the basis that such benchmark rate is not a prevailing or evolving reference rate for similar dollar denominated syndicated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84</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FF0000"/>
          <w:strike w:val="1"/>
        </w:rPr>
        <w:t xml:space="preserve">facilities; </w:t>
      </w:r>
      <w:r>
        <w:rPr>
          <w:rFonts w:ascii="Arial" w:cs="Arial" w:eastAsia="Arial" w:hAnsi="Arial"/>
          <w:sz w:val="16"/>
          <w:szCs w:val="16"/>
          <w:u w:val="single" w:color="auto"/>
          <w:color w:val="FF0000"/>
          <w:strike w:val="1"/>
        </w:rPr>
        <w:t>provided</w:t>
      </w:r>
      <w:r>
        <w:rPr>
          <w:rFonts w:ascii="Arial" w:cs="Arial" w:eastAsia="Arial" w:hAnsi="Arial"/>
          <w:sz w:val="16"/>
          <w:szCs w:val="16"/>
          <w:color w:val="FF0000"/>
          <w:strike w:val="1"/>
        </w:rPr>
        <w:t xml:space="preserve"> that, for the avoidance of doubt, in the case of clause (A) the Required Lenders shall not be entitled to object to any SOFR-Based Rate contained in any such amendment. No replacement of LIBOR with a LIBOR Successor Rate will occur prior to the date that is 90 days prior to the applicable Scheduled Unavailability Date. At the Borrower’s request, the Administrative Agent and the Borrower shall use commercially reasonable efforts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FF0000"/>
          <w:strike w:val="1"/>
        </w:rPr>
        <w:t>to satisfy any applicable guidance of the Internal Revenue Service in a manner that is not adverse to the Lenders that is intended to prevent any implementation of a LIBOR Successor Rate from resulting in a deemed exchange of any Loan under this Agreement for purposes of Treasury Regulations Section 1.1001-3.</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FF0000"/>
          <w:strike w:val="1"/>
        </w:rPr>
        <w:t>If no LIBOR Successor Rate has been determined and the circumstances under clause (i) above exist or the Scheduled Unavailability Date has occurred (as applicable), the Administrative Agent will promptly so notify the Borrower and each Lender. Thereafter, (x) the obligation of the Lenders to make, continue or convert into Eurocurrency Loans shall be suspended (to the extent of the affected Eurocurrency Loans or Interest Periods), and (y) in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FF0000"/>
          <w:strike w:val="1"/>
        </w:rPr>
        <w:t xml:space="preserve">case of circumstances under clause (i) above existing with respect to LIBOR or the occurrence of the Scheduled Unavailability Date with respect to LIBOR or the LIBOR Screen Rate, the Adjusted LIBO Rate component shall no longer be utilized in determining the Alternate Base Rate. Upon receipt of such notice, </w:t>
      </w:r>
      <w:r>
        <w:rPr>
          <w:rFonts w:ascii="Arial" w:cs="Arial" w:eastAsia="Arial" w:hAnsi="Arial"/>
          <w:sz w:val="16"/>
          <w:szCs w:val="16"/>
          <w:color w:val="008000"/>
          <w:strike w:val="1"/>
        </w:rPr>
        <w:t>the Borrower may revoke any pending request for a Borrowing of, conversion to or continuation of</w:t>
      </w:r>
      <w:r>
        <w:rPr>
          <w:rFonts w:ascii="Arial" w:cs="Arial" w:eastAsia="Arial" w:hAnsi="Arial"/>
          <w:sz w:val="16"/>
          <w:szCs w:val="16"/>
          <w:color w:val="FF0000"/>
          <w:strike w:val="1"/>
        </w:rPr>
        <w:t xml:space="preserve"> Eurocurrency Loans (to the extent of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FF0000"/>
          <w:strike w:val="1"/>
        </w:rPr>
        <w:t xml:space="preserve">affected Eurocurrency Loans or Interest Periods), or in the case of Eurocurrency Loans, failing that, </w:t>
      </w:r>
      <w:r>
        <w:rPr>
          <w:rFonts w:ascii="Arial" w:cs="Arial" w:eastAsia="Arial" w:hAnsi="Arial"/>
          <w:sz w:val="18"/>
          <w:szCs w:val="18"/>
          <w:color w:val="008000"/>
          <w:strike w:val="1"/>
        </w:rPr>
        <w:t>will be deemed to have converted such request into a</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request for </w:t>
      </w:r>
      <w:r>
        <w:rPr>
          <w:rFonts w:ascii="Arial" w:cs="Arial" w:eastAsia="Arial" w:hAnsi="Arial"/>
          <w:sz w:val="18"/>
          <w:szCs w:val="18"/>
          <w:color w:val="FF0000"/>
          <w:strike w:val="1"/>
        </w:rPr>
        <w:t>a Borrowing of ABR Loans (subject to the foregoing clause (y))</w:t>
      </w:r>
      <w:r>
        <w:rPr>
          <w:rFonts w:ascii="Arial" w:cs="Arial" w:eastAsia="Arial" w:hAnsi="Arial"/>
          <w:sz w:val="18"/>
          <w:szCs w:val="18"/>
          <w:color w:val="008000"/>
          <w:strike w:val="1"/>
        </w:rPr>
        <w:t xml:space="preserve"> in the amount specified therein</w:t>
      </w:r>
      <w:r>
        <w:rPr>
          <w:rFonts w:ascii="Arial" w:cs="Arial" w:eastAsia="Arial" w:hAnsi="Arial"/>
          <w:sz w:val="18"/>
          <w:szCs w:val="18"/>
          <w:color w:val="FF0000"/>
          <w:strike w:val="1"/>
        </w:rPr>
        <w:t>.</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FF0000"/>
          <w:strike w:val="1"/>
        </w:rPr>
        <w:t>Notwithstanding anything else herein, any definition of LIBOR Successor Rate shall provide that in no event shall such LIBOR Successor Rate be less than 0.50% for purposes of this Agreement.</w:t>
      </w:r>
    </w:p>
    <w:p>
      <w:pPr>
        <w:spacing w:after="0" w:line="156" w:lineRule="exact"/>
        <w:rPr>
          <w:sz w:val="20"/>
          <w:szCs w:val="20"/>
          <w:color w:val="auto"/>
        </w:rPr>
      </w:pPr>
    </w:p>
    <w:p>
      <w:pPr>
        <w:jc w:val="both"/>
        <w:ind w:left="660" w:firstLine="903"/>
        <w:spacing w:after="0" w:line="229" w:lineRule="auto"/>
        <w:tabs>
          <w:tab w:leader="none" w:pos="2024" w:val="left"/>
        </w:tabs>
        <w:numPr>
          <w:ilvl w:val="0"/>
          <w:numId w:val="127"/>
        </w:numPr>
        <w:rPr>
          <w:rFonts w:ascii="Arial" w:cs="Arial" w:eastAsia="Arial" w:hAnsi="Arial"/>
          <w:sz w:val="17"/>
          <w:szCs w:val="17"/>
          <w:u w:val="single" w:color="auto"/>
          <w:color w:val="0000FF"/>
          <w:highlight w:val="lightGray"/>
        </w:rPr>
      </w:pPr>
      <w:r>
        <w:rPr>
          <w:rFonts w:ascii="Arial" w:cs="Arial" w:eastAsia="Arial" w:hAnsi="Arial"/>
          <w:sz w:val="17"/>
          <w:szCs w:val="17"/>
          <w:color w:val="auto"/>
        </w:rPr>
        <w:t xml:space="preserve">In connection with the </w:t>
      </w:r>
      <w:r>
        <w:rPr>
          <w:rFonts w:ascii="Arial" w:cs="Arial" w:eastAsia="Arial" w:hAnsi="Arial"/>
          <w:sz w:val="17"/>
          <w:szCs w:val="17"/>
          <w:color w:val="0000FF"/>
          <w:highlight w:val="lightGray"/>
        </w:rPr>
        <w:t>use, admi</w:t>
      </w:r>
      <w:r>
        <w:rPr>
          <w:rFonts w:ascii="Arial" w:cs="Arial" w:eastAsia="Arial" w:hAnsi="Arial"/>
          <w:sz w:val="17"/>
          <w:szCs w:val="17"/>
          <w:u w:val="single" w:color="auto"/>
          <w:color w:val="0000FF"/>
          <w:highlight w:val="lightGray"/>
        </w:rPr>
        <w:t>nistration, adoption or</w:t>
      </w:r>
      <w:r>
        <w:rPr>
          <w:rFonts w:ascii="Arial" w:cs="Arial" w:eastAsia="Arial" w:hAnsi="Arial"/>
          <w:sz w:val="17"/>
          <w:szCs w:val="17"/>
          <w:color w:val="auto"/>
        </w:rPr>
        <w:t xml:space="preserve"> implementation of a </w:t>
      </w:r>
      <w:r>
        <w:rPr>
          <w:rFonts w:ascii="Arial" w:cs="Arial" w:eastAsia="Arial" w:hAnsi="Arial"/>
          <w:sz w:val="17"/>
          <w:szCs w:val="17"/>
          <w:color w:val="FF0000"/>
          <w:strike w:val="1"/>
        </w:rPr>
        <w:t>LIBOR Successor Rate</w:t>
      </w:r>
      <w:r>
        <w:rPr>
          <w:rFonts w:ascii="Arial" w:cs="Arial" w:eastAsia="Arial" w:hAnsi="Arial"/>
          <w:sz w:val="17"/>
          <w:szCs w:val="17"/>
          <w:color w:val="0000FF"/>
          <w:highlight w:val="lightGray"/>
        </w:rPr>
        <w:t>Benchmark Replacement</w:t>
      </w:r>
      <w:r>
        <w:rPr>
          <w:rFonts w:ascii="Arial" w:cs="Arial" w:eastAsia="Arial" w:hAnsi="Arial"/>
          <w:sz w:val="17"/>
          <w:szCs w:val="17"/>
          <w:color w:val="auto"/>
        </w:rPr>
        <w:t xml:space="preserve">, the Administrative Agent </w:t>
      </w:r>
      <w:r>
        <w:rPr>
          <w:rFonts w:ascii="Arial" w:cs="Arial" w:eastAsia="Arial" w:hAnsi="Arial"/>
          <w:sz w:val="17"/>
          <w:szCs w:val="17"/>
          <w:color w:val="FF0000"/>
        </w:rPr>
        <w:t>and</w:t>
      </w:r>
      <w:r>
        <w:rPr>
          <w:rFonts w:ascii="Arial" w:cs="Arial" w:eastAsia="Arial" w:hAnsi="Arial"/>
          <w:sz w:val="17"/>
          <w:szCs w:val="17"/>
          <w:u w:val="single" w:color="auto"/>
          <w:color w:val="0000FF"/>
        </w:rPr>
        <w:t>, in consultation with</w:t>
      </w:r>
      <w:r>
        <w:rPr>
          <w:rFonts w:ascii="Arial" w:cs="Arial" w:eastAsia="Arial" w:hAnsi="Arial"/>
          <w:sz w:val="17"/>
          <w:szCs w:val="17"/>
          <w:color w:val="auto"/>
        </w:rPr>
        <w:t xml:space="preserve"> the Borrower</w:t>
      </w:r>
      <w:r>
        <w:rPr>
          <w:rFonts w:ascii="Arial" w:cs="Arial" w:eastAsia="Arial" w:hAnsi="Arial"/>
          <w:sz w:val="17"/>
          <w:szCs w:val="17"/>
          <w:u w:val="single" w:color="auto"/>
          <w:color w:val="0000FF"/>
          <w:highlight w:val="lightGray"/>
        </w:rPr>
        <w:t>,</w:t>
      </w:r>
      <w:r>
        <w:rPr>
          <w:rFonts w:ascii="Arial" w:cs="Arial" w:eastAsia="Arial" w:hAnsi="Arial"/>
          <w:sz w:val="17"/>
          <w:szCs w:val="17"/>
          <w:color w:val="auto"/>
        </w:rPr>
        <w:t xml:space="preserve"> will have the right to make </w:t>
      </w:r>
      <w:r>
        <w:rPr>
          <w:rFonts w:ascii="Arial" w:cs="Arial" w:eastAsia="Arial" w:hAnsi="Arial"/>
          <w:sz w:val="17"/>
          <w:szCs w:val="17"/>
          <w:color w:val="FF0000"/>
          <w:strike w:val="1"/>
        </w:rPr>
        <w:t>LIBOR Successor Rate</w:t>
      </w:r>
      <w:r>
        <w:rPr>
          <w:rFonts w:ascii="Arial" w:cs="Arial" w:eastAsia="Arial" w:hAnsi="Arial"/>
          <w:sz w:val="17"/>
          <w:szCs w:val="17"/>
          <w:u w:val="single" w:color="auto"/>
          <w:color w:val="0000FF"/>
          <w:highlight w:val="lightGray"/>
        </w:rPr>
        <w:t>Benchmark Replacement</w:t>
      </w:r>
      <w:r>
        <w:rPr>
          <w:rFonts w:ascii="Arial" w:cs="Arial" w:eastAsia="Arial" w:hAnsi="Arial"/>
          <w:sz w:val="17"/>
          <w:szCs w:val="17"/>
          <w:color w:val="auto"/>
        </w:rPr>
        <w:t xml:space="preserve"> Conforming Changes from time to time and, notwithstanding anything to the contrary herein or in any other Loan Document, any amendments implementing such </w:t>
      </w:r>
      <w:r>
        <w:rPr>
          <w:rFonts w:ascii="Arial" w:cs="Arial" w:eastAsia="Arial" w:hAnsi="Arial"/>
          <w:sz w:val="17"/>
          <w:szCs w:val="17"/>
          <w:color w:val="FF0000"/>
          <w:strike w:val="1"/>
        </w:rPr>
        <w:t>LIBOR Successor Rate</w:t>
      </w:r>
      <w:r>
        <w:rPr>
          <w:rFonts w:ascii="Arial" w:cs="Arial" w:eastAsia="Arial" w:hAnsi="Arial"/>
          <w:sz w:val="17"/>
          <w:szCs w:val="17"/>
          <w:u w:val="single" w:color="auto"/>
          <w:color w:val="0000FF"/>
          <w:highlight w:val="lightGray"/>
        </w:rPr>
        <w:t>Benchmark Replacement</w:t>
      </w:r>
      <w:r>
        <w:rPr>
          <w:rFonts w:ascii="Arial" w:cs="Arial" w:eastAsia="Arial" w:hAnsi="Arial"/>
          <w:sz w:val="17"/>
          <w:szCs w:val="17"/>
          <w:color w:val="auto"/>
        </w:rPr>
        <w:t xml:space="preserve"> Conforming Changes will become effective without any further action or consent of any other party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such amendment effected, the Administrative Agent shall post each such amendment implementing such </w:t>
      </w:r>
      <w:r>
        <w:rPr>
          <w:rFonts w:ascii="Arial" w:cs="Arial" w:eastAsia="Arial" w:hAnsi="Arial"/>
          <w:sz w:val="17"/>
          <w:szCs w:val="17"/>
          <w:color w:val="FF0000"/>
          <w:strike w:val="1"/>
        </w:rPr>
        <w:t>LIBOR Successor</w:t>
      </w:r>
      <w:r>
        <w:rPr>
          <w:rFonts w:ascii="Arial" w:cs="Arial" w:eastAsia="Arial" w:hAnsi="Arial"/>
          <w:sz w:val="17"/>
          <w:szCs w:val="17"/>
          <w:u w:val="single" w:color="auto"/>
          <w:color w:val="0000FF"/>
          <w:highlight w:val="lightGray"/>
        </w:rPr>
        <w:t>Benchmark Replacement</w:t>
      </w:r>
      <w:r>
        <w:rPr>
          <w:rFonts w:ascii="Arial" w:cs="Arial" w:eastAsia="Arial" w:hAnsi="Arial"/>
          <w:sz w:val="17"/>
          <w:szCs w:val="17"/>
          <w:color w:val="auto"/>
        </w:rPr>
        <w:t xml:space="preserve"> Conforming Changes to the Lenders reasonably promptly after such amendment becomes effective.</w:t>
      </w:r>
    </w:p>
    <w:p>
      <w:pPr>
        <w:spacing w:after="0" w:line="165" w:lineRule="exact"/>
        <w:rPr>
          <w:rFonts w:ascii="Arial" w:cs="Arial" w:eastAsia="Arial" w:hAnsi="Arial"/>
          <w:sz w:val="17"/>
          <w:szCs w:val="17"/>
          <w:u w:val="single" w:color="auto"/>
          <w:color w:val="0000FF"/>
          <w:highlight w:val="lightGray"/>
        </w:rPr>
      </w:pPr>
    </w:p>
    <w:p>
      <w:pPr>
        <w:jc w:val="both"/>
        <w:ind w:left="660" w:firstLine="903"/>
        <w:spacing w:after="0" w:line="245" w:lineRule="auto"/>
        <w:tabs>
          <w:tab w:leader="none" w:pos="2121" w:val="left"/>
        </w:tabs>
        <w:numPr>
          <w:ilvl w:val="0"/>
          <w:numId w:val="127"/>
        </w:numPr>
        <w:rPr>
          <w:rFonts w:ascii="Arial" w:cs="Arial" w:eastAsia="Arial" w:hAnsi="Arial"/>
          <w:sz w:val="16"/>
          <w:szCs w:val="16"/>
          <w:u w:val="single" w:color="auto"/>
          <w:color w:val="0000FF"/>
          <w:highlight w:val="lightGray"/>
        </w:rPr>
      </w:pPr>
      <w:r>
        <w:rPr>
          <w:rFonts w:ascii="Arial" w:cs="Arial" w:eastAsia="Arial" w:hAnsi="Arial"/>
          <w:sz w:val="16"/>
          <w:szCs w:val="16"/>
          <w:u w:val="single" w:color="auto"/>
          <w:color w:val="0000FF"/>
          <w:highlight w:val="lightGray"/>
        </w:rPr>
        <w:t xml:space="preserve">The Administrative Agent will promptly notify the Borrower and the Lenders of the (A) any occurrence of a Benchmark </w:t>
      </w:r>
      <w:r>
        <w:rPr>
          <w:rFonts w:ascii="Arial" w:cs="Arial" w:eastAsia="Arial" w:hAnsi="Arial"/>
          <w:sz w:val="16"/>
          <w:szCs w:val="16"/>
          <w:color w:val="0000FF"/>
          <w:highlight w:val="lightGray"/>
        </w:rPr>
        <w:t xml:space="preserve">Transition Event, (B) the implementation of any Benchmark Replacement, (C) the effectiveness of any Benchmark Replacement Conforming Changes, (D) the removal or reinstatement of any tenor of a Benchmark pursuant to Section 2.14(b)(iv) below and (E) the commencement or </w:t>
      </w:r>
      <w:r>
        <w:rPr>
          <w:rFonts w:ascii="Arial" w:cs="Arial" w:eastAsia="Arial" w:hAnsi="Arial"/>
          <w:sz w:val="16"/>
          <w:szCs w:val="16"/>
          <w:u w:val="single" w:color="auto"/>
          <w:color w:val="0000FF"/>
          <w:highlight w:val="lightGray"/>
        </w:rPr>
        <w:t xml:space="preserve">conclusion of any Benchmark Unavailability Period. Any determination, decision or election that may be made by the Administrative Agent or, if </w:t>
      </w:r>
      <w:r>
        <w:rPr>
          <w:rFonts w:ascii="Arial" w:cs="Arial" w:eastAsia="Arial" w:hAnsi="Arial"/>
          <w:sz w:val="16"/>
          <w:szCs w:val="16"/>
          <w:color w:val="0000FF"/>
          <w:highlight w:val="lightGray"/>
        </w:rPr>
        <w:t>applicable, any Lender (or group of Lenders) pursuant to this Section 2.14(b), including any determination with respect to a tenor, rate or adjustment or of the occurrence or non-occurrence of an event, circumstance or date a</w:t>
      </w:r>
      <w:r>
        <w:rPr>
          <w:rFonts w:ascii="Arial" w:cs="Arial" w:eastAsia="Arial" w:hAnsi="Arial"/>
          <w:sz w:val="16"/>
          <w:szCs w:val="16"/>
          <w:u w:val="single" w:color="auto"/>
          <w:color w:val="0000FF"/>
          <w:highlight w:val="lightGray"/>
        </w:rPr>
        <w:t>nd any decision to take or ref</w:t>
      </w:r>
      <w:r>
        <w:rPr>
          <w:rFonts w:ascii="Arial" w:cs="Arial" w:eastAsia="Arial" w:hAnsi="Arial"/>
          <w:sz w:val="16"/>
          <w:szCs w:val="16"/>
          <w:color w:val="0000FF"/>
          <w:highlight w:val="lightGray"/>
        </w:rPr>
        <w:t xml:space="preserve">rain from taking any action or </w:t>
      </w:r>
      <w:r>
        <w:rPr>
          <w:rFonts w:ascii="Arial" w:cs="Arial" w:eastAsia="Arial" w:hAnsi="Arial"/>
          <w:sz w:val="16"/>
          <w:szCs w:val="16"/>
          <w:u w:val="single" w:color="auto"/>
          <w:color w:val="0000FF"/>
          <w:highlight w:val="lightGray"/>
        </w:rPr>
        <w:t xml:space="preserve">any selection, will be conclusive and binding absent manifest error and may be made </w:t>
      </w:r>
      <w:r>
        <w:rPr>
          <w:rFonts w:ascii="Arial" w:cs="Arial" w:eastAsia="Arial" w:hAnsi="Arial"/>
          <w:sz w:val="16"/>
          <w:szCs w:val="16"/>
          <w:u w:val="single" w:color="auto"/>
          <w:color w:val="008000"/>
        </w:rPr>
        <w:t>in its or their sole discretion</w:t>
      </w:r>
      <w:r>
        <w:rPr>
          <w:rFonts w:ascii="Arial" w:cs="Arial" w:eastAsia="Arial" w:hAnsi="Arial"/>
          <w:sz w:val="16"/>
          <w:szCs w:val="16"/>
          <w:u w:val="single" w:color="auto"/>
          <w:color w:val="0000FF"/>
          <w:highlight w:val="lightGray"/>
        </w:rPr>
        <w:t xml:space="preserve"> and without consent from any other party to </w:t>
      </w:r>
      <w:r>
        <w:rPr>
          <w:rFonts w:ascii="Arial" w:cs="Arial" w:eastAsia="Arial" w:hAnsi="Arial"/>
          <w:sz w:val="16"/>
          <w:szCs w:val="16"/>
          <w:u w:val="single" w:color="auto"/>
          <w:color w:val="008000"/>
        </w:rPr>
        <w:t>this Agreement or any other Loan</w:t>
      </w:r>
      <w:r>
        <w:rPr>
          <w:rFonts w:ascii="Arial" w:cs="Arial" w:eastAsia="Arial" w:hAnsi="Arial"/>
          <w:sz w:val="16"/>
          <w:szCs w:val="16"/>
          <w:u w:val="single" w:color="auto"/>
          <w:color w:val="0000FF"/>
          <w:highlight w:val="lightGray"/>
        </w:rPr>
        <w:t xml:space="preserve"> Document, except, in each case, as expressly required pursuant to this Section 2.14(b).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-1767205</wp:posOffset>
            </wp:positionV>
            <wp:extent cx="234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23495" cy="8255"/>
                    </a:xfrm>
                    <a:prstGeom prst="rect">
                      <a:avLst/>
                    </a:prstGeom>
                    <a:noFill/>
                  </pic:spPr>
                </pic:pic>
              </a:graphicData>
            </a:graphic>
          </wp:anchor>
        </w:drawing>
        <w:drawing>
          <wp:anchor simplePos="0" relativeHeight="251657728" behindDoc="1" locked="0" layoutInCell="0" allowOverlap="1">
            <wp:simplePos x="0" y="0"/>
            <wp:positionH relativeFrom="column">
              <wp:posOffset>1593215</wp:posOffset>
            </wp:positionH>
            <wp:positionV relativeFrom="paragraph">
              <wp:posOffset>-1767205</wp:posOffset>
            </wp:positionV>
            <wp:extent cx="121475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1214755" cy="128905"/>
                    </a:xfrm>
                    <a:prstGeom prst="rect">
                      <a:avLst/>
                    </a:prstGeom>
                    <a:noFill/>
                  </pic:spPr>
                </pic:pic>
              </a:graphicData>
            </a:graphic>
          </wp:anchor>
        </w:drawing>
      </w:r>
    </w:p>
    <w:p>
      <w:pPr>
        <w:spacing w:after="0" w:line="138" w:lineRule="exact"/>
        <w:rPr>
          <w:sz w:val="20"/>
          <w:szCs w:val="20"/>
          <w:color w:val="auto"/>
        </w:rPr>
      </w:pPr>
    </w:p>
    <w:p>
      <w:pPr>
        <w:jc w:val="both"/>
        <w:ind w:left="660" w:firstLine="907"/>
        <w:spacing w:after="0" w:line="248" w:lineRule="auto"/>
        <w:rPr>
          <w:sz w:val="20"/>
          <w:szCs w:val="20"/>
          <w:color w:val="auto"/>
        </w:rPr>
      </w:pPr>
      <w:r>
        <w:rPr>
          <w:rFonts w:ascii="Arial" w:cs="Arial" w:eastAsia="Arial" w:hAnsi="Arial"/>
          <w:sz w:val="16"/>
          <w:szCs w:val="16"/>
          <w:color w:val="0000FF"/>
          <w:highlight w:val="lightGray"/>
        </w:rPr>
        <w:t>(iv</w:t>
      </w:r>
      <w:r>
        <w:rPr>
          <w:rFonts w:ascii="Arial" w:cs="Arial" w:eastAsia="Arial" w:hAnsi="Arial"/>
          <w:sz w:val="16"/>
          <w:szCs w:val="16"/>
          <w:u w:val="single" w:color="auto"/>
          <w:color w:val="008000"/>
        </w:rPr>
        <w:t>)</w:t>
      </w:r>
      <w:r>
        <w:rPr>
          <w:rFonts w:ascii="Arial" w:cs="Arial" w:eastAsia="Arial" w:hAnsi="Arial"/>
          <w:sz w:val="16"/>
          <w:szCs w:val="16"/>
          <w:color w:val="0000FF"/>
          <w:highlight w:val="lightGray"/>
        </w:rPr>
        <w:t xml:space="preserve"> </w:t>
      </w:r>
      <w:r>
        <w:rPr>
          <w:rFonts w:ascii="Arial" w:cs="Arial" w:eastAsia="Arial" w:hAnsi="Arial"/>
          <w:sz w:val="16"/>
          <w:szCs w:val="16"/>
          <w:color w:val="008000"/>
        </w:rPr>
        <w:t>Notwithstanding anything to the contrary</w:t>
      </w:r>
      <w:r>
        <w:rPr>
          <w:rFonts w:ascii="Arial" w:cs="Arial" w:eastAsia="Arial" w:hAnsi="Arial"/>
          <w:sz w:val="16"/>
          <w:szCs w:val="16"/>
          <w:color w:val="0000FF"/>
          <w:highlight w:val="lightGray"/>
        </w:rPr>
        <w:t xml:space="preserve"> herein or in any other Loan Document, at any time (including in connection with the </w:t>
      </w:r>
      <w:r>
        <w:rPr>
          <w:rFonts w:ascii="Arial" w:cs="Arial" w:eastAsia="Arial" w:hAnsi="Arial"/>
          <w:sz w:val="16"/>
          <w:szCs w:val="16"/>
          <w:u w:val="single" w:color="auto"/>
          <w:color w:val="0000FF"/>
          <w:highlight w:val="lightGray"/>
        </w:rPr>
        <w:t>implementation of a Benchmark Replacement), (A) if any then-current Benchmark is a term rate and either (x) any tenor for such Benchmark is</w:t>
      </w:r>
    </w:p>
    <w:p>
      <w:pPr>
        <w:spacing w:after="0" w:line="20" w:lineRule="exact"/>
        <w:rPr>
          <w:sz w:val="20"/>
          <w:szCs w:val="20"/>
          <w:color w:val="auto"/>
        </w:rPr>
      </w:pPr>
    </w:p>
    <w:p>
      <w:pPr>
        <w:jc w:val="both"/>
        <w:ind w:left="660"/>
        <w:spacing w:after="0" w:line="234" w:lineRule="auto"/>
        <w:rPr>
          <w:sz w:val="20"/>
          <w:szCs w:val="20"/>
          <w:color w:val="auto"/>
        </w:rPr>
      </w:pPr>
      <w:r>
        <w:rPr>
          <w:rFonts w:ascii="Arial" w:cs="Arial" w:eastAsia="Arial" w:hAnsi="Arial"/>
          <w:sz w:val="16"/>
          <w:szCs w:val="16"/>
          <w:color w:val="0000FF"/>
          <w:highlight w:val="lightGray"/>
        </w:rPr>
        <w:t xml:space="preserve">not displayed on a screen or other information service that publishes such rate from time to time as selected by the Administrative Agent in its reasonable discretion or (y) the regulatory supervisor for the administrator of such Benchmark has provided a public statement or publication of </w:t>
      </w:r>
      <w:r>
        <w:rPr>
          <w:rFonts w:ascii="Arial" w:cs="Arial" w:eastAsia="Arial" w:hAnsi="Arial"/>
          <w:sz w:val="16"/>
          <w:szCs w:val="16"/>
          <w:u w:val="single" w:color="auto"/>
          <w:color w:val="0000FF"/>
          <w:highlight w:val="lightGray"/>
        </w:rPr>
        <w:t>information announcing that any tenor for such Benchmark is not or will not be representative, then the Administrative Agent, in consultation with</w:t>
      </w:r>
    </w:p>
    <w:p>
      <w:pPr>
        <w:spacing w:after="0" w:line="2" w:lineRule="exact"/>
        <w:rPr>
          <w:sz w:val="20"/>
          <w:szCs w:val="20"/>
          <w:color w:val="auto"/>
        </w:rPr>
      </w:pPr>
    </w:p>
    <w:p>
      <w:pPr>
        <w:jc w:val="both"/>
        <w:ind w:left="660"/>
        <w:spacing w:after="0" w:line="234" w:lineRule="auto"/>
        <w:rPr>
          <w:sz w:val="20"/>
          <w:szCs w:val="20"/>
          <w:color w:val="auto"/>
        </w:rPr>
      </w:pPr>
      <w:r>
        <w:rPr>
          <w:rFonts w:ascii="Arial" w:cs="Arial" w:eastAsia="Arial" w:hAnsi="Arial"/>
          <w:sz w:val="16"/>
          <w:szCs w:val="16"/>
          <w:color w:val="0000FF"/>
          <w:highlight w:val="lightGray"/>
        </w:rPr>
        <w:t xml:space="preserve">the Borrower, may modify the definition of “Interest Period” (or any similar or analogous definition) for any Benchmark settings at or after such time to remove such unavailable or non-representative tenor and (B) if a tenor that was removed pursuant to clause (A) above either (x) is </w:t>
      </w:r>
      <w:r>
        <w:rPr>
          <w:rFonts w:ascii="Arial" w:cs="Arial" w:eastAsia="Arial" w:hAnsi="Arial"/>
          <w:sz w:val="16"/>
          <w:szCs w:val="16"/>
          <w:u w:val="single" w:color="auto"/>
          <w:color w:val="0000FF"/>
          <w:highlight w:val="lightGray"/>
        </w:rPr>
        <w:t>subsequently displayed on a screen or information service for a Benchmark (including a Benchmark Replacement) or (y) is not, or is no longer,</w:t>
      </w:r>
    </w:p>
    <w:p>
      <w:pPr>
        <w:spacing w:after="0" w:line="2" w:lineRule="exact"/>
        <w:rPr>
          <w:sz w:val="20"/>
          <w:szCs w:val="20"/>
          <w:color w:val="auto"/>
        </w:rPr>
      </w:pPr>
    </w:p>
    <w:p>
      <w:pPr>
        <w:jc w:val="both"/>
        <w:ind w:left="660"/>
        <w:spacing w:after="0" w:line="218" w:lineRule="auto"/>
        <w:rPr>
          <w:sz w:val="20"/>
          <w:szCs w:val="20"/>
          <w:color w:val="auto"/>
        </w:rPr>
      </w:pPr>
      <w:r>
        <w:rPr>
          <w:rFonts w:ascii="Arial" w:cs="Arial" w:eastAsia="Arial" w:hAnsi="Arial"/>
          <w:sz w:val="18"/>
          <w:szCs w:val="18"/>
          <w:color w:val="0000FF"/>
          <w:highlight w:val="lightGray"/>
        </w:rPr>
        <w:t>subject to an announcement that it is not or will not be representative for a Benchmark (including a Benchmark Replacement), then the Administrative Agent, in consultation with the Borrower, may modify the definition of “I</w:t>
      </w:r>
      <w:r>
        <w:rPr>
          <w:rFonts w:ascii="Arial" w:cs="Arial" w:eastAsia="Arial" w:hAnsi="Arial"/>
          <w:sz w:val="18"/>
          <w:szCs w:val="18"/>
          <w:u w:val="single" w:color="auto"/>
          <w:color w:val="0000FF"/>
          <w:highlight w:val="lightGray"/>
        </w:rPr>
        <w:t>nterest Period” (or any similar or analogous definition)</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for all Benchmark settings at or after such time to reinstate such previously removed tenor.</w:t>
      </w:r>
    </w:p>
    <w:p>
      <w:pPr>
        <w:spacing w:after="0" w:line="176" w:lineRule="exact"/>
        <w:rPr>
          <w:sz w:val="20"/>
          <w:szCs w:val="20"/>
          <w:color w:val="auto"/>
        </w:rPr>
      </w:pPr>
    </w:p>
    <w:p>
      <w:pPr>
        <w:ind w:left="660" w:firstLine="903"/>
        <w:spacing w:after="0" w:line="235" w:lineRule="auto"/>
        <w:tabs>
          <w:tab w:leader="none" w:pos="2038" w:val="left"/>
        </w:tabs>
        <w:numPr>
          <w:ilvl w:val="0"/>
          <w:numId w:val="128"/>
        </w:numPr>
        <w:rPr>
          <w:rFonts w:ascii="Arial" w:cs="Arial" w:eastAsia="Arial" w:hAnsi="Arial"/>
          <w:sz w:val="18"/>
          <w:szCs w:val="18"/>
          <w:color w:val="0000FF"/>
          <w:highlight w:val="lightGray"/>
        </w:rPr>
      </w:pPr>
      <w:r>
        <w:rPr>
          <w:rFonts w:ascii="Arial" w:cs="Arial" w:eastAsia="Arial" w:hAnsi="Arial"/>
          <w:sz w:val="18"/>
          <w:szCs w:val="18"/>
          <w:u w:val="single" w:color="auto"/>
          <w:color w:val="0000FF"/>
          <w:highlight w:val="lightGray"/>
        </w:rPr>
        <w:t xml:space="preserve">Upon the Borrower’s receipt of notice of the commencement of a Benchmark Unavailability </w:t>
      </w:r>
      <w:r>
        <w:rPr>
          <w:rFonts w:ascii="Arial" w:cs="Arial" w:eastAsia="Arial" w:hAnsi="Arial"/>
          <w:sz w:val="18"/>
          <w:szCs w:val="18"/>
          <w:u w:val="single" w:color="auto"/>
          <w:color w:val="008000"/>
        </w:rPr>
        <w:t>Period with respect to a</w:t>
      </w:r>
      <w:r>
        <w:rPr>
          <w:rFonts w:ascii="Arial" w:cs="Arial" w:eastAsia="Arial" w:hAnsi="Arial"/>
          <w:sz w:val="18"/>
          <w:szCs w:val="18"/>
          <w:u w:val="single" w:color="auto"/>
          <w:color w:val="0000FF"/>
          <w:highlight w:val="lightGray"/>
        </w:rPr>
        <w:t xml:space="preserve"> given Benchmark, (A) </w:t>
      </w:r>
      <w:r>
        <w:rPr>
          <w:rFonts w:ascii="Arial" w:cs="Arial" w:eastAsia="Arial" w:hAnsi="Arial"/>
          <w:sz w:val="18"/>
          <w:szCs w:val="18"/>
          <w:u w:val="single" w:color="auto"/>
          <w:color w:val="008000"/>
        </w:rPr>
        <w:t>the Borrower may revoke any 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85</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63" w:lineRule="exact"/>
        <w:rPr>
          <w:sz w:val="20"/>
          <w:szCs w:val="20"/>
          <w:color w:val="auto"/>
        </w:rPr>
      </w:pPr>
    </w:p>
    <w:p>
      <w:pPr>
        <w:jc w:val="both"/>
        <w:ind w:left="660"/>
        <w:spacing w:after="0" w:line="241" w:lineRule="auto"/>
        <w:rPr>
          <w:sz w:val="20"/>
          <w:szCs w:val="20"/>
          <w:color w:val="auto"/>
        </w:rPr>
      </w:pPr>
      <w:r>
        <w:rPr>
          <w:rFonts w:ascii="Arial" w:cs="Arial" w:eastAsia="Arial" w:hAnsi="Arial"/>
          <w:sz w:val="16"/>
          <w:szCs w:val="16"/>
          <w:color w:val="008000"/>
        </w:rPr>
        <w:t xml:space="preserve">request for a Borrowing of, conversion to or continuation of </w:t>
      </w:r>
      <w:r>
        <w:rPr>
          <w:rFonts w:ascii="Arial" w:cs="Arial" w:eastAsia="Arial" w:hAnsi="Arial"/>
          <w:sz w:val="16"/>
          <w:szCs w:val="16"/>
          <w:color w:val="0000FF"/>
          <w:highlight w:val="lightGray"/>
        </w:rPr>
        <w:t>Te</w:t>
      </w:r>
      <w:r>
        <w:rPr>
          <w:rFonts w:ascii="Arial" w:cs="Arial" w:eastAsia="Arial" w:hAnsi="Arial"/>
          <w:sz w:val="16"/>
          <w:szCs w:val="16"/>
          <w:u w:val="single" w:color="auto"/>
          <w:color w:val="0000FF"/>
          <w:highlight w:val="lightGray"/>
        </w:rPr>
        <w:t>rm SOFR Loans, in each case, to</w:t>
      </w:r>
      <w:r>
        <w:rPr>
          <w:rFonts w:ascii="Arial" w:cs="Arial" w:eastAsia="Arial" w:hAnsi="Arial"/>
          <w:sz w:val="16"/>
          <w:szCs w:val="16"/>
          <w:color w:val="008000"/>
        </w:rPr>
        <w:t xml:space="preserve"> </w:t>
      </w:r>
      <w:r>
        <w:rPr>
          <w:rFonts w:ascii="Arial" w:cs="Arial" w:eastAsia="Arial" w:hAnsi="Arial"/>
          <w:sz w:val="16"/>
          <w:szCs w:val="16"/>
          <w:color w:val="0000FF"/>
          <w:highlight w:val="lightGray"/>
        </w:rPr>
        <w:t>be</w:t>
      </w:r>
      <w:r>
        <w:rPr>
          <w:rFonts w:ascii="Arial" w:cs="Arial" w:eastAsia="Arial" w:hAnsi="Arial"/>
          <w:sz w:val="16"/>
          <w:szCs w:val="16"/>
          <w:color w:val="008000"/>
        </w:rPr>
        <w:t xml:space="preserve"> </w:t>
      </w:r>
      <w:r>
        <w:rPr>
          <w:rFonts w:ascii="Arial" w:cs="Arial" w:eastAsia="Arial" w:hAnsi="Arial"/>
          <w:sz w:val="16"/>
          <w:szCs w:val="16"/>
          <w:u w:val="single" w:color="auto"/>
          <w:color w:val="0000FF"/>
          <w:highlight w:val="lightGray"/>
        </w:rPr>
        <w:t>made, converted or continued</w:t>
      </w:r>
      <w:r>
        <w:rPr>
          <w:rFonts w:ascii="Arial" w:cs="Arial" w:eastAsia="Arial" w:hAnsi="Arial"/>
          <w:sz w:val="16"/>
          <w:szCs w:val="16"/>
          <w:color w:val="008000"/>
        </w:rPr>
        <w:t xml:space="preserve"> </w:t>
      </w:r>
      <w:r>
        <w:rPr>
          <w:rFonts w:ascii="Arial" w:cs="Arial" w:eastAsia="Arial" w:hAnsi="Arial"/>
          <w:sz w:val="16"/>
          <w:szCs w:val="16"/>
          <w:color w:val="0000FF"/>
          <w:highlight w:val="lightGray"/>
        </w:rPr>
        <w:t>during any</w:t>
      </w:r>
      <w:r>
        <w:rPr>
          <w:rFonts w:ascii="Arial" w:cs="Arial" w:eastAsia="Arial" w:hAnsi="Arial"/>
          <w:sz w:val="16"/>
          <w:szCs w:val="16"/>
          <w:color w:val="008000"/>
        </w:rPr>
        <w:t xml:space="preserve"> </w:t>
      </w:r>
      <w:r>
        <w:rPr>
          <w:rFonts w:ascii="Arial" w:cs="Arial" w:eastAsia="Arial" w:hAnsi="Arial"/>
          <w:sz w:val="16"/>
          <w:szCs w:val="16"/>
          <w:color w:val="0000FF"/>
          <w:highlight w:val="lightGray"/>
        </w:rPr>
        <w:t>Benchmark Unavailability Pe</w:t>
      </w:r>
      <w:r>
        <w:rPr>
          <w:rFonts w:ascii="Arial" w:cs="Arial" w:eastAsia="Arial" w:hAnsi="Arial"/>
          <w:sz w:val="16"/>
          <w:szCs w:val="16"/>
          <w:u w:val="single" w:color="auto"/>
          <w:color w:val="0000FF"/>
          <w:highlight w:val="lightGray"/>
        </w:rPr>
        <w:t>riod and, failing that, the Borro</w:t>
      </w:r>
      <w:r>
        <w:rPr>
          <w:rFonts w:ascii="Arial" w:cs="Arial" w:eastAsia="Arial" w:hAnsi="Arial"/>
          <w:sz w:val="16"/>
          <w:szCs w:val="16"/>
          <w:color w:val="0000FF"/>
          <w:highlight w:val="lightGray"/>
        </w:rPr>
        <w:t xml:space="preserve">wer </w:t>
      </w:r>
      <w:r>
        <w:rPr>
          <w:rFonts w:ascii="Arial" w:cs="Arial" w:eastAsia="Arial" w:hAnsi="Arial"/>
          <w:sz w:val="16"/>
          <w:szCs w:val="16"/>
          <w:color w:val="008000"/>
        </w:rPr>
        <w:t>will be deemed to have converted</w:t>
      </w:r>
      <w:r>
        <w:rPr>
          <w:rFonts w:ascii="Arial" w:cs="Arial" w:eastAsia="Arial" w:hAnsi="Arial"/>
          <w:sz w:val="16"/>
          <w:szCs w:val="16"/>
          <w:color w:val="0000FF"/>
          <w:highlight w:val="lightGray"/>
        </w:rPr>
        <w:t xml:space="preserve"> any </w:t>
      </w:r>
      <w:r>
        <w:rPr>
          <w:rFonts w:ascii="Arial" w:cs="Arial" w:eastAsia="Arial" w:hAnsi="Arial"/>
          <w:sz w:val="16"/>
          <w:szCs w:val="16"/>
          <w:color w:val="008000"/>
        </w:rPr>
        <w:t>such request into a request for</w:t>
      </w:r>
      <w:r>
        <w:rPr>
          <w:rFonts w:ascii="Arial" w:cs="Arial" w:eastAsia="Arial" w:hAnsi="Arial"/>
          <w:sz w:val="16"/>
          <w:szCs w:val="16"/>
          <w:color w:val="0000FF"/>
          <w:highlight w:val="lightGray"/>
        </w:rPr>
        <w:t xml:space="preserve"> ABR Loans </w:t>
      </w:r>
      <w:r>
        <w:rPr>
          <w:rFonts w:ascii="Arial" w:cs="Arial" w:eastAsia="Arial" w:hAnsi="Arial"/>
          <w:sz w:val="16"/>
          <w:szCs w:val="16"/>
          <w:u w:val="single" w:color="auto"/>
          <w:color w:val="0000FF"/>
          <w:highlight w:val="lightGray"/>
        </w:rPr>
        <w:t xml:space="preserve">or conversion to ABR Loans </w:t>
      </w:r>
      <w:r>
        <w:rPr>
          <w:rFonts w:ascii="Arial" w:cs="Arial" w:eastAsia="Arial" w:hAnsi="Arial"/>
          <w:sz w:val="16"/>
          <w:szCs w:val="16"/>
          <w:u w:val="single" w:color="auto"/>
          <w:color w:val="008000"/>
        </w:rPr>
        <w:t>in the amount specified therein</w:t>
      </w:r>
      <w:r>
        <w:rPr>
          <w:rFonts w:ascii="Arial" w:cs="Arial" w:eastAsia="Arial" w:hAnsi="Arial"/>
          <w:sz w:val="16"/>
          <w:szCs w:val="16"/>
          <w:u w:val="single" w:color="auto"/>
          <w:color w:val="0000FF"/>
          <w:highlight w:val="lightGray"/>
        </w:rPr>
        <w:t xml:space="preserve"> and (B) any outstanding affected Term SOFR Loans, if applicable, will be deemed to</w:t>
      </w:r>
    </w:p>
    <w:p>
      <w:pPr>
        <w:spacing w:after="0" w:line="2" w:lineRule="exact"/>
        <w:rPr>
          <w:sz w:val="20"/>
          <w:szCs w:val="20"/>
          <w:color w:val="auto"/>
        </w:rPr>
      </w:pPr>
    </w:p>
    <w:p>
      <w:pPr>
        <w:jc w:val="both"/>
        <w:ind w:left="660"/>
        <w:spacing w:after="0" w:line="234" w:lineRule="auto"/>
        <w:rPr>
          <w:sz w:val="20"/>
          <w:szCs w:val="20"/>
          <w:color w:val="auto"/>
        </w:rPr>
      </w:pPr>
      <w:r>
        <w:rPr>
          <w:rFonts w:ascii="Arial" w:cs="Arial" w:eastAsia="Arial" w:hAnsi="Arial"/>
          <w:sz w:val="16"/>
          <w:szCs w:val="16"/>
          <w:color w:val="0000FF"/>
          <w:highlight w:val="lightGray"/>
        </w:rPr>
        <w:t xml:space="preserve">have been converted into ABR Loans at the end of the applicable Interest Period. Upon any such prepayment or conversion, the Borrower shall also pay accrued interest on the amount so prepaid or converted. During a Benchmark Unavailability Period with respect to any Benchmark or at </w:t>
      </w:r>
      <w:r>
        <w:rPr>
          <w:rFonts w:ascii="Arial" w:cs="Arial" w:eastAsia="Arial" w:hAnsi="Arial"/>
          <w:sz w:val="16"/>
          <w:szCs w:val="16"/>
          <w:u w:val="single" w:color="auto"/>
          <w:color w:val="0000FF"/>
          <w:highlight w:val="lightGray"/>
        </w:rPr>
        <w:t>any time that a tenor for any then-current Benchmark is not an Available Tenor, the component of the Alternate Base Rate based upon the then-</w:t>
      </w:r>
    </w:p>
    <w:p>
      <w:pPr>
        <w:spacing w:after="0" w:line="2"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0000FF"/>
          <w:highlight w:val="lightGray"/>
        </w:rPr>
        <w:t>current Benchmark that is the subject of such B</w:t>
      </w:r>
      <w:r>
        <w:rPr>
          <w:rFonts w:ascii="Arial" w:cs="Arial" w:eastAsia="Arial" w:hAnsi="Arial"/>
          <w:sz w:val="18"/>
          <w:szCs w:val="18"/>
          <w:u w:val="single" w:color="auto"/>
          <w:color w:val="0000FF"/>
          <w:highlight w:val="lightGray"/>
        </w:rPr>
        <w:t>enchmark Unavailability Period or such tenor for such Benchmark, as applicable, will not be used</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in any determination of the Alternate Base Rate.</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5"/>
          <w:szCs w:val="15"/>
          <w:color w:val="auto"/>
        </w:rPr>
        <w:t>Increased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8343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178" w:lineRule="exact"/>
        <w:rPr>
          <w:sz w:val="20"/>
          <w:szCs w:val="20"/>
          <w:color w:val="auto"/>
        </w:rPr>
      </w:pPr>
    </w:p>
    <w:p>
      <w:pPr>
        <w:ind w:left="1040" w:hanging="384"/>
        <w:spacing w:after="0"/>
        <w:tabs>
          <w:tab w:leader="none" w:pos="10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184" w:lineRule="exact"/>
        <w:rPr>
          <w:rFonts w:ascii="Arial" w:cs="Arial" w:eastAsia="Arial" w:hAnsi="Arial"/>
          <w:sz w:val="18"/>
          <w:szCs w:val="18"/>
          <w:color w:val="auto"/>
        </w:rPr>
      </w:pPr>
    </w:p>
    <w:p>
      <w:pPr>
        <w:jc w:val="both"/>
        <w:ind w:left="660" w:firstLine="903"/>
        <w:spacing w:after="0" w:line="229" w:lineRule="auto"/>
        <w:tabs>
          <w:tab w:leader="none" w:pos="2025" w:val="left"/>
        </w:tabs>
        <w:numPr>
          <w:ilvl w:val="1"/>
          <w:numId w:val="129"/>
        </w:numPr>
        <w:rPr>
          <w:rFonts w:ascii="Arial" w:cs="Arial" w:eastAsia="Arial" w:hAnsi="Arial"/>
          <w:sz w:val="18"/>
          <w:szCs w:val="18"/>
          <w:color w:val="010000"/>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by, any Lender or any Issuing Bank </w:t>
      </w:r>
      <w:r>
        <w:rPr>
          <w:rFonts w:ascii="Arial" w:cs="Arial" w:eastAsia="Arial" w:hAnsi="Arial"/>
          <w:sz w:val="18"/>
          <w:szCs w:val="18"/>
          <w:color w:val="FF0000"/>
          <w:strike w:val="1"/>
        </w:rPr>
        <w:t>(except any such reserve requirement</w:t>
      </w:r>
      <w:r>
        <w:rPr>
          <w:rFonts w:ascii="Arial" w:cs="Arial" w:eastAsia="Arial" w:hAnsi="Arial"/>
          <w:sz w:val="18"/>
          <w:szCs w:val="18"/>
          <w:color w:val="auto"/>
        </w:rPr>
        <w:t xml:space="preserve"> </w:t>
      </w:r>
      <w:r>
        <w:rPr>
          <w:rFonts w:ascii="Arial" w:cs="Arial" w:eastAsia="Arial" w:hAnsi="Arial"/>
          <w:sz w:val="18"/>
          <w:szCs w:val="18"/>
          <w:color w:val="FF0000"/>
          <w:strike w:val="1"/>
        </w:rPr>
        <w:t>reflected in the Adjusted LIBO Rate)</w:t>
      </w:r>
      <w:r>
        <w:rPr>
          <w:rFonts w:ascii="Arial" w:cs="Arial" w:eastAsia="Arial" w:hAnsi="Arial"/>
          <w:sz w:val="18"/>
          <w:szCs w:val="18"/>
          <w:color w:val="000000"/>
        </w:rPr>
        <w:t>; or</w:t>
      </w:r>
    </w:p>
    <w:p>
      <w:pPr>
        <w:spacing w:after="0" w:line="163" w:lineRule="exact"/>
        <w:rPr>
          <w:rFonts w:ascii="Arial" w:cs="Arial" w:eastAsia="Arial" w:hAnsi="Arial"/>
          <w:sz w:val="18"/>
          <w:szCs w:val="18"/>
          <w:color w:val="010000"/>
        </w:rPr>
      </w:pPr>
    </w:p>
    <w:p>
      <w:pPr>
        <w:jc w:val="both"/>
        <w:ind w:left="660" w:firstLine="903"/>
        <w:spacing w:after="0" w:line="229" w:lineRule="auto"/>
        <w:tabs>
          <w:tab w:leader="none" w:pos="2049" w:val="left"/>
        </w:tabs>
        <w:numPr>
          <w:ilvl w:val="1"/>
          <w:numId w:val="129"/>
        </w:numPr>
        <w:rPr>
          <w:rFonts w:ascii="Arial" w:cs="Arial" w:eastAsia="Arial" w:hAnsi="Arial"/>
          <w:sz w:val="18"/>
          <w:szCs w:val="18"/>
          <w:color w:val="010000"/>
        </w:rPr>
      </w:pPr>
      <w:r>
        <w:rPr>
          <w:rFonts w:ascii="Arial" w:cs="Arial" w:eastAsia="Arial" w:hAnsi="Arial"/>
          <w:sz w:val="18"/>
          <w:szCs w:val="18"/>
          <w:color w:val="auto"/>
        </w:rPr>
        <w:t xml:space="preserve">impose on any Lender or any Issuing Bank or the </w:t>
      </w:r>
      <w:r>
        <w:rPr>
          <w:rFonts w:ascii="Arial" w:cs="Arial" w:eastAsia="Arial" w:hAnsi="Arial"/>
          <w:sz w:val="18"/>
          <w:szCs w:val="18"/>
          <w:color w:val="FF0000"/>
          <w:strike w:val="1"/>
        </w:rPr>
        <w:t>London</w:t>
      </w:r>
      <w:r>
        <w:rPr>
          <w:rFonts w:ascii="Arial" w:cs="Arial" w:eastAsia="Arial" w:hAnsi="Arial"/>
          <w:sz w:val="18"/>
          <w:szCs w:val="18"/>
          <w:u w:val="single" w:color="auto"/>
          <w:color w:val="0000FF"/>
          <w:highlight w:val="lightGray"/>
        </w:rPr>
        <w:t>applica</w:t>
      </w:r>
      <w:r>
        <w:rPr>
          <w:rFonts w:ascii="Arial" w:cs="Arial" w:eastAsia="Arial" w:hAnsi="Arial"/>
          <w:sz w:val="18"/>
          <w:szCs w:val="18"/>
          <w:color w:val="0000FF"/>
          <w:highlight w:val="lightGray"/>
        </w:rPr>
        <w:t>ble offshore</w:t>
      </w:r>
      <w:r>
        <w:rPr>
          <w:rFonts w:ascii="Arial" w:cs="Arial" w:eastAsia="Arial" w:hAnsi="Arial"/>
          <w:sz w:val="18"/>
          <w:szCs w:val="18"/>
          <w:color w:val="auto"/>
        </w:rPr>
        <w:t xml:space="preserve"> interbank market any other condition, cost or expense (other than with respect to Taxes) affecting this Agreement or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SOFR</w:t>
      </w:r>
      <w:r>
        <w:rPr>
          <w:rFonts w:ascii="Arial" w:cs="Arial" w:eastAsia="Arial" w:hAnsi="Arial"/>
          <w:sz w:val="18"/>
          <w:szCs w:val="18"/>
          <w:color w:val="auto"/>
        </w:rPr>
        <w:t xml:space="preserve"> Loans made by such Lender or any Letter of Credit or participation therein; or</w:t>
      </w:r>
    </w:p>
    <w:p>
      <w:pPr>
        <w:spacing w:after="0" w:line="163" w:lineRule="exact"/>
        <w:rPr>
          <w:rFonts w:ascii="Arial" w:cs="Arial" w:eastAsia="Arial" w:hAnsi="Arial"/>
          <w:sz w:val="18"/>
          <w:szCs w:val="18"/>
          <w:color w:val="010000"/>
        </w:rPr>
      </w:pPr>
    </w:p>
    <w:p>
      <w:pPr>
        <w:ind w:left="660" w:firstLine="903"/>
        <w:spacing w:after="0" w:line="235" w:lineRule="auto"/>
        <w:tabs>
          <w:tab w:leader="none" w:pos="2052" w:val="left"/>
        </w:tabs>
        <w:numPr>
          <w:ilvl w:val="1"/>
          <w:numId w:val="129"/>
        </w:numPr>
        <w:rPr>
          <w:rFonts w:ascii="Arial" w:cs="Arial" w:eastAsia="Arial" w:hAnsi="Arial"/>
          <w:sz w:val="18"/>
          <w:szCs w:val="18"/>
          <w:color w:val="010000"/>
        </w:rPr>
      </w:pPr>
      <w:r>
        <w:rPr>
          <w:rFonts w:ascii="Arial" w:cs="Arial" w:eastAsia="Arial" w:hAnsi="Arial"/>
          <w:sz w:val="18"/>
          <w:szCs w:val="18"/>
          <w:color w:val="auto"/>
        </w:rPr>
        <w:t>subject any Lender to any Taxes (other than Indemnified Taxes, Other Taxes or Excluded Taxes) on its loans, letters of credit, commitments , or other obligations, or its deposits, reserves, other liabilities or capital attributable thereto;</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and the result of any of the foregoing shall be to increase the actual cost to such Lender of making or maintaining any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Loan (or of maintaining its obligation to make any such Loan) or to increase the actual cost to such Lender or Issuing Bank of participating in, issuing or maintaining any Letter of Credit (or of maintaining its obligation to participate in or issue any Letter of Credit) or to reduce the amount of any sum received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any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costs or reductions are incurred by any Lender as a result of any requests, rules, guidelines or directives enacted or promulgated under the Dodd-Frank Wall Street Reform and Consumer Protection Act of 2010 and Basel III after the Effective Date, then such Lender shall be compensated pursuant to this </w:t>
      </w:r>
      <w:r>
        <w:rPr>
          <w:rFonts w:ascii="Arial" w:cs="Arial" w:eastAsia="Arial" w:hAnsi="Arial"/>
          <w:sz w:val="16"/>
          <w:szCs w:val="16"/>
          <w:u w:val="single" w:color="auto"/>
          <w:color w:val="auto"/>
        </w:rPr>
        <w:t>Section 2.15(a)</w:t>
      </w:r>
      <w:r>
        <w:rPr>
          <w:rFonts w:ascii="Arial" w:cs="Arial" w:eastAsia="Arial" w:hAnsi="Arial"/>
          <w:sz w:val="16"/>
          <w:szCs w:val="16"/>
          <w:color w:val="auto"/>
        </w:rPr>
        <w:t xml:space="preserve"> only to the extent such Lender certifies that it is imposing such charges on similarly situated borrowers under the other syndicated credit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facilities that such Lender is a lender under.</w:t>
      </w:r>
    </w:p>
    <w:p>
      <w:pPr>
        <w:spacing w:after="0" w:line="169" w:lineRule="exact"/>
        <w:rPr>
          <w:sz w:val="20"/>
          <w:szCs w:val="20"/>
          <w:color w:val="auto"/>
        </w:rPr>
      </w:pPr>
    </w:p>
    <w:p>
      <w:pPr>
        <w:jc w:val="both"/>
        <w:ind w:firstLine="656"/>
        <w:spacing w:after="0" w:line="242" w:lineRule="auto"/>
        <w:tabs>
          <w:tab w:leader="none" w:pos="106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If any Lender or Issuing Bank determines that any Change in Law regarding liquidity or capital requirements has the effect of reducing the rate of return on such Lender’s or Issuing Bank’s (or Lender’s or Issuing Bank’s Lending Office)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liquidity or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176" w:lineRule="exact"/>
        <w:rPr>
          <w:rFonts w:ascii="Arial" w:cs="Arial" w:eastAsia="Arial" w:hAnsi="Arial"/>
          <w:sz w:val="16"/>
          <w:szCs w:val="16"/>
          <w:color w:val="auto"/>
        </w:rPr>
      </w:pPr>
    </w:p>
    <w:p>
      <w:pPr>
        <w:jc w:val="both"/>
        <w:ind w:firstLine="656"/>
        <w:spacing w:after="0" w:line="223" w:lineRule="auto"/>
        <w:tabs>
          <w:tab w:leader="none" w:pos="103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certificate of a Lender or an Issuing Bank setting forth the amount or amounts necessary to compensate such Lender or Issuing Bank or its holding company in reasonable detail, as the case may be, as specified in paragraph (a) or (b) of this Section delivered to the Borrower shall be conclusive absent manifest error. The Borrower shall pay such Lender or Issuing Bank, as the case may be, the amount shown as due on any such certificate within 15 Business Days after receipt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86</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63" w:lineRule="exact"/>
        <w:rPr>
          <w:sz w:val="20"/>
          <w:szCs w:val="20"/>
          <w:color w:val="auto"/>
        </w:rPr>
      </w:pPr>
    </w:p>
    <w:p>
      <w:pPr>
        <w:jc w:val="both"/>
        <w:ind w:firstLine="656"/>
        <w:spacing w:after="0" w:line="229" w:lineRule="auto"/>
        <w:tabs>
          <w:tab w:leader="none" w:pos="106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or Issuing Bank pursuant to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Change in Law giving rise to such increased costs or reductions is retroactive, then the 180-day period referred to above shall be extended to include the period of retroactive effect thereof.</w:t>
      </w:r>
    </w:p>
    <w:p>
      <w:pPr>
        <w:spacing w:after="0" w:line="17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FF0000"/>
          <w:strike w:val="1"/>
        </w:rPr>
        <w:t>Break Funding Payments</w:t>
      </w:r>
      <w:r>
        <w:rPr>
          <w:rFonts w:ascii="Arial" w:cs="Arial" w:eastAsia="Arial" w:hAnsi="Arial"/>
          <w:sz w:val="16"/>
          <w:szCs w:val="16"/>
          <w:u w:val="single" w:color="auto"/>
          <w:color w:val="0000FF"/>
          <w:highlight w:val="lightGray"/>
        </w:rPr>
        <w:t>[Reserved]</w:t>
      </w:r>
      <w:r>
        <w:rPr>
          <w:rFonts w:ascii="Arial" w:cs="Arial" w:eastAsia="Arial" w:hAnsi="Arial"/>
          <w:sz w:val="16"/>
          <w:szCs w:val="16"/>
          <w:color w:val="FF0000"/>
          <w:strike w:val="1"/>
        </w:rPr>
        <w:t>. In the event of (a) the payment of any principal of any Eurocurrency Loan other than on</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the last day of an Interest Period applicable thereto (including as a result of an Event of Default), (b) the conversion of any Eurocurrency Loan other than on </w:t>
      </w:r>
      <w:r>
        <w:rPr>
          <w:rFonts w:ascii="Arial" w:cs="Arial" w:eastAsia="Arial" w:hAnsi="Arial"/>
          <w:sz w:val="16"/>
          <w:szCs w:val="16"/>
          <w:color w:val="008000"/>
          <w:strike w:val="1"/>
        </w:rPr>
        <w:t>the last day of the Interest Period applicable</w:t>
      </w:r>
      <w:r>
        <w:rPr>
          <w:rFonts w:ascii="Arial" w:cs="Arial" w:eastAsia="Arial" w:hAnsi="Arial"/>
          <w:sz w:val="16"/>
          <w:szCs w:val="16"/>
          <w:color w:val="FF0000"/>
          <w:strike w:val="1"/>
        </w:rPr>
        <w:t xml:space="preserve"> thereto, (c) the failure to borrow, convert, continue or prepay any Revolving Loan or Term Loan on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-230505</wp:posOffset>
            </wp:positionV>
            <wp:extent cx="1409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140970"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FF0000"/>
          <w:strike w:val="1"/>
        </w:rPr>
        <w:t xml:space="preserve">specified in any notice delivered pursuant hereto (regardless of whether such notice may be revoked under </w:t>
      </w:r>
      <w:r>
        <w:rPr>
          <w:rFonts w:ascii="Arial" w:cs="Arial" w:eastAsia="Arial" w:hAnsi="Arial"/>
          <w:sz w:val="16"/>
          <w:szCs w:val="16"/>
          <w:u w:val="single" w:color="auto"/>
          <w:color w:val="FF0000"/>
          <w:strike w:val="1"/>
        </w:rPr>
        <w:t>Section 2.11(f)</w:t>
      </w:r>
      <w:r>
        <w:rPr>
          <w:rFonts w:ascii="Arial" w:cs="Arial" w:eastAsia="Arial" w:hAnsi="Arial"/>
          <w:sz w:val="16"/>
          <w:szCs w:val="16"/>
          <w:color w:val="FF0000"/>
          <w:strike w:val="1"/>
        </w:rPr>
        <w:t xml:space="preserve"> and is revoked in accordance therewith) or (d) the assignment of any Eurocurrency Loan other than on the last day of the Interest Period applicable thereto as a result of a request by the Borrower pursuant to </w:t>
      </w:r>
      <w:r>
        <w:rPr>
          <w:rFonts w:ascii="Arial" w:cs="Arial" w:eastAsia="Arial" w:hAnsi="Arial"/>
          <w:sz w:val="16"/>
          <w:szCs w:val="16"/>
          <w:u w:val="single" w:color="auto"/>
          <w:color w:val="FF0000"/>
          <w:strike w:val="1"/>
        </w:rPr>
        <w:t>Section 2.19</w:t>
      </w:r>
      <w:r>
        <w:rPr>
          <w:rFonts w:ascii="Arial" w:cs="Arial" w:eastAsia="Arial" w:hAnsi="Arial"/>
          <w:sz w:val="16"/>
          <w:szCs w:val="16"/>
          <w:color w:val="FF0000"/>
          <w:strike w:val="1"/>
        </w:rPr>
        <w:t xml:space="preserve"> or </w:t>
      </w:r>
      <w:r>
        <w:rPr>
          <w:rFonts w:ascii="Arial" w:cs="Arial" w:eastAsia="Arial" w:hAnsi="Arial"/>
          <w:sz w:val="16"/>
          <w:szCs w:val="16"/>
          <w:u w:val="single" w:color="auto"/>
          <w:color w:val="FF0000"/>
          <w:strike w:val="1"/>
        </w:rPr>
        <w:t>Section 9.02(c)</w:t>
      </w:r>
      <w:r>
        <w:rPr>
          <w:rFonts w:ascii="Arial" w:cs="Arial" w:eastAsia="Arial" w:hAnsi="Arial"/>
          <w:sz w:val="16"/>
          <w:szCs w:val="16"/>
          <w:color w:val="FF0000"/>
          <w:strike w:val="1"/>
        </w:rPr>
        <w:t xml:space="preserve"> , then, in any such event, the Borrower shall, after receipt of a written request by any Lender affected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FF0000"/>
          <w:strike w:val="1"/>
        </w:rPr>
        <w:t xml:space="preserve">by any such event (which request shall set forth in reasonable detail the basis for requesting such amount), compensate each Lender for the actual loss, cost and expense attributable to such event (which, </w:t>
      </w:r>
      <w:r>
        <w:rPr>
          <w:rFonts w:ascii="Arial" w:cs="Arial" w:eastAsia="Arial" w:hAnsi="Arial"/>
          <w:sz w:val="16"/>
          <w:szCs w:val="16"/>
          <w:color w:val="008000"/>
          <w:strike w:val="1"/>
        </w:rPr>
        <w:t>for the avoidance of doubt,</w:t>
      </w:r>
      <w:r>
        <w:rPr>
          <w:rFonts w:ascii="Arial" w:cs="Arial" w:eastAsia="Arial" w:hAnsi="Arial"/>
          <w:sz w:val="16"/>
          <w:szCs w:val="16"/>
          <w:color w:val="FF0000"/>
          <w:strike w:val="1"/>
        </w:rPr>
        <w:t xml:space="preserve"> shall not include any margin or spread). For purposes of calculating amounts payable by the Borrower to the Lenders under this </w:t>
      </w:r>
      <w:r>
        <w:rPr>
          <w:rFonts w:ascii="Arial" w:cs="Arial" w:eastAsia="Arial" w:hAnsi="Arial"/>
          <w:sz w:val="16"/>
          <w:szCs w:val="16"/>
          <w:u w:val="single" w:color="auto"/>
          <w:color w:val="FF0000"/>
          <w:strike w:val="1"/>
        </w:rPr>
        <w:t>Section 2.16</w:t>
      </w:r>
      <w:r>
        <w:rPr>
          <w:rFonts w:ascii="Arial" w:cs="Arial" w:eastAsia="Arial" w:hAnsi="Arial"/>
          <w:sz w:val="16"/>
          <w:szCs w:val="16"/>
          <w:color w:val="FF0000"/>
          <w:strike w:val="1"/>
        </w:rPr>
        <w:t>, each Lender shall be deemed to have funded each Eurocurrency Loan made by it at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FF0000"/>
          <w:strike w:val="1"/>
        </w:rPr>
        <w:t>Adjusted LIBO Rate (determined without giving effect to any interest rate “floor”) for such Loan by a matching deposit or other borrowing for a comparable amount and for a comparable period whether or not such Eurocurrency Loan was in fact so funded. A certificate of any Lender setting forth any amount or amounts that such Lender is entitled to receive pursuant to this Section delivered to the Borrower shall be conclusive absent manifest error. The</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FF0000"/>
          <w:strike w:val="1"/>
        </w:rPr>
        <w:t xml:space="preserve">Borrower shall pay such Lender the amount shown as due on any such certificate within 15 Business Days after receipt of such demand. Notwithstanding the foregoing, this </w:t>
      </w:r>
      <w:r>
        <w:rPr>
          <w:rFonts w:ascii="Arial" w:cs="Arial" w:eastAsia="Arial" w:hAnsi="Arial"/>
          <w:sz w:val="16"/>
          <w:szCs w:val="16"/>
          <w:u w:val="single" w:color="auto"/>
          <w:color w:val="FF0000"/>
          <w:strike w:val="1"/>
        </w:rPr>
        <w:t>Section 2.16</w:t>
      </w:r>
      <w:r>
        <w:rPr>
          <w:rFonts w:ascii="Arial" w:cs="Arial" w:eastAsia="Arial" w:hAnsi="Arial"/>
          <w:sz w:val="16"/>
          <w:szCs w:val="16"/>
          <w:color w:val="FF0000"/>
          <w:strike w:val="1"/>
        </w:rPr>
        <w:t xml:space="preserve"> will not apply to losses, costs or expenses resulting from Taxes, as to which </w:t>
      </w:r>
      <w:r>
        <w:rPr>
          <w:rFonts w:ascii="Arial" w:cs="Arial" w:eastAsia="Arial" w:hAnsi="Arial"/>
          <w:sz w:val="16"/>
          <w:szCs w:val="16"/>
          <w:u w:val="single" w:color="auto"/>
          <w:color w:val="FF0000"/>
          <w:strike w:val="1"/>
        </w:rPr>
        <w:t>Section 2.17</w:t>
      </w:r>
      <w:r>
        <w:rPr>
          <w:rFonts w:ascii="Arial" w:cs="Arial" w:eastAsia="Arial" w:hAnsi="Arial"/>
          <w:sz w:val="16"/>
          <w:szCs w:val="16"/>
          <w:color w:val="FF0000"/>
          <w:strike w:val="1"/>
        </w:rPr>
        <w:t xml:space="preserve"> shall govern.</w:t>
      </w:r>
    </w:p>
    <w:p>
      <w:pPr>
        <w:spacing w:after="0" w:line="140"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-121920</wp:posOffset>
            </wp:positionV>
            <wp:extent cx="25400"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5"/>
          <w:szCs w:val="15"/>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3790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379095" cy="8255"/>
                    </a:xfrm>
                    <a:prstGeom prst="rect">
                      <a:avLst/>
                    </a:prstGeom>
                    <a:noFill/>
                  </pic:spPr>
                </pic:pic>
              </a:graphicData>
            </a:graphic>
          </wp:anchor>
        </w:drawing>
      </w:r>
    </w:p>
    <w:p>
      <w:pPr>
        <w:spacing w:after="0" w:line="165" w:lineRule="exact"/>
        <w:rPr>
          <w:sz w:val="20"/>
          <w:szCs w:val="20"/>
          <w:color w:val="auto"/>
        </w:rPr>
      </w:pPr>
    </w:p>
    <w:p>
      <w:pPr>
        <w:jc w:val="both"/>
        <w:ind w:firstLine="656"/>
        <w:spacing w:after="0" w:line="228" w:lineRule="auto"/>
        <w:tabs>
          <w:tab w:leader="none" w:pos="1063"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All payments by or on account of any obligation of any Loan Party under any Loan Document shall be made free and clear of and without deduction for any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applicable withholding agent shall be required by applicable Requirements of Law to withhold or deduct any Taxes with respect to any such payments, then (i) the applicable withholding agent shall make such withholdings or deductions, (ii) the applicable withholding agent shall timely pay the full amount withheld or deducted to the relevant Governmental Authority in accordance with applicable Requirements of Law and (iii) if the Tax in question is an Indemnified Tax or Other Tax, the amount payable by the applicable Loan Party shall be increased as necessary so that after all required deductions have been made (including deductions applicable to additional amounts payable under this </w:t>
      </w:r>
      <w:r>
        <w:rPr>
          <w:rFonts w:ascii="Arial" w:cs="Arial" w:eastAsia="Arial" w:hAnsi="Arial"/>
          <w:sz w:val="17"/>
          <w:szCs w:val="17"/>
          <w:u w:val="single" w:color="auto"/>
          <w:color w:val="auto"/>
        </w:rPr>
        <w:t>Section 2.17</w:t>
      </w:r>
      <w:r>
        <w:rPr>
          <w:rFonts w:ascii="Arial" w:cs="Arial" w:eastAsia="Arial" w:hAnsi="Arial"/>
          <w:sz w:val="17"/>
          <w:szCs w:val="17"/>
          <w:color w:val="auto"/>
        </w:rPr>
        <w:t>) the applicable Lender (or, in the case of a payment received by the Administrative Agent for its own account, the Administrative Agent) receives an amount equal to the sum it would have received had no such deductions been made.</w:t>
      </w:r>
    </w:p>
    <w:p>
      <w:pPr>
        <w:spacing w:after="0" w:line="174" w:lineRule="exact"/>
        <w:rPr>
          <w:rFonts w:ascii="Arial" w:cs="Arial" w:eastAsia="Arial" w:hAnsi="Arial"/>
          <w:sz w:val="17"/>
          <w:szCs w:val="17"/>
          <w:color w:val="auto"/>
        </w:rPr>
      </w:pPr>
    </w:p>
    <w:p>
      <w:pPr>
        <w:ind w:firstLine="656"/>
        <w:spacing w:after="0" w:line="235" w:lineRule="auto"/>
        <w:tabs>
          <w:tab w:leader="none" w:pos="115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Without limiting the provisions of paragraph (a) above, the Borrower shall timely pay any Other Taxes to the relevant Governmental Authority in accordance with Requirements of Law.</w:t>
      </w:r>
    </w:p>
    <w:p>
      <w:pPr>
        <w:spacing w:after="0" w:line="161" w:lineRule="exact"/>
        <w:rPr>
          <w:rFonts w:ascii="Arial" w:cs="Arial" w:eastAsia="Arial" w:hAnsi="Arial"/>
          <w:sz w:val="18"/>
          <w:szCs w:val="18"/>
          <w:color w:val="auto"/>
        </w:rPr>
      </w:pPr>
    </w:p>
    <w:p>
      <w:pPr>
        <w:jc w:val="both"/>
        <w:ind w:firstLine="656"/>
        <w:spacing w:after="0" w:line="248" w:lineRule="auto"/>
        <w:tabs>
          <w:tab w:leader="none" w:pos="102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The Borrower shall indemnify the Administrative Agent and each Lender, within 30 days after written demand therefor, for the full amount of any Indemnified Taxes or Other Taxes paid or payable by the Administrative Agent or such Lender, as the case may be (including Indemnified Taxes or Other Taxes imposed or asserted on or attributable to amounts payable 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on its own behalf or on behalf of a Lender, shall be conclusive absent manifest error.</w:t>
      </w:r>
    </w:p>
    <w:p>
      <w:pPr>
        <w:spacing w:after="0" w:line="155" w:lineRule="exact"/>
        <w:rPr>
          <w:rFonts w:ascii="Arial" w:cs="Arial" w:eastAsia="Arial" w:hAnsi="Arial"/>
          <w:sz w:val="16"/>
          <w:szCs w:val="16"/>
          <w:color w:val="auto"/>
        </w:rPr>
      </w:pPr>
    </w:p>
    <w:p>
      <w:pPr>
        <w:jc w:val="both"/>
        <w:ind w:firstLine="656"/>
        <w:spacing w:after="0" w:line="245" w:lineRule="auto"/>
        <w:tabs>
          <w:tab w:leader="none" w:pos="1057"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As soon as practicable after any payment of Taxes by a Loan Party to a Governmental Authority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87</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63" w:lineRule="exact"/>
        <w:rPr>
          <w:sz w:val="20"/>
          <w:szCs w:val="20"/>
          <w:color w:val="auto"/>
        </w:rPr>
      </w:pPr>
    </w:p>
    <w:p>
      <w:pPr>
        <w:jc w:val="both"/>
        <w:ind w:firstLine="656"/>
        <w:spacing w:after="0" w:line="241" w:lineRule="auto"/>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Each Lender shall deliver to the Borrower and the Administrative Agent at the time or times reasonably requested by the Borrower or the Administrative Agent, such properly completed and executed documentation prescribed by applicable Requirements of Law and such other documentation reasonably requested by the Borrower or the Administrative Agent (i) as will permit such payments to be made without, or at a reduced rate of, withholding or (ii) as will enable the Borrower or the Administrative Agent to determine whether or not such Lender is subject to withholding or information reporting requirements. Each Lender shall, whenever a lapse of time or change in circumstances renders such documentation obsolete, expired or inaccurate in any respect, deliver promptly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 In addition, any Lender, at the time or times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such Lender is subject to backup withholding or information reporting requirements.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limiting the foregoing:</w:t>
      </w:r>
    </w:p>
    <w:p>
      <w:pPr>
        <w:spacing w:after="0" w:line="185" w:lineRule="exact"/>
        <w:rPr>
          <w:sz w:val="20"/>
          <w:szCs w:val="20"/>
          <w:color w:val="auto"/>
        </w:rPr>
      </w:pPr>
    </w:p>
    <w:p>
      <w:pPr>
        <w:jc w:val="both"/>
        <w:ind w:left="660" w:firstLine="644"/>
        <w:spacing w:after="0" w:line="236" w:lineRule="auto"/>
        <w:tabs>
          <w:tab w:leader="none" w:pos="1733" w:val="left"/>
        </w:tabs>
        <w:numPr>
          <w:ilvl w:val="0"/>
          <w:numId w:val="134"/>
        </w:numPr>
        <w:rPr>
          <w:rFonts w:ascii="Arial" w:cs="Arial" w:eastAsia="Arial" w:hAnsi="Arial"/>
          <w:sz w:val="17"/>
          <w:szCs w:val="17"/>
          <w:color w:val="010000"/>
        </w:rPr>
      </w:pPr>
      <w:r>
        <w:rPr>
          <w:rFonts w:ascii="Arial" w:cs="Arial" w:eastAsia="Arial" w:hAnsi="Arial"/>
          <w:sz w:val="17"/>
          <w:szCs w:val="17"/>
          <w:color w:val="auto"/>
        </w:rPr>
        <w:t>Each Lender that is a “United States person” within the meaning of Section 7701(a)(30) of the Code shall deliver to the Borrower and the Administrative Agent on or before the date on which it becomes a party to this Agreement (and from time to time thereafter upon the request of the Borrower or the Administrative Agent) two properly completed and duly signed original copies of Internal Revenue Service Form W-9 (or any successor form) certifying that such Lender is exempt from U.S. federal backup withholding.</w:t>
      </w:r>
    </w:p>
    <w:p>
      <w:pPr>
        <w:spacing w:after="0" w:line="176" w:lineRule="exact"/>
        <w:rPr>
          <w:rFonts w:ascii="Arial" w:cs="Arial" w:eastAsia="Arial" w:hAnsi="Arial"/>
          <w:sz w:val="17"/>
          <w:szCs w:val="17"/>
          <w:color w:val="010000"/>
        </w:rPr>
      </w:pPr>
    </w:p>
    <w:p>
      <w:pPr>
        <w:jc w:val="both"/>
        <w:ind w:left="660" w:firstLine="644"/>
        <w:spacing w:after="0" w:line="224" w:lineRule="auto"/>
        <w:tabs>
          <w:tab w:leader="none" w:pos="1806" w:val="left"/>
        </w:tabs>
        <w:numPr>
          <w:ilvl w:val="0"/>
          <w:numId w:val="134"/>
        </w:numPr>
        <w:rPr>
          <w:rFonts w:ascii="Arial" w:cs="Arial" w:eastAsia="Arial" w:hAnsi="Arial"/>
          <w:sz w:val="18"/>
          <w:szCs w:val="18"/>
          <w:color w:val="010000"/>
        </w:rPr>
      </w:pPr>
      <w:r>
        <w:rPr>
          <w:rFonts w:ascii="Arial" w:cs="Arial" w:eastAsia="Arial" w:hAnsi="Arial"/>
          <w:sz w:val="18"/>
          <w:szCs w:val="18"/>
          <w:color w:val="auto"/>
        </w:rPr>
        <w:t>Each Lender that is not a “United States person” within the meaning of Section 7701(a)(30) of the Code shall deliver to the Borrower and the Administrative Agent on or before the date on which it becomes a party to this Agreement (and from time to time thereafter upon the request of the Borrower or the Administrative Agent) whichever of the following is applicable:</w:t>
      </w:r>
    </w:p>
    <w:p>
      <w:pPr>
        <w:spacing w:after="0" w:line="176" w:lineRule="exact"/>
        <w:rPr>
          <w:rFonts w:ascii="Arial" w:cs="Arial" w:eastAsia="Arial" w:hAnsi="Arial"/>
          <w:sz w:val="18"/>
          <w:szCs w:val="18"/>
          <w:color w:val="010000"/>
        </w:rPr>
      </w:pPr>
    </w:p>
    <w:p>
      <w:pPr>
        <w:ind w:left="1300" w:firstLine="652"/>
        <w:spacing w:after="0" w:line="258" w:lineRule="auto"/>
        <w:tabs>
          <w:tab w:leader="none" w:pos="2379" w:val="left"/>
        </w:tabs>
        <w:numPr>
          <w:ilvl w:val="1"/>
          <w:numId w:val="134"/>
        </w:numPr>
        <w:rPr>
          <w:rFonts w:ascii="Arial" w:cs="Arial" w:eastAsia="Arial" w:hAnsi="Arial"/>
          <w:sz w:val="17"/>
          <w:szCs w:val="17"/>
          <w:color w:val="010000"/>
        </w:rPr>
      </w:pPr>
      <w:r>
        <w:rPr>
          <w:rFonts w:ascii="Arial" w:cs="Arial" w:eastAsia="Arial" w:hAnsi="Arial"/>
          <w:sz w:val="17"/>
          <w:szCs w:val="17"/>
          <w:color w:val="auto"/>
        </w:rPr>
        <w:t>two properly completed and duly signed original copies of Internal Revenue Service Form W-8BEN or W-8BEN-E (or any successor forms) claiming eligibility for the benefits of an income tax treaty to which the United States is a party,</w:t>
      </w:r>
    </w:p>
    <w:p>
      <w:pPr>
        <w:spacing w:after="0" w:line="146" w:lineRule="exact"/>
        <w:rPr>
          <w:rFonts w:ascii="Arial" w:cs="Arial" w:eastAsia="Arial" w:hAnsi="Arial"/>
          <w:sz w:val="17"/>
          <w:szCs w:val="17"/>
          <w:color w:val="010000"/>
        </w:rPr>
      </w:pPr>
    </w:p>
    <w:p>
      <w:pPr>
        <w:ind w:left="2460" w:hanging="508"/>
        <w:spacing w:after="0"/>
        <w:tabs>
          <w:tab w:leader="none" w:pos="2460" w:val="left"/>
        </w:tabs>
        <w:numPr>
          <w:ilvl w:val="1"/>
          <w:numId w:val="134"/>
        </w:numPr>
        <w:rPr>
          <w:rFonts w:ascii="Arial" w:cs="Arial" w:eastAsia="Arial" w:hAnsi="Arial"/>
          <w:sz w:val="17"/>
          <w:szCs w:val="17"/>
          <w:color w:val="010000"/>
        </w:rPr>
      </w:pPr>
      <w:r>
        <w:rPr>
          <w:rFonts w:ascii="Arial" w:cs="Arial" w:eastAsia="Arial" w:hAnsi="Arial"/>
          <w:sz w:val="17"/>
          <w:szCs w:val="17"/>
          <w:color w:val="auto"/>
        </w:rPr>
        <w:t>two properly completed and duly signed original copies of Internal Revenue Service Form W-8ECI (or any successor</w:t>
      </w:r>
    </w:p>
    <w:p>
      <w:pPr>
        <w:spacing w:after="0" w:line="9" w:lineRule="exact"/>
        <w:rPr>
          <w:rFonts w:ascii="Arial" w:cs="Arial" w:eastAsia="Arial" w:hAnsi="Arial"/>
          <w:sz w:val="17"/>
          <w:szCs w:val="17"/>
          <w:color w:val="010000"/>
        </w:rPr>
      </w:pPr>
    </w:p>
    <w:p>
      <w:pPr>
        <w:ind w:left="1300"/>
        <w:spacing w:after="0"/>
        <w:rPr>
          <w:rFonts w:ascii="Arial" w:cs="Arial" w:eastAsia="Arial" w:hAnsi="Arial"/>
          <w:sz w:val="17"/>
          <w:szCs w:val="17"/>
          <w:color w:val="010000"/>
        </w:rPr>
      </w:pPr>
      <w:r>
        <w:rPr>
          <w:rFonts w:ascii="Arial" w:cs="Arial" w:eastAsia="Arial" w:hAnsi="Arial"/>
          <w:sz w:val="18"/>
          <w:szCs w:val="18"/>
          <w:color w:val="auto"/>
        </w:rPr>
        <w:t>forms),</w:t>
      </w:r>
    </w:p>
    <w:p>
      <w:pPr>
        <w:spacing w:after="0" w:line="168" w:lineRule="exact"/>
        <w:rPr>
          <w:rFonts w:ascii="Arial" w:cs="Arial" w:eastAsia="Arial" w:hAnsi="Arial"/>
          <w:sz w:val="17"/>
          <w:szCs w:val="17"/>
          <w:color w:val="010000"/>
        </w:rPr>
      </w:pPr>
    </w:p>
    <w:p>
      <w:pPr>
        <w:jc w:val="both"/>
        <w:ind w:left="1300" w:firstLine="652"/>
        <w:spacing w:after="0" w:line="223" w:lineRule="auto"/>
        <w:tabs>
          <w:tab w:leader="none" w:pos="2377" w:val="left"/>
        </w:tabs>
        <w:numPr>
          <w:ilvl w:val="1"/>
          <w:numId w:val="134"/>
        </w:numPr>
        <w:rPr>
          <w:rFonts w:ascii="Arial" w:cs="Arial" w:eastAsia="Arial" w:hAnsi="Arial"/>
          <w:sz w:val="18"/>
          <w:szCs w:val="18"/>
          <w:color w:val="010000"/>
        </w:rPr>
      </w:pPr>
      <w:r>
        <w:rPr>
          <w:rFonts w:ascii="Arial" w:cs="Arial" w:eastAsia="Arial" w:hAnsi="Arial"/>
          <w:sz w:val="18"/>
          <w:szCs w:val="18"/>
          <w:color w:val="auto"/>
        </w:rPr>
        <w:t xml:space="preserve">in the case of a Lender claiming the benefits of the exemption for portfolio interest under Section 871(h) or Section 881(c) of the Code, (x) two properly completed and duly signed certificates substantially in the form of </w:t>
      </w:r>
      <w:r>
        <w:rPr>
          <w:rFonts w:ascii="Arial" w:cs="Arial" w:eastAsia="Arial" w:hAnsi="Arial"/>
          <w:sz w:val="18"/>
          <w:szCs w:val="18"/>
          <w:u w:val="single" w:color="auto"/>
          <w:color w:val="auto"/>
        </w:rPr>
        <w:t>Exhibit P-1</w:t>
      </w:r>
      <w:r>
        <w:rPr>
          <w:rFonts w:ascii="Arial" w:cs="Arial" w:eastAsia="Arial" w:hAnsi="Arial"/>
          <w:sz w:val="18"/>
          <w:szCs w:val="18"/>
          <w:color w:val="auto"/>
        </w:rPr>
        <w:t xml:space="preserve">, </w:t>
      </w:r>
      <w:r>
        <w:rPr>
          <w:rFonts w:ascii="Arial" w:cs="Arial" w:eastAsia="Arial" w:hAnsi="Arial"/>
          <w:sz w:val="18"/>
          <w:szCs w:val="18"/>
          <w:u w:val="single" w:color="auto"/>
          <w:color w:val="auto"/>
        </w:rPr>
        <w:t>P-2</w:t>
      </w:r>
      <w:r>
        <w:rPr>
          <w:rFonts w:ascii="Arial" w:cs="Arial" w:eastAsia="Arial" w:hAnsi="Arial"/>
          <w:sz w:val="18"/>
          <w:szCs w:val="18"/>
          <w:color w:val="auto"/>
        </w:rPr>
        <w:t xml:space="preserve">, </w:t>
      </w:r>
      <w:r>
        <w:rPr>
          <w:rFonts w:ascii="Arial" w:cs="Arial" w:eastAsia="Arial" w:hAnsi="Arial"/>
          <w:sz w:val="18"/>
          <w:szCs w:val="18"/>
          <w:u w:val="single" w:color="auto"/>
          <w:color w:val="auto"/>
        </w:rPr>
        <w:t>P-3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P-4</w:t>
      </w:r>
      <w:r>
        <w:rPr>
          <w:rFonts w:ascii="Arial" w:cs="Arial" w:eastAsia="Arial" w:hAnsi="Arial"/>
          <w:sz w:val="18"/>
          <w:szCs w:val="18"/>
          <w:color w:val="auto"/>
        </w:rPr>
        <w:t>, as applicable, (any such certificate,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two properly completed and duly signed original copies of Internal Revenue Service Form W-8BEN or W-8BEN-E (or any successor forms),</w:t>
      </w:r>
    </w:p>
    <w:p>
      <w:pPr>
        <w:spacing w:after="0" w:line="162" w:lineRule="exact"/>
        <w:rPr>
          <w:rFonts w:ascii="Arial" w:cs="Arial" w:eastAsia="Arial" w:hAnsi="Arial"/>
          <w:sz w:val="18"/>
          <w:szCs w:val="18"/>
          <w:color w:val="010000"/>
        </w:rPr>
      </w:pPr>
    </w:p>
    <w:p>
      <w:pPr>
        <w:jc w:val="both"/>
        <w:ind w:left="1300" w:firstLine="652"/>
        <w:spacing w:after="0" w:line="244" w:lineRule="auto"/>
        <w:tabs>
          <w:tab w:leader="none" w:pos="2478" w:val="left"/>
        </w:tabs>
        <w:numPr>
          <w:ilvl w:val="1"/>
          <w:numId w:val="134"/>
        </w:numPr>
        <w:rPr>
          <w:rFonts w:ascii="Arial" w:cs="Arial" w:eastAsia="Arial" w:hAnsi="Arial"/>
          <w:sz w:val="16"/>
          <w:szCs w:val="16"/>
          <w:color w:val="010000"/>
        </w:rPr>
      </w:pPr>
      <w:r>
        <w:rPr>
          <w:rFonts w:ascii="Arial" w:cs="Arial" w:eastAsia="Arial" w:hAnsi="Arial"/>
          <w:sz w:val="16"/>
          <w:szCs w:val="16"/>
          <w:color w:val="auto"/>
        </w:rPr>
        <w:t xml:space="preserve">to the extent a Lender is not the beneficial owner (for example, where the Lender is a partnership or a participating Lender), two properly completed and duly signed original copies of Internal Revenue Service Form W-8IMY (or any successor forms) of the Lender, accompanied by Internal Revenue Service Form W-8ECI, W-8BEN, W-8BEN-E, Form W-9 or Form W-8IMY, a U.S. Tax Compliance Certificate or any other required information (or any successor forms) from each beneficial owner that would be required under this </w:t>
      </w:r>
      <w:r>
        <w:rPr>
          <w:rFonts w:ascii="Arial" w:cs="Arial" w:eastAsia="Arial" w:hAnsi="Arial"/>
          <w:sz w:val="16"/>
          <w:szCs w:val="16"/>
          <w:u w:val="single" w:color="auto"/>
          <w:color w:val="auto"/>
        </w:rPr>
        <w:t>Section 2.17(e)</w:t>
      </w:r>
      <w:r>
        <w:rPr>
          <w:rFonts w:ascii="Arial" w:cs="Arial" w:eastAsia="Arial" w:hAnsi="Arial"/>
          <w:sz w:val="16"/>
          <w:szCs w:val="16"/>
          <w:color w:val="auto"/>
        </w:rPr>
        <w:t xml:space="preserve"> if such beneficial owner were a Lender,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Lender is a partnership for U.S. federal income tax purposes (and not a participating Lender) and one or more direct or indirect partners are claiming the portfolio interest exemption, the U.S. Tax Compliance Certificate may be provided by such Lender on behalf of such direct or indirect partner(s)), or</w:t>
      </w:r>
    </w:p>
    <w:p>
      <w:pPr>
        <w:spacing w:after="0" w:line="175" w:lineRule="exact"/>
        <w:rPr>
          <w:rFonts w:ascii="Arial" w:cs="Arial" w:eastAsia="Arial" w:hAnsi="Arial"/>
          <w:sz w:val="16"/>
          <w:szCs w:val="16"/>
          <w:color w:val="010000"/>
        </w:rPr>
      </w:pPr>
    </w:p>
    <w:p>
      <w:pPr>
        <w:jc w:val="both"/>
        <w:ind w:left="1300" w:firstLine="652"/>
        <w:spacing w:after="0" w:line="254" w:lineRule="auto"/>
        <w:tabs>
          <w:tab w:leader="none" w:pos="2359" w:val="left"/>
        </w:tabs>
        <w:numPr>
          <w:ilvl w:val="1"/>
          <w:numId w:val="134"/>
        </w:numPr>
        <w:rPr>
          <w:rFonts w:ascii="Arial" w:cs="Arial" w:eastAsia="Arial" w:hAnsi="Arial"/>
          <w:sz w:val="16"/>
          <w:szCs w:val="16"/>
          <w:color w:val="010000"/>
        </w:rPr>
      </w:pPr>
      <w:r>
        <w:rPr>
          <w:rFonts w:ascii="Arial" w:cs="Arial" w:eastAsia="Arial" w:hAnsi="Arial"/>
          <w:sz w:val="16"/>
          <w:szCs w:val="16"/>
          <w:color w:val="auto"/>
        </w:rPr>
        <w:t>two properly completed and duly signed original copies of any other form prescribed by applicable U.S. federal income tax laws as a basis for claiming a complete exemption from, or a reduction in, U.S. federal withholding tax on any payments to such Lender under the Loan Documents, together with such supplementary documentation as may be prescribed by applicable Requirements of Law to permit the Borrower or the Administrative Agent to determine the withholding or deduction required to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88</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63" w:lineRule="exact"/>
        <w:rPr>
          <w:sz w:val="20"/>
          <w:szCs w:val="20"/>
          <w:color w:val="auto"/>
        </w:rPr>
      </w:pPr>
    </w:p>
    <w:p>
      <w:pPr>
        <w:jc w:val="both"/>
        <w:ind w:left="660" w:firstLine="644"/>
        <w:spacing w:after="0" w:line="226" w:lineRule="auto"/>
        <w:tabs>
          <w:tab w:leader="none" w:pos="1729" w:val="left"/>
        </w:tabs>
        <w:numPr>
          <w:ilvl w:val="0"/>
          <w:numId w:val="135"/>
        </w:numPr>
        <w:rPr>
          <w:rFonts w:ascii="Arial" w:cs="Arial" w:eastAsia="Arial" w:hAnsi="Arial"/>
          <w:sz w:val="17"/>
          <w:szCs w:val="17"/>
          <w:color w:val="010000"/>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Requirements of Law and at such time or times reasonably requested by the Borrower or the Administrative Agent such documentation prescribed by applicable Requirements of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or has not complied with such Lender’s obligations under FATCA and, if necessary, to determine the amount, if any, to deduct and withhold from such payment. Solely for purposes of this clause (3), “FATCA” shall include any amendments made to FATCA after the date hereof.</w:t>
      </w:r>
    </w:p>
    <w:p>
      <w:pPr>
        <w:spacing w:after="0" w:line="17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Notwithstanding any other provisions of this clause (e), a Lender shall not be required to deliver any form or other documentation that such Lender is not legally eligible to deliver.</w:t>
      </w:r>
    </w:p>
    <w:p>
      <w:pPr>
        <w:spacing w:after="0" w:line="162" w:lineRule="exact"/>
        <w:rPr>
          <w:sz w:val="20"/>
          <w:szCs w:val="20"/>
          <w:color w:val="auto"/>
        </w:rPr>
      </w:pPr>
    </w:p>
    <w:p>
      <w:pPr>
        <w:jc w:val="both"/>
        <w:ind w:firstLine="656"/>
        <w:spacing w:after="0"/>
        <w:tabs>
          <w:tab w:leader="none" w:pos="105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If the Borrower determines in good faith that a reasonable basis exists for claiming a refund of, any Indemnified Taxes or Other Taxes for which indemnification has been provided 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,the Administrative Agent or the relevant Lender, as applicable, shall use commercially reasonable efforts to cooperate with the Borrower in pursuing a claim for refund of such Taxes if so requested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Administrative Agent or such Lender determines in its reasonable discretion that it would not be subject to any unreimbursed third party cost or expense or otherwise be prejudiced by cooperating in such challenge, (b) the Borrower pays all related expenses of the Administrative Agent or such Lender, as applicable and (c) the Borrower indemnifies the Administrative Agent or such Lender, as applicable, for any liabilities or other costs incurred by such party in connection with such challenge. If the Administrative Agent or a Lender receives a refund of any Indemnified Taxes or Other Taxes as to which it has been indemnified by the Borrower or with respect to which the Borrower has paid additional amounts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it shall promptly pay over such refund to the Borrower (but only to the extent of indemnity payments made, or additional amounts paid, by the Borrower 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or such Lender, shall promptly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such Lender may delete any information therein that the Administrative Agent or such Lender deems confidential). Notwithstanding anything to the contrary, this </w:t>
      </w:r>
      <w:r>
        <w:rPr>
          <w:rFonts w:ascii="Arial" w:cs="Arial" w:eastAsia="Arial" w:hAnsi="Arial"/>
          <w:sz w:val="16"/>
          <w:szCs w:val="16"/>
          <w:u w:val="single" w:color="auto"/>
          <w:color w:val="auto"/>
        </w:rPr>
        <w:t>Section 2.17(f)</w:t>
      </w:r>
      <w:r>
        <w:rPr>
          <w:rFonts w:ascii="Arial" w:cs="Arial" w:eastAsia="Arial" w:hAnsi="Arial"/>
          <w:sz w:val="16"/>
          <w:szCs w:val="16"/>
          <w:color w:val="auto"/>
        </w:rPr>
        <w:t xml:space="preserve"> shall not be construed to require the Administrative Agent or any Lender to make available its Tax returns (or any other information relating to Taxes which it deems confidential) to any Loan Party or any other Person.</w:t>
      </w:r>
    </w:p>
    <w:p>
      <w:pPr>
        <w:spacing w:after="0" w:line="333" w:lineRule="exact"/>
        <w:rPr>
          <w:rFonts w:ascii="Arial" w:cs="Arial" w:eastAsia="Arial" w:hAnsi="Arial"/>
          <w:sz w:val="16"/>
          <w:szCs w:val="16"/>
          <w:color w:val="auto"/>
        </w:rPr>
      </w:pPr>
    </w:p>
    <w:p>
      <w:pPr>
        <w:ind w:firstLine="656"/>
        <w:spacing w:after="0" w:line="235" w:lineRule="auto"/>
        <w:tabs>
          <w:tab w:leader="none" w:pos="113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Each Lender hereby authorizes the Administrative Agent to deliver to the Loan Parties and to any successor Administrative Agent any documentation provided by such Lender to the Administrative Agent pursuant to </w:t>
      </w:r>
      <w:r>
        <w:rPr>
          <w:rFonts w:ascii="Arial" w:cs="Arial" w:eastAsia="Arial" w:hAnsi="Arial"/>
          <w:sz w:val="18"/>
          <w:szCs w:val="18"/>
          <w:u w:val="single" w:color="auto"/>
          <w:color w:val="auto"/>
        </w:rPr>
        <w:t>Section 2.17(e)</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firstLine="656"/>
        <w:spacing w:after="0" w:line="229" w:lineRule="auto"/>
        <w:tabs>
          <w:tab w:leader="none" w:pos="11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The agreements in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shall survive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63" w:lineRule="exact"/>
        <w:rPr>
          <w:rFonts w:ascii="Arial" w:cs="Arial" w:eastAsia="Arial" w:hAnsi="Arial"/>
          <w:sz w:val="18"/>
          <w:szCs w:val="18"/>
          <w:color w:val="auto"/>
        </w:rPr>
      </w:pPr>
    </w:p>
    <w:p>
      <w:pPr>
        <w:ind w:left="1000" w:hanging="344"/>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2.17</w:t>
      </w:r>
      <w:r>
        <w:rPr>
          <w:rFonts w:ascii="Arial" w:cs="Arial" w:eastAsia="Arial" w:hAnsi="Arial"/>
          <w:sz w:val="18"/>
          <w:szCs w:val="18"/>
          <w:color w:val="auto"/>
        </w:rPr>
        <w:t>, the term “Lender” shall include any Issuing Bank.</w:t>
      </w:r>
    </w:p>
    <w:p>
      <w:pPr>
        <w:spacing w:after="0" w:line="19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color w:val="auto"/>
        </w:rPr>
        <w:t>Payments Generally; Pro Rata Treatment; Sharing of Setoffs.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28759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2875915" cy="8890"/>
                    </a:xfrm>
                    <a:prstGeom prst="rect">
                      <a:avLst/>
                    </a:prstGeom>
                    <a:noFill/>
                  </pic:spPr>
                </pic:pic>
              </a:graphicData>
            </a:graphic>
          </wp:anchor>
        </w:drawing>
      </w:r>
    </w:p>
    <w:p>
      <w:pPr>
        <w:spacing w:after="0" w:line="165" w:lineRule="exact"/>
        <w:rPr>
          <w:sz w:val="20"/>
          <w:szCs w:val="20"/>
          <w:color w:val="auto"/>
        </w:rPr>
      </w:pPr>
    </w:p>
    <w:p>
      <w:pPr>
        <w:jc w:val="both"/>
        <w:ind w:firstLine="656"/>
        <w:spacing w:after="0" w:line="248" w:lineRule="auto"/>
        <w:tabs>
          <w:tab w:leader="none" w:pos="114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The Borrower shall make each payment required to be made by it under any Loan Document (whether of principal, interest, fees, or reimbursement of LC Disbursement or of amounts payable under </w:t>
      </w:r>
      <w:r>
        <w:rPr>
          <w:rFonts w:ascii="Arial" w:cs="Arial" w:eastAsia="Arial" w:hAnsi="Arial"/>
          <w:sz w:val="16"/>
          <w:szCs w:val="16"/>
          <w:u w:val="single" w:color="auto"/>
          <w:color w:val="auto"/>
        </w:rPr>
        <w:t>Section 2.15</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or otherwise) prior to the time expressly required hereunder or under such other Loan Document for such payment (or, if no such time is expressly required, prior to 2:00 p.m., New York City time), on the date when due, in immediately available funds, free and clear of and without setoff, recoupment, defense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89</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to be made directly to any Issuing Bank shall be made as expressly provided herein and except that payments pursuant to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2.16</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receipt thereof. If any payment (other than payments on the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Loans) under any Loan Document shall be due on a day that is not a Business Day, the date for payment shall be extended to the next succeeding Business Day. If any payment on a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Loan becomes due and payable on a day other than a Business Day, the maturity thereof shall be extended to the next succeeding Business Day unless the result of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All payments or prepayments of any Loan shall be made in the currency in which such Loan is denominated, all</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reimbursements of any LC Disbursements shall be made in dollars, all payments of accrued interest payable on a Loan or LC Disbursement shall be made in dollars, and all other payments under each Loan Document shall be made in dollars.</w:t>
      </w:r>
    </w:p>
    <w:p>
      <w:pPr>
        <w:spacing w:after="0" w:line="161" w:lineRule="exact"/>
        <w:rPr>
          <w:sz w:val="20"/>
          <w:szCs w:val="20"/>
          <w:color w:val="auto"/>
        </w:rPr>
      </w:pPr>
    </w:p>
    <w:p>
      <w:pPr>
        <w:jc w:val="both"/>
        <w:ind w:firstLine="656"/>
        <w:spacing w:after="0" w:line="241" w:lineRule="auto"/>
        <w:tabs>
          <w:tab w:leader="none" w:pos="1081" w:val="left"/>
        </w:tabs>
        <w:numPr>
          <w:ilvl w:val="1"/>
          <w:numId w:val="138"/>
        </w:numPr>
        <w:rPr>
          <w:rFonts w:ascii="Arial" w:cs="Arial" w:eastAsia="Arial" w:hAnsi="Arial"/>
          <w:sz w:val="16"/>
          <w:szCs w:val="16"/>
          <w:color w:val="auto"/>
        </w:rPr>
      </w:pPr>
      <w:r>
        <w:rPr>
          <w:rFonts w:ascii="Arial" w:cs="Arial" w:eastAsia="Arial" w:hAnsi="Arial"/>
          <w:sz w:val="16"/>
          <w:szCs w:val="16"/>
          <w:color w:val="auto"/>
        </w:rPr>
        <w:t>If at any time insufficient funds are received by and available to the Administrative Agent to pay fully all applicable amounts of principal, unreimbursed LC Disbursements, interest and fees then due hereunder, such funds shall be applied (i) first, towards payment of applicable interest and fees then due hereunder, ratably among the parties entitled thereto in accordance with the applicable amounts of interest and fees then due to such parties, and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second, towards payment of applicable principal and unreimbursed LC Disbursements then due hereunder, ratably among the parties entitled thereto in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amounts of principal and unreimbursed LC Disbursements then due to such parties.</w:t>
      </w:r>
    </w:p>
    <w:p>
      <w:pPr>
        <w:spacing w:after="0" w:line="169" w:lineRule="exact"/>
        <w:rPr>
          <w:sz w:val="20"/>
          <w:szCs w:val="20"/>
          <w:color w:val="auto"/>
        </w:rPr>
      </w:pPr>
    </w:p>
    <w:p>
      <w:pPr>
        <w:jc w:val="both"/>
        <w:ind w:firstLine="656"/>
        <w:spacing w:after="0" w:line="238" w:lineRule="auto"/>
        <w:tabs>
          <w:tab w:leader="none" w:pos="103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setoff or counterclaim or otherwise, obtain payment in respect of any principal of or interest on any of its Loans of a given Class or participations in LC Disbursements resulting in such Lender receiving payment of a greater proportion of the aggregate amount of its Loans of such Class or participations in LC Disbursements and accrued interest thereon than the proportion received by any other Lender with outstanding Loans of the same Class or participations in LC Disbursements, then the Lender receiving such greater proportion shall purchase (for cash at face value) participations in the Loans of such Class or participations in LC Disbursements of other Lenders to the extent necessary so that the benefit of all such payments shall be shared by the Lenders ratably in accordance with the aggregate amount of principal of and accrued interest on their respective Loans of such Class or participations in LC Disbursements;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w:t>
      </w:r>
    </w:p>
    <w:p>
      <w:pPr>
        <w:jc w:val="both"/>
        <w:ind w:firstLine="8"/>
        <w:spacing w:after="0" w:line="211" w:lineRule="auto"/>
        <w:tabs>
          <w:tab w:leader="none" w:pos="28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provisions of this paragraph shall 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to any assignee or participant (including a Purchasing Borrower Party) or (C) any disproportionate payment obtained by a Lender of any Class as a result of the extension by Lenders of the maturity date or expiration date of some but not all Loans or Commitments of that Class or any increase in the Applicable Rate in respect of Loans of Lenders that have consented to any such extension.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as applicable, in the amount of such participation.</w:t>
      </w:r>
    </w:p>
    <w:p>
      <w:pPr>
        <w:spacing w:after="0" w:line="182" w:lineRule="exact"/>
        <w:rPr>
          <w:rFonts w:ascii="Arial" w:cs="Arial" w:eastAsia="Arial" w:hAnsi="Arial"/>
          <w:sz w:val="18"/>
          <w:szCs w:val="18"/>
          <w:color w:val="auto"/>
        </w:rPr>
      </w:pPr>
    </w:p>
    <w:p>
      <w:pPr>
        <w:jc w:val="both"/>
        <w:ind w:firstLine="656"/>
        <w:spacing w:after="0" w:line="228" w:lineRule="auto"/>
        <w:tabs>
          <w:tab w:leader="none" w:pos="1155" w:val="left"/>
        </w:tabs>
        <w:numPr>
          <w:ilvl w:val="1"/>
          <w:numId w:val="141"/>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the Borrower prior to the date on which any payment is due to the Administrative Agent for the account of the Lenders or the Issuing Banks hereunder that the Borrower will not make such payment, the Administrative Agent may assume that the Borrower has made such payment on such date in accordance herewith and may, in reliance upon such assumption and in its sole discretion,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61" w:lineRule="exact"/>
        <w:rPr>
          <w:rFonts w:ascii="Arial" w:cs="Arial" w:eastAsia="Arial" w:hAnsi="Arial"/>
          <w:sz w:val="17"/>
          <w:szCs w:val="17"/>
          <w:color w:val="auto"/>
        </w:rPr>
      </w:pPr>
    </w:p>
    <w:p>
      <w:pPr>
        <w:jc w:val="both"/>
        <w:ind w:firstLine="656"/>
        <w:spacing w:after="0" w:line="223" w:lineRule="auto"/>
        <w:tabs>
          <w:tab w:leader="none" w:pos="113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If any Lender shall fail to make any payment required to be made by it pursuant to </w:t>
      </w:r>
      <w:r>
        <w:rPr>
          <w:rFonts w:ascii="Arial" w:cs="Arial" w:eastAsia="Arial" w:hAnsi="Arial"/>
          <w:sz w:val="18"/>
          <w:szCs w:val="18"/>
          <w:u w:val="single" w:color="auto"/>
          <w:color w:val="auto"/>
        </w:rPr>
        <w:t>Section 2.05(e)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2.05(f)</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2.18(d)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9.03(d)</w:t>
      </w:r>
      <w:r>
        <w:rPr>
          <w:rFonts w:ascii="Arial" w:cs="Arial" w:eastAsia="Arial" w:hAnsi="Arial"/>
          <w:sz w:val="18"/>
          <w:szCs w:val="18"/>
          <w:color w:val="auto"/>
        </w:rPr>
        <w:t>, then the Administrative Agent may, in its discretion and in the order determined by the Administrative Agent (notwithstanding any contrary provision hereof), (i) apply any amounts thereafter received by the Administrative Agent for the account of such Lender to satisfy such Lender’s obligations under such Section until all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90</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6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unsatisfied obligations are fully paid and/or (ii) hold any such amounts in a segregated account as Cash Collateral for, and to be applied to, any future funding obligations of such Lender under any such Section.</w:t>
      </w:r>
    </w:p>
    <w:p>
      <w:pPr>
        <w:spacing w:after="0" w:line="162" w:lineRule="exact"/>
        <w:rPr>
          <w:sz w:val="20"/>
          <w:szCs w:val="20"/>
          <w:color w:val="auto"/>
        </w:rPr>
      </w:pPr>
    </w:p>
    <w:p>
      <w:pPr>
        <w:ind w:right="160" w:firstLine="656"/>
        <w:spacing w:after="0" w:line="223" w:lineRule="auto"/>
        <w:tabs>
          <w:tab w:leader="none" w:pos="100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If any Lender makes available to the Administrative Agent funds for any Loan to be made by such Lender as provided in the foregoing provisions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such funds are not made available to the Borrower by the Administrative Agent because the conditions to the applicable Borrowing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200" w:lineRule="exact"/>
        <w:rPr>
          <w:sz w:val="20"/>
          <w:szCs w:val="20"/>
          <w:color w:val="auto"/>
        </w:rPr>
      </w:pPr>
    </w:p>
    <w:p>
      <w:pPr>
        <w:spacing w:after="0" w:line="21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2.19</w:t>
      </w:r>
      <w:r>
        <w:rPr>
          <w:sz w:val="20"/>
          <w:szCs w:val="20"/>
          <w:color w:val="auto"/>
        </w:rPr>
        <w:tab/>
      </w:r>
      <w:r>
        <w:rPr>
          <w:rFonts w:ascii="Arial" w:cs="Arial" w:eastAsia="Arial" w:hAnsi="Arial"/>
          <w:sz w:val="16"/>
          <w:szCs w:val="16"/>
          <w:color w:val="auto"/>
        </w:rPr>
        <w:t>Mitigation Obligations; Replacement of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23355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2335530" cy="8255"/>
                    </a:xfrm>
                    <a:prstGeom prst="rect">
                      <a:avLst/>
                    </a:prstGeom>
                    <a:noFill/>
                  </pic:spPr>
                </pic:pic>
              </a:graphicData>
            </a:graphic>
          </wp:anchor>
        </w:drawing>
      </w:r>
    </w:p>
    <w:p>
      <w:pPr>
        <w:spacing w:after="0" w:line="165" w:lineRule="exact"/>
        <w:rPr>
          <w:sz w:val="20"/>
          <w:szCs w:val="20"/>
          <w:color w:val="auto"/>
        </w:rPr>
      </w:pPr>
    </w:p>
    <w:p>
      <w:pPr>
        <w:jc w:val="both"/>
        <w:ind w:firstLine="656"/>
        <w:spacing w:after="0" w:line="227" w:lineRule="auto"/>
        <w:tabs>
          <w:tab w:leader="none" w:pos="105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Each Lender may make any Loans or each Issuing Bank may issue Letters of Credit to the Borrower through any Lending Office, provided that the exercise of this option shall not affect the obligation of the Borrower to repay the Loans or Letters of Credit in accordance with the terms of this Agreement. If any Lender requests compensation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if the Borrower is required to pay any additional amount to, or otherwise indemnify, any Lender or any Governmental Authority for the account of any Lender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any event that gives rise to the operation of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mitigate the applicability of </w:t>
      </w:r>
      <w:r>
        <w:rPr>
          <w:rFonts w:ascii="Arial" w:cs="Arial" w:eastAsia="Arial" w:hAnsi="Arial"/>
          <w:sz w:val="17"/>
          <w:szCs w:val="17"/>
          <w:u w:val="single" w:color="auto"/>
          <w:color w:val="auto"/>
        </w:rPr>
        <w:t>Section 2.23</w:t>
      </w:r>
      <w:r>
        <w:rPr>
          <w:rFonts w:ascii="Arial" w:cs="Arial" w:eastAsia="Arial" w:hAnsi="Arial"/>
          <w:sz w:val="17"/>
          <w:szCs w:val="17"/>
          <w:color w:val="auto"/>
        </w:rPr>
        <w:t>,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162" w:lineRule="exact"/>
        <w:rPr>
          <w:rFonts w:ascii="Arial" w:cs="Arial" w:eastAsia="Arial" w:hAnsi="Arial"/>
          <w:sz w:val="17"/>
          <w:szCs w:val="17"/>
          <w:color w:val="auto"/>
        </w:rPr>
      </w:pPr>
    </w:p>
    <w:p>
      <w:pPr>
        <w:ind w:right="20" w:firstLine="656"/>
        <w:spacing w:after="0" w:line="238" w:lineRule="auto"/>
        <w:tabs>
          <w:tab w:leader="none" w:pos="103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gives notice under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(ii) the Borrower is required to pay any additional amount to any Lender or to any Governmental Authority for the account of any Lender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(iii) any Lender becomes or is a Defaulting Lender, then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and obligations under this Agreement and the other Loan Documents to an Eligible Assignee that shall assume such obligations (which assignee may be another Lender or an Affiliated Lender, if a Lender accepts such assignment and delegation),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have received the prior written consent of the Administrative Agent to the extent such consent would be required under Section 9.04(b) for an assignment of Loans or Commitments, as applicable (and if a Revolving Commitment is being assigned and delegated, each Issuing Bank), which consents, in each case, shall not unreasonably be withheld or delayed, (B) such Lender shall have received payment of an amount equal to the outstanding principal of its Loans and unreimbursed participations in LC Disbursements,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Administrative Agent the processing and recordation fee specified in </w:t>
      </w:r>
      <w:r>
        <w:rPr>
          <w:rFonts w:ascii="Arial" w:cs="Arial" w:eastAsia="Arial" w:hAnsi="Arial"/>
          <w:sz w:val="16"/>
          <w:szCs w:val="16"/>
          <w:u w:val="single" w:color="auto"/>
          <w:color w:val="auto"/>
        </w:rPr>
        <w:t>Section 9.04(b)(ii)</w:t>
      </w:r>
      <w:r>
        <w:rPr>
          <w:rFonts w:ascii="Arial" w:cs="Arial" w:eastAsia="Arial" w:hAnsi="Arial"/>
          <w:sz w:val="16"/>
          <w:szCs w:val="16"/>
          <w:color w:val="auto"/>
        </w:rPr>
        <w:t xml:space="preserve"> and (D) in the case of any such assignment resulting from a claim for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payment required to be made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a notice given under </w:t>
      </w:r>
      <w:r>
        <w:rPr>
          <w:rFonts w:ascii="Arial" w:cs="Arial" w:eastAsia="Arial" w:hAnsi="Arial"/>
          <w:sz w:val="16"/>
          <w:szCs w:val="16"/>
          <w:u w:val="single" w:color="auto"/>
          <w:color w:val="auto"/>
        </w:rPr>
        <w:t>Section 2.23</w:t>
      </w:r>
      <w:r>
        <w:rPr>
          <w:rFonts w:ascii="Arial" w:cs="Arial" w:eastAsia="Arial" w:hAnsi="Arial"/>
          <w:sz w:val="16"/>
          <w:szCs w:val="16"/>
          <w:color w:val="auto"/>
        </w:rPr>
        <w:t>,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w:t>
      </w:r>
    </w:p>
    <w:p>
      <w:pPr>
        <w:spacing w:after="0" w:line="17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2.20</w:t>
      </w:r>
      <w:r>
        <w:rPr>
          <w:sz w:val="20"/>
          <w:szCs w:val="20"/>
          <w:color w:val="auto"/>
        </w:rPr>
        <w:tab/>
      </w:r>
      <w:r>
        <w:rPr>
          <w:rFonts w:ascii="Arial" w:cs="Arial" w:eastAsia="Arial" w:hAnsi="Arial"/>
          <w:sz w:val="16"/>
          <w:szCs w:val="16"/>
          <w:color w:val="auto"/>
        </w:rPr>
        <w:t>Incremental Credit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4598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1459865" cy="8255"/>
                    </a:xfrm>
                    <a:prstGeom prst="rect">
                      <a:avLst/>
                    </a:prstGeom>
                    <a:noFill/>
                  </pic:spPr>
                </pic:pic>
              </a:graphicData>
            </a:graphic>
          </wp:anchor>
        </w:drawing>
      </w:r>
    </w:p>
    <w:p>
      <w:pPr>
        <w:spacing w:after="0" w:line="178" w:lineRule="exact"/>
        <w:rPr>
          <w:sz w:val="20"/>
          <w:szCs w:val="20"/>
          <w:color w:val="auto"/>
        </w:rPr>
      </w:pPr>
    </w:p>
    <w:p>
      <w:pPr>
        <w:jc w:val="both"/>
        <w:ind w:firstLine="656"/>
        <w:spacing w:after="0" w:line="229" w:lineRule="auto"/>
        <w:tabs>
          <w:tab w:leader="none" w:pos="112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Borrower or any Subsidiary Loan Party may at any time and from time to time after the Effective Date, subject to the terms and conditions set forth herein, by notice to the Administrative Agent request (i) one or more additional Classes of term loans or additional term loans of the same Class of any existing Class of term loans (which may include Incremental Delayed Draw Term Loans) (the “</w:t>
      </w:r>
      <w:r>
        <w:rPr>
          <w:rFonts w:ascii="Arial" w:cs="Arial" w:eastAsia="Arial" w:hAnsi="Arial"/>
          <w:sz w:val="17"/>
          <w:szCs w:val="17"/>
          <w:u w:val="single" w:color="auto"/>
          <w:color w:val="auto"/>
        </w:rPr>
        <w:t>Incremental Term Loans</w:t>
      </w:r>
      <w:r>
        <w:rPr>
          <w:rFonts w:ascii="Arial" w:cs="Arial" w:eastAsia="Arial" w:hAnsi="Arial"/>
          <w:sz w:val="17"/>
          <w:szCs w:val="17"/>
          <w:color w:val="auto"/>
        </w:rPr>
        <w:t>”), (ii) one or more increases in the amount of the Revolving Commitments of any Class (each such increase, an “</w:t>
      </w:r>
      <w:r>
        <w:rPr>
          <w:rFonts w:ascii="Arial" w:cs="Arial" w:eastAsia="Arial" w:hAnsi="Arial"/>
          <w:sz w:val="17"/>
          <w:szCs w:val="17"/>
          <w:u w:val="single" w:color="auto"/>
          <w:color w:val="auto"/>
        </w:rPr>
        <w:t>Incremental Revolving Commitment Increase</w:t>
      </w:r>
      <w:r>
        <w:rPr>
          <w:rFonts w:ascii="Arial" w:cs="Arial" w:eastAsia="Arial" w:hAnsi="Arial"/>
          <w:sz w:val="17"/>
          <w:szCs w:val="17"/>
          <w:color w:val="auto"/>
        </w:rPr>
        <w:t>”) or (iii) one or more additional Classes of Revolving Commitments (the “</w:t>
      </w:r>
      <w:r>
        <w:rPr>
          <w:rFonts w:ascii="Arial" w:cs="Arial" w:eastAsia="Arial" w:hAnsi="Arial"/>
          <w:sz w:val="17"/>
          <w:szCs w:val="17"/>
          <w:u w:val="single" w:color="auto"/>
          <w:color w:val="auto"/>
        </w:rPr>
        <w:t>Additional/Replacement Revolving Commitments</w:t>
      </w:r>
      <w:r>
        <w:rPr>
          <w:rFonts w:ascii="Arial" w:cs="Arial" w:eastAsia="Arial" w:hAnsi="Arial"/>
          <w:sz w:val="17"/>
          <w:szCs w:val="17"/>
          <w:color w:val="auto"/>
        </w:rPr>
        <w:t>,” and, together with the Incremental Term Loans and the Incremental Revolving Commitment Increases, the “</w:t>
      </w:r>
      <w:r>
        <w:rPr>
          <w:rFonts w:ascii="Arial" w:cs="Arial" w:eastAsia="Arial" w:hAnsi="Arial"/>
          <w:sz w:val="17"/>
          <w:szCs w:val="17"/>
          <w:u w:val="single" w:color="auto"/>
          <w:color w:val="auto"/>
        </w:rPr>
        <w:t>Incremental Facilities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w:t>
      </w:r>
      <w:r>
        <w:rPr>
          <w:rFonts w:ascii="Arial" w:cs="Arial" w:eastAsia="Arial" w:hAnsi="Arial"/>
          <w:sz w:val="17"/>
          <w:szCs w:val="17"/>
          <w:u w:val="single" w:color="auto"/>
          <w:color w:val="auto"/>
        </w:rPr>
        <w:t>Section 1.088</w:t>
      </w:r>
      <w:r>
        <w:rPr>
          <w:rFonts w:ascii="Arial" w:cs="Arial" w:eastAsia="Arial" w:hAnsi="Arial"/>
          <w:sz w:val="17"/>
          <w:szCs w:val="17"/>
          <w:color w:val="auto"/>
        </w:rPr>
        <w:t>, after giving effect to the effectiveness of any Incremental Facility Amendment referred to below and at the time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91</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any such Incremental Term Loan, Incremental Revolving Commitment Increase or Additional/Replacement Revolving Commitment is made or effected, no Event of Default (or, in the case of the incurrence or provision of any Incremental Facility in connection with an Acquisition Transaction or other Investment not prohibited by the terms of this Agreement, no Event of Default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7.01</w:t>
      </w:r>
      <w:r>
        <w:rPr>
          <w:rFonts w:ascii="Arial" w:cs="Arial" w:eastAsia="Arial" w:hAnsi="Arial"/>
          <w:sz w:val="16"/>
          <w:szCs w:val="16"/>
          <w:color w:val="auto"/>
        </w:rPr>
        <w:t>) shall have occurred and be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continuing or would result therefrom. Notwithstanding anything to the contrary herein, the sum of (i) the aggregate principal amount of the Incremental Facilities, and (ii) the aggregate outstanding principal amount of Incremental Equivalent Debt shall not at the time of incurrence of any such Incremental Facilities or Incremental Equivalent Debt (and after giving effect to such incurrence) exceed the Incremental Cap at such time (calculated in a manner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the definition of “Incremental Cap”).</w:t>
      </w:r>
    </w:p>
    <w:p>
      <w:pPr>
        <w:spacing w:after="0" w:line="169" w:lineRule="exact"/>
        <w:rPr>
          <w:sz w:val="20"/>
          <w:szCs w:val="20"/>
          <w:color w:val="auto"/>
        </w:rPr>
      </w:pPr>
    </w:p>
    <w:p>
      <w:pPr>
        <w:ind w:left="1040" w:hanging="384"/>
        <w:spacing w:after="0"/>
        <w:tabs>
          <w:tab w:leader="none" w:pos="10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Incremental Term Loan shall comply with the following clauses (A) through (F):</w:t>
      </w:r>
    </w:p>
    <w:p>
      <w:pPr>
        <w:spacing w:after="0" w:line="185" w:lineRule="exact"/>
        <w:rPr>
          <w:sz w:val="20"/>
          <w:szCs w:val="20"/>
          <w:color w:val="auto"/>
        </w:rPr>
      </w:pPr>
    </w:p>
    <w:p>
      <w:pPr>
        <w:jc w:val="both"/>
        <w:ind w:left="340" w:firstLine="316"/>
        <w:spacing w:after="0" w:line="252" w:lineRule="auto"/>
        <w:tabs>
          <w:tab w:leader="none" w:pos="96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except with respect to (I) the Maturity Carveout Amount, (II) Customary Bridge Loans which would either automatically be converted into or required to be exchanged for permanent financing which does not mature earlier than the Term Maturity Date and (III) Incremental Term Loans incurred in connection with an Acquisition Transaction or other Investment, the maturity date of any Incremental Term Loans shall not be earlier than the Term Maturity Date and the Weighted Average Life to Maturity of the Incremental Term Loans shall not be shorter than the remaining Weighted Average Life to Maturity of the Term Loans (without giving effect to any previous amortization payments or prepayments of the Term Loans),</w:t>
      </w:r>
    </w:p>
    <w:p>
      <w:pPr>
        <w:spacing w:after="0" w:line="154" w:lineRule="exact"/>
        <w:rPr>
          <w:rFonts w:ascii="Arial" w:cs="Arial" w:eastAsia="Arial" w:hAnsi="Arial"/>
          <w:sz w:val="16"/>
          <w:szCs w:val="16"/>
          <w:color w:val="auto"/>
        </w:rPr>
      </w:pPr>
    </w:p>
    <w:p>
      <w:pPr>
        <w:jc w:val="both"/>
        <w:ind w:left="340" w:firstLine="316"/>
        <w:spacing w:after="0" w:line="229" w:lineRule="auto"/>
        <w:tabs>
          <w:tab w:leader="none" w:pos="96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subject to clause (F), the pricing (including any “MFN” or other pricing terms), interest rate margins, rate floors, fees, premiums (including prepayment premiums), funding discounts and, subject to clause (A), the maturity and amortization schedule for any Incremental Term Loans shall be determined by the Borrower and the applicable Additional Lenders,</w:t>
      </w:r>
    </w:p>
    <w:p>
      <w:pPr>
        <w:spacing w:after="0" w:line="164" w:lineRule="exact"/>
        <w:rPr>
          <w:sz w:val="20"/>
          <w:szCs w:val="20"/>
          <w:color w:val="auto"/>
        </w:rPr>
      </w:pPr>
    </w:p>
    <w:p>
      <w:pPr>
        <w:ind w:left="340" w:firstLine="324"/>
        <w:spacing w:after="0" w:line="248" w:lineRule="auto"/>
        <w:rPr>
          <w:sz w:val="20"/>
          <w:szCs w:val="20"/>
          <w:color w:val="auto"/>
        </w:rPr>
      </w:pPr>
      <w:r>
        <w:rPr>
          <w:rFonts w:ascii="Arial" w:cs="Arial" w:eastAsia="Arial" w:hAnsi="Arial"/>
          <w:sz w:val="16"/>
          <w:szCs w:val="16"/>
          <w:color w:val="auto"/>
        </w:rPr>
        <w:t>(C)(i) to the extent secured, the Incremental Term Loans shall be secured solely by a Lien on the Collateral ranking equal in priority (but without regard to the control of remedies) with (or, subject to a Second Lien Intercreditor Agreement, junior in priority to) the Lien on the Collateral securing</w:t>
      </w:r>
    </w:p>
    <w:p>
      <w:pPr>
        <w:ind w:left="340"/>
        <w:spacing w:after="0"/>
        <w:rPr>
          <w:sz w:val="20"/>
          <w:szCs w:val="20"/>
          <w:color w:val="auto"/>
        </w:rPr>
      </w:pPr>
      <w:r>
        <w:rPr>
          <w:rFonts w:ascii="Arial" w:cs="Arial" w:eastAsia="Arial" w:hAnsi="Arial"/>
          <w:sz w:val="18"/>
          <w:szCs w:val="18"/>
          <w:color w:val="auto"/>
        </w:rPr>
        <w:t>the Secured Obligations and (ii) no Incremental Term Loans shall be guaranteed by entities other than the Guarantors or the Borrower,</w:t>
      </w:r>
    </w:p>
    <w:p>
      <w:pPr>
        <w:spacing w:after="0" w:line="169" w:lineRule="exact"/>
        <w:rPr>
          <w:sz w:val="20"/>
          <w:szCs w:val="20"/>
          <w:color w:val="auto"/>
        </w:rPr>
      </w:pPr>
    </w:p>
    <w:p>
      <w:pPr>
        <w:jc w:val="both"/>
        <w:ind w:left="340" w:firstLine="316"/>
        <w:spacing w:after="0" w:line="248" w:lineRule="auto"/>
        <w:tabs>
          <w:tab w:leader="none" w:pos="976"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Incremental Term Loans shall be on terms and pursuant to documentation to be determined by the Borrower and the applicable Additional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terms and documentation are not consistent with the Term Loans (except (i) to the extent permitted by clause</w:t>
      </w:r>
    </w:p>
    <w:p>
      <w:pPr>
        <w:jc w:val="both"/>
        <w:ind w:left="340" w:hanging="8"/>
        <w:spacing w:after="0" w:line="238" w:lineRule="auto"/>
        <w:tabs>
          <w:tab w:leader="none" w:pos="669"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or (B) above or clause (E) or (F) below, (ii) as to pricing, interest rate margins, rate floors, discounts, fees, premiums and prepayment or redemption provisions and (iii) any funding conditions applicable to any Incremental Delayed Draw Term Facility), they shall either (I) taken as a whole, be not materially more favorable to the Lenders providing such Incremental Term Loan than the terms and conditions of the Term Loans (when taken as a whole) are to the Lenders thereunder, (II) be applicable only to periods after the Latest Maturity Date at the time of such refinancing, (III) reflect market terms and conditions (taken as a whole) at the time of incurrence of such Indebtedness (as determined by the Borrower in good faith);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Incremental Term Loans include any financial covenant that is more restrictive to the Borrower than the Financial Performance Covenant, then such financial covenant shall be added for the benefit of the Revolving Credit Facility, (IV) be reasonably satisfactory to the Administrative Agent or (V) be added, or the features of such term or provision shall be provided, for the benefit of any Loans or Commitments remaining outstanding thereafter (and, for the avoidance of doubt, such term shall be deemed reasonably satisfactory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delivered to the Administrative Agent at least five (5) Business Days prior to the establishment of such Term Facility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w:t>
      </w:r>
    </w:p>
    <w:p>
      <w:pPr>
        <w:spacing w:after="0" w:line="163" w:lineRule="exact"/>
        <w:rPr>
          <w:rFonts w:ascii="Arial" w:cs="Arial" w:eastAsia="Arial" w:hAnsi="Arial"/>
          <w:sz w:val="16"/>
          <w:szCs w:val="16"/>
          <w:color w:val="auto"/>
        </w:rPr>
      </w:pPr>
    </w:p>
    <w:p>
      <w:pPr>
        <w:jc w:val="both"/>
        <w:ind w:left="340" w:firstLine="316"/>
        <w:spacing w:after="0" w:line="223" w:lineRule="auto"/>
        <w:tabs>
          <w:tab w:leader="none" w:pos="96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such Incremental Term Loans may be provided in any currency as mutually agreed among the Administrative Agent, Borrower and the applicable Additional Lenders. Each Incremental Term Loan shall be in a minimum principal amount of $5,000,000 (unless the Borrower and Administrative Agent otherwise agree);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may be less than $5,000,000, if such amount represents all the remaining availability under the Incremental Cap, and</w:t>
      </w:r>
    </w:p>
    <w:p>
      <w:pPr>
        <w:spacing w:after="0" w:line="162" w:lineRule="exact"/>
        <w:rPr>
          <w:rFonts w:ascii="Arial" w:cs="Arial" w:eastAsia="Arial" w:hAnsi="Arial"/>
          <w:sz w:val="18"/>
          <w:szCs w:val="18"/>
          <w:color w:val="auto"/>
        </w:rPr>
      </w:pPr>
    </w:p>
    <w:p>
      <w:pPr>
        <w:jc w:val="both"/>
        <w:ind w:left="340" w:firstLine="316"/>
        <w:spacing w:after="0" w:line="236" w:lineRule="auto"/>
        <w:tabs>
          <w:tab w:leader="none" w:pos="929" w:val="left"/>
        </w:tabs>
        <w:numPr>
          <w:ilvl w:val="1"/>
          <w:numId w:val="148"/>
        </w:numPr>
        <w:rPr>
          <w:rFonts w:ascii="Arial" w:cs="Arial" w:eastAsia="Arial" w:hAnsi="Arial"/>
          <w:sz w:val="17"/>
          <w:szCs w:val="17"/>
          <w:color w:val="auto"/>
        </w:rPr>
      </w:pPr>
      <w:r>
        <w:rPr>
          <w:rFonts w:ascii="Arial" w:cs="Arial" w:eastAsia="Arial" w:hAnsi="Arial"/>
          <w:sz w:val="17"/>
          <w:szCs w:val="17"/>
          <w:color w:val="auto"/>
        </w:rPr>
        <w:t>with respect to any Incremental Term Loans funded after the Effective Date that (i) are secured by a Lien on the Collateral that ranks pari passu with the Liens securing the Term Loans, (ii) are incurred pursuant to the Free and Clear Incremental Amount (other than Incremental Term Loans incurred in reliance on either (x) the General Debt Basket Reallocated Amount or (y) any portion of the Free and Clear Incremental Amount under clauses (c) or (d) thereof that is attributable to permanent commitment reductions of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92</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63" w:lineRule="exact"/>
        <w:rPr>
          <w:sz w:val="20"/>
          <w:szCs w:val="20"/>
          <w:color w:val="auto"/>
        </w:rPr>
      </w:pPr>
    </w:p>
    <w:p>
      <w:pPr>
        <w:jc w:val="both"/>
        <w:ind w:left="340"/>
        <w:spacing w:after="0" w:line="241" w:lineRule="auto"/>
        <w:rPr>
          <w:sz w:val="20"/>
          <w:szCs w:val="20"/>
          <w:color w:val="auto"/>
        </w:rPr>
      </w:pPr>
      <w:r>
        <w:rPr>
          <w:rFonts w:ascii="Arial" w:cs="Arial" w:eastAsia="Arial" w:hAnsi="Arial"/>
          <w:sz w:val="16"/>
          <w:szCs w:val="16"/>
          <w:color w:val="auto"/>
        </w:rPr>
        <w:t>facilities), (iii) mature on or prior to the Term Maturity Date, (iv) are incurred prior to the date that is six months after the Effective Date, (v) are in the form of dollar-denominated broadly syndicated floating rate term B loans and (vi) are not incurred or established in connection with any Permitted Acquisition or other permitted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in its sole discretion, exclude any Class of Incremental Term Loans from</w:t>
      </w:r>
    </w:p>
    <w:p>
      <w:pPr>
        <w:spacing w:after="0" w:line="2" w:lineRule="exact"/>
        <w:rPr>
          <w:sz w:val="20"/>
          <w:szCs w:val="20"/>
          <w:color w:val="auto"/>
        </w:rPr>
      </w:pPr>
    </w:p>
    <w:p>
      <w:pPr>
        <w:jc w:val="both"/>
        <w:ind w:left="340"/>
        <w:spacing w:after="0" w:line="234" w:lineRule="auto"/>
        <w:rPr>
          <w:sz w:val="20"/>
          <w:szCs w:val="20"/>
          <w:color w:val="auto"/>
        </w:rPr>
      </w:pPr>
      <w:r>
        <w:rPr>
          <w:rFonts w:ascii="Arial" w:cs="Arial" w:eastAsia="Arial" w:hAnsi="Arial"/>
          <w:sz w:val="16"/>
          <w:szCs w:val="16"/>
          <w:color w:val="auto"/>
        </w:rPr>
        <w:t>application of the MFN Protection to the extent such Class is in an aggregate initial principal amount not exceeding the greater of (x) $130,000,000 and (y) 100% of Consolidated EBITDA for the most recently ended Test Period as of such time determined on a Pro Forma Basis), in the event that the interest rate margins for any Incremental Term Loan are greater than the Applicable Rates for the Term Loans by more than 1.00% per annum, then the</w:t>
      </w:r>
    </w:p>
    <w:p>
      <w:pPr>
        <w:spacing w:after="0" w:line="2" w:lineRule="exact"/>
        <w:rPr>
          <w:sz w:val="20"/>
          <w:szCs w:val="20"/>
          <w:color w:val="auto"/>
        </w:rPr>
      </w:pPr>
    </w:p>
    <w:p>
      <w:pPr>
        <w:jc w:val="both"/>
        <w:ind w:left="340"/>
        <w:spacing w:after="0" w:line="234" w:lineRule="auto"/>
        <w:rPr>
          <w:sz w:val="20"/>
          <w:szCs w:val="20"/>
          <w:color w:val="auto"/>
        </w:rPr>
      </w:pPr>
      <w:r>
        <w:rPr>
          <w:rFonts w:ascii="Arial" w:cs="Arial" w:eastAsia="Arial" w:hAnsi="Arial"/>
          <w:sz w:val="16"/>
          <w:szCs w:val="16"/>
          <w:color w:val="auto"/>
        </w:rPr>
        <w:t xml:space="preserve">Applicable Rates for the Term Loans shall be increased to the extent necessary so that the Applicable Rates for the Term Loans are equal to the interest rate margins for such Incremental Term Loans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1.00% per annum (the “</w:t>
      </w:r>
      <w:r>
        <w:rPr>
          <w:rFonts w:ascii="Arial" w:cs="Arial" w:eastAsia="Arial" w:hAnsi="Arial"/>
          <w:sz w:val="16"/>
          <w:szCs w:val="16"/>
          <w:u w:val="single" w:color="auto"/>
          <w:color w:val="auto"/>
        </w:rPr>
        <w:t>MFN Protection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w:t>
      </w:r>
      <w:r>
        <w:rPr>
          <w:rFonts w:ascii="Arial" w:cs="Arial" w:eastAsia="Arial" w:hAnsi="Arial"/>
          <w:sz w:val="16"/>
          <w:szCs w:val="16"/>
          <w:color w:val="auto"/>
        </w:rPr>
        <w:t xml:space="preserve">d, further, that with respect to any Incremental Term Loans that do not bear interest at a rate determined by reference to </w:t>
      </w:r>
      <w:r>
        <w:rPr>
          <w:rFonts w:ascii="Arial" w:cs="Arial" w:eastAsia="Arial" w:hAnsi="Arial"/>
          <w:sz w:val="16"/>
          <w:szCs w:val="16"/>
          <w:color w:val="FF0000"/>
          <w:strike w:val="1"/>
        </w:rPr>
        <w:t>the</w:t>
      </w:r>
      <w:r>
        <w:rPr>
          <w:rFonts w:ascii="Arial" w:cs="Arial" w:eastAsia="Arial" w:hAnsi="Arial"/>
          <w:sz w:val="16"/>
          <w:szCs w:val="16"/>
          <w:color w:val="auto"/>
        </w:rPr>
        <w:t xml:space="preserve"> Adjusted </w:t>
      </w:r>
      <w:r>
        <w:rPr>
          <w:rFonts w:ascii="Arial" w:cs="Arial" w:eastAsia="Arial" w:hAnsi="Arial"/>
          <w:sz w:val="16"/>
          <w:szCs w:val="16"/>
          <w:color w:val="FF0000"/>
          <w:strike w:val="1"/>
        </w:rPr>
        <w:t>LIBO Rate</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for purposes of calculating the</w:t>
      </w:r>
    </w:p>
    <w:p>
      <w:pPr>
        <w:spacing w:after="0" w:line="2" w:lineRule="exact"/>
        <w:rPr>
          <w:sz w:val="20"/>
          <w:szCs w:val="20"/>
          <w:color w:val="auto"/>
        </w:rPr>
      </w:pPr>
    </w:p>
    <w:p>
      <w:pPr>
        <w:jc w:val="both"/>
        <w:ind w:left="340"/>
        <w:spacing w:after="0" w:line="234" w:lineRule="auto"/>
        <w:rPr>
          <w:sz w:val="20"/>
          <w:szCs w:val="20"/>
          <w:color w:val="auto"/>
        </w:rPr>
      </w:pPr>
      <w:r>
        <w:rPr>
          <w:rFonts w:ascii="Arial" w:cs="Arial" w:eastAsia="Arial" w:hAnsi="Arial"/>
          <w:sz w:val="16"/>
          <w:szCs w:val="16"/>
          <w:color w:val="auto"/>
        </w:rPr>
        <w:t xml:space="preserve">applicable increase (if any) in the Applicable Rates for the Term Loans in the preceding provisos, the interest rate margin for such Incremental Term Loans shall be deemed to be the interest rate (calculated after giving effect to any increases required pursuant to the immediately succeeding proviso) of such Incremental Term Loans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w:t>
      </w:r>
      <w:r>
        <w:rPr>
          <w:rFonts w:ascii="Arial" w:cs="Arial" w:eastAsia="Arial" w:hAnsi="Arial"/>
          <w:sz w:val="16"/>
          <w:szCs w:val="16"/>
          <w:color w:val="FF0000"/>
          <w:strike w:val="1"/>
        </w:rPr>
        <w:t>the then applicable LIBO Rate</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determining the Applicable Rates applicable</w:t>
      </w:r>
    </w:p>
    <w:p>
      <w:pPr>
        <w:spacing w:after="0" w:line="2" w:lineRule="exact"/>
        <w:rPr>
          <w:sz w:val="20"/>
          <w:szCs w:val="20"/>
          <w:color w:val="auto"/>
        </w:rPr>
      </w:pPr>
    </w:p>
    <w:p>
      <w:pPr>
        <w:jc w:val="both"/>
        <w:ind w:left="340"/>
        <w:spacing w:after="0" w:line="234" w:lineRule="auto"/>
        <w:rPr>
          <w:sz w:val="20"/>
          <w:szCs w:val="20"/>
          <w:color w:val="auto"/>
        </w:rPr>
      </w:pPr>
      <w:r>
        <w:rPr>
          <w:rFonts w:ascii="Arial" w:cs="Arial" w:eastAsia="Arial" w:hAnsi="Arial"/>
          <w:sz w:val="16"/>
          <w:szCs w:val="16"/>
          <w:color w:val="auto"/>
        </w:rPr>
        <w:t>to the Term Loans and the interest rate margins applicable to the Incremental Term Loans, (x) original issue discount (“</w:t>
      </w:r>
      <w:r>
        <w:rPr>
          <w:rFonts w:ascii="Arial" w:cs="Arial" w:eastAsia="Arial" w:hAnsi="Arial"/>
          <w:sz w:val="16"/>
          <w:szCs w:val="16"/>
          <w:u w:val="single" w:color="auto"/>
          <w:color w:val="auto"/>
        </w:rPr>
        <w:t>OID</w:t>
      </w:r>
      <w:r>
        <w:rPr>
          <w:rFonts w:ascii="Arial" w:cs="Arial" w:eastAsia="Arial" w:hAnsi="Arial"/>
          <w:sz w:val="16"/>
          <w:szCs w:val="16"/>
          <w:color w:val="auto"/>
        </w:rPr>
        <w:t xml:space="preserve">”) or upfront fees (which shall be deemed, solely for purposes of this </w:t>
      </w:r>
      <w:r>
        <w:rPr>
          <w:rFonts w:ascii="Arial" w:cs="Arial" w:eastAsia="Arial" w:hAnsi="Arial"/>
          <w:sz w:val="16"/>
          <w:szCs w:val="16"/>
          <w:u w:val="single" w:color="auto"/>
          <w:color w:val="auto"/>
        </w:rPr>
        <w:t>clause (x)</w:t>
      </w:r>
      <w:r>
        <w:rPr>
          <w:rFonts w:ascii="Arial" w:cs="Arial" w:eastAsia="Arial" w:hAnsi="Arial"/>
          <w:sz w:val="16"/>
          <w:szCs w:val="16"/>
          <w:color w:val="auto"/>
        </w:rPr>
        <w:t>, to constitute like amounts of OID) payable by the Borrower or the applicable Subsidiary Loan Party to the Lenders of the Term Loans and the Incremental Term Loans in the initial primary syndication thereof shall be included (with OID or</w:t>
      </w:r>
    </w:p>
    <w:p>
      <w:pPr>
        <w:spacing w:after="0" w:line="2" w:lineRule="exact"/>
        <w:rPr>
          <w:sz w:val="20"/>
          <w:szCs w:val="20"/>
          <w:color w:val="auto"/>
        </w:rPr>
      </w:pPr>
    </w:p>
    <w:p>
      <w:pPr>
        <w:jc w:val="both"/>
        <w:ind w:left="340"/>
        <w:spacing w:after="0" w:line="234" w:lineRule="auto"/>
        <w:rPr>
          <w:sz w:val="20"/>
          <w:szCs w:val="20"/>
          <w:color w:val="auto"/>
        </w:rPr>
      </w:pPr>
      <w:r>
        <w:rPr>
          <w:rFonts w:ascii="Arial" w:cs="Arial" w:eastAsia="Arial" w:hAnsi="Arial"/>
          <w:sz w:val="16"/>
          <w:szCs w:val="16"/>
          <w:color w:val="auto"/>
        </w:rPr>
        <w:t xml:space="preserve">upfront fees being equated to interest based on an assumed four-year life to maturity), (y) (1) with respect to the Term Loans, to the extent that </w:t>
      </w:r>
      <w:r>
        <w:rPr>
          <w:rFonts w:ascii="Arial" w:cs="Arial" w:eastAsia="Arial" w:hAnsi="Arial"/>
          <w:sz w:val="16"/>
          <w:szCs w:val="16"/>
          <w:color w:val="FF0000"/>
          <w:strike w:val="1"/>
        </w:rPr>
        <w:t>the</w:t>
      </w:r>
      <w:r>
        <w:rPr>
          <w:rFonts w:ascii="Arial" w:cs="Arial" w:eastAsia="Arial" w:hAnsi="Arial"/>
          <w:sz w:val="16"/>
          <w:szCs w:val="16"/>
          <w:color w:val="auto"/>
        </w:rPr>
        <w:t xml:space="preserve"> </w:t>
      </w:r>
      <w:r>
        <w:rPr>
          <w:rFonts w:ascii="Arial" w:cs="Arial" w:eastAsia="Arial" w:hAnsi="Arial"/>
          <w:sz w:val="16"/>
          <w:szCs w:val="16"/>
          <w:color w:val="FF0000"/>
          <w:strike w:val="1"/>
        </w:rPr>
        <w:t>LIBO Rate</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FF0000"/>
        </w:rPr>
        <w:t xml:space="preserve"> </w:t>
      </w:r>
      <w:r>
        <w:rPr>
          <w:rFonts w:ascii="Arial" w:cs="Arial" w:eastAsia="Arial" w:hAnsi="Arial"/>
          <w:sz w:val="16"/>
          <w:szCs w:val="16"/>
          <w:color w:val="000000"/>
        </w:rPr>
        <w:t>for a three-month interest period on the closing date of the Incremental Facility Amendment is less than the “</w:t>
      </w:r>
      <w:r>
        <w:rPr>
          <w:rFonts w:ascii="Arial" w:cs="Arial" w:eastAsia="Arial" w:hAnsi="Arial"/>
          <w:sz w:val="16"/>
          <w:szCs w:val="16"/>
          <w:color w:val="FF0000"/>
          <w:strike w:val="1"/>
        </w:rPr>
        <w:t>LIBOR</w:t>
      </w:r>
      <w:r>
        <w:rPr>
          <w:rFonts w:ascii="Arial" w:cs="Arial" w:eastAsia="Arial" w:hAnsi="Arial"/>
          <w:sz w:val="16"/>
          <w:szCs w:val="16"/>
          <w:u w:val="single" w:color="auto"/>
          <w:color w:val="0000FF"/>
          <w:highlight w:val="lightGray"/>
        </w:rPr>
        <w:t>Term</w:t>
      </w:r>
      <w:r>
        <w:rPr>
          <w:rFonts w:ascii="Arial" w:cs="Arial" w:eastAsia="Arial" w:hAnsi="Arial"/>
          <w:sz w:val="16"/>
          <w:szCs w:val="16"/>
          <w:color w:val="FF0000"/>
        </w:rPr>
        <w:t xml:space="preserve"> </w:t>
      </w:r>
      <w:r>
        <w:rPr>
          <w:rFonts w:ascii="Arial" w:cs="Arial" w:eastAsia="Arial" w:hAnsi="Arial"/>
          <w:sz w:val="16"/>
          <w:szCs w:val="16"/>
          <w:u w:val="single" w:color="auto"/>
          <w:color w:val="0000FF"/>
          <w:highlight w:val="lightGray"/>
        </w:rPr>
        <w:t>SOFR</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floor”, if any, applicable to the Term Loans, the amount of such difference shall be deemed added to the Applicable Rate for the Term Loans</w:t>
      </w:r>
    </w:p>
    <w:p>
      <w:pPr>
        <w:spacing w:after="0" w:line="2" w:lineRule="exact"/>
        <w:rPr>
          <w:sz w:val="20"/>
          <w:szCs w:val="20"/>
          <w:color w:val="auto"/>
        </w:rPr>
      </w:pPr>
    </w:p>
    <w:p>
      <w:pPr>
        <w:jc w:val="both"/>
        <w:ind w:left="340"/>
        <w:spacing w:after="0" w:line="234" w:lineRule="auto"/>
        <w:rPr>
          <w:sz w:val="20"/>
          <w:szCs w:val="20"/>
          <w:color w:val="auto"/>
        </w:rPr>
      </w:pPr>
      <w:r>
        <w:rPr>
          <w:rFonts w:ascii="Arial" w:cs="Arial" w:eastAsia="Arial" w:hAnsi="Arial"/>
          <w:sz w:val="16"/>
          <w:szCs w:val="16"/>
          <w:color w:val="auto"/>
        </w:rPr>
        <w:t xml:space="preserve">solely for the purpose of determining whether an increase in the Applicable Rate for the Term Loans shall be required and (2) with respect to the Incremental Term Loans, to the extent that </w:t>
      </w:r>
      <w:r>
        <w:rPr>
          <w:rFonts w:ascii="Arial" w:cs="Arial" w:eastAsia="Arial" w:hAnsi="Arial"/>
          <w:sz w:val="16"/>
          <w:szCs w:val="16"/>
          <w:color w:val="FF0000"/>
          <w:strike w:val="1"/>
        </w:rPr>
        <w:t>the LIBO Rate</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for a three-month interest period on the closing date of the Incremental Facility Amendment is less than the interest rate floor, if any, applicable to the Incremental Term Loans, the amount of such difference shall be deemed added</w:t>
      </w:r>
    </w:p>
    <w:p>
      <w:pPr>
        <w:spacing w:after="0" w:line="2" w:lineRule="exact"/>
        <w:rPr>
          <w:sz w:val="20"/>
          <w:szCs w:val="20"/>
          <w:color w:val="auto"/>
        </w:rPr>
      </w:pPr>
    </w:p>
    <w:p>
      <w:pPr>
        <w:jc w:val="both"/>
        <w:ind w:left="340"/>
        <w:spacing w:after="0" w:line="234" w:lineRule="auto"/>
        <w:rPr>
          <w:sz w:val="20"/>
          <w:szCs w:val="20"/>
          <w:color w:val="auto"/>
        </w:rPr>
      </w:pPr>
      <w:r>
        <w:rPr>
          <w:rFonts w:ascii="Arial" w:cs="Arial" w:eastAsia="Arial" w:hAnsi="Arial"/>
          <w:sz w:val="16"/>
          <w:szCs w:val="16"/>
          <w:color w:val="auto"/>
        </w:rPr>
        <w:t>to the interest rate margin for the Incremental Term Loans solely for the purpose of determining whether an increase in the Applicable Rate for the Term Loans shall be required and (z) arrangement, structuring, ticking, commitment, amendment, unused line or underwriting fees or other similar fees payable in connection with the Term Loans or such Incremental Term Loans, as applicable, consent fees for an amendment (in each case regardless of</w:t>
      </w:r>
    </w:p>
    <w:p>
      <w:pPr>
        <w:spacing w:after="0" w:line="2" w:lineRule="exact"/>
        <w:rPr>
          <w:sz w:val="20"/>
          <w:szCs w:val="20"/>
          <w:color w:val="auto"/>
        </w:rPr>
      </w:pPr>
    </w:p>
    <w:p>
      <w:pPr>
        <w:jc w:val="both"/>
        <w:ind w:left="340"/>
        <w:spacing w:after="0" w:line="234" w:lineRule="auto"/>
        <w:rPr>
          <w:sz w:val="20"/>
          <w:szCs w:val="20"/>
          <w:color w:val="auto"/>
        </w:rPr>
      </w:pPr>
      <w:r>
        <w:rPr>
          <w:rFonts w:ascii="Arial" w:cs="Arial" w:eastAsia="Arial" w:hAnsi="Arial"/>
          <w:sz w:val="16"/>
          <w:szCs w:val="16"/>
          <w:color w:val="auto"/>
        </w:rPr>
        <w:t xml:space="preserve">whether any such fees are paid to or shared in whole or in part with any lender) and any other fees not paid to all relevant lenders generally with respect to such Indebtedness, shall be excluded;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increase in the Applicable Rate applicable to the Term Loans due to the application or imposition of an interest rate floor on any such Incremental Term Loans may, at the election of the Borrower, be effected through either</w:t>
      </w:r>
    </w:p>
    <w:p>
      <w:pPr>
        <w:spacing w:after="0" w:line="2" w:lineRule="exact"/>
        <w:rPr>
          <w:sz w:val="20"/>
          <w:szCs w:val="20"/>
          <w:color w:val="auto"/>
        </w:rPr>
      </w:pPr>
    </w:p>
    <w:p>
      <w:pPr>
        <w:jc w:val="both"/>
        <w:ind w:left="340" w:hanging="8"/>
        <w:spacing w:after="0" w:line="218" w:lineRule="auto"/>
        <w:tabs>
          <w:tab w:leader="none" w:pos="60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an increase in the relevant interest rate floor applicable to the Term Loans or (2) an increase in the Applicable Rate applicable to the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MFN Protection may be waived at any time with the consent of the Required Class Lenders with respect to the applicable Class of Term Loans.</w:t>
      </w:r>
    </w:p>
    <w:p>
      <w:pPr>
        <w:spacing w:after="0" w:line="175" w:lineRule="exact"/>
        <w:rPr>
          <w:rFonts w:ascii="Arial" w:cs="Arial" w:eastAsia="Arial" w:hAnsi="Arial"/>
          <w:sz w:val="18"/>
          <w:szCs w:val="18"/>
          <w:color w:val="auto"/>
        </w:rPr>
      </w:pPr>
    </w:p>
    <w:p>
      <w:pPr>
        <w:jc w:val="both"/>
        <w:ind w:firstLine="656"/>
        <w:spacing w:after="0" w:line="248" w:lineRule="auto"/>
        <w:tabs>
          <w:tab w:leader="none" w:pos="1153"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Incremental Revolving Commitment Increase shall be treated the same as the Class of Revolving Commitments being increased (including with respect to maturity date thereof) and shall be considered to be part of the Class of Revolving Credit Facility being increased (it being understood that, if required to consummate an Incremental Revolving Commitment Increase, the pricing, interest rate margins,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w:t>
      </w:r>
    </w:p>
    <w:p>
      <w:pPr>
        <w:spacing w:after="0" w:line="156" w:lineRule="exact"/>
        <w:rPr>
          <w:rFonts w:ascii="Arial" w:cs="Arial" w:eastAsia="Arial" w:hAnsi="Arial"/>
          <w:sz w:val="16"/>
          <w:szCs w:val="16"/>
          <w:color w:val="auto"/>
        </w:rPr>
      </w:pPr>
    </w:p>
    <w:p>
      <w:pPr>
        <w:jc w:val="both"/>
        <w:ind w:firstLine="656"/>
        <w:spacing w:after="0" w:line="226" w:lineRule="auto"/>
        <w:tabs>
          <w:tab w:leader="none" w:pos="109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Additional/Replacement Revolving Commitments (i) shall rank equal in right of payment with the Revolving Loans, shall be secured only by a Lien on the Collateral securing the Secured Obligations and shall be guaranteed only by the Loan Parties, (ii) except with respect to Additional/Replacement Revolving Commitments incurred pursuant to the Incremental Maturity Carveout Amount, shall not mature earlier than the Revolving Maturity Date and shall require no mandatory commitment reduction prior to the Revolving Maturity Date, (iii) shall have interest rates (including through fixed interest rates), interest margins, rate floors, upfront fees, undrawn commitment fees, funding discounts, original issue discounts, prepayment terms and premiums and commitment reduction and termination terms as determined by the borrower and the lenders providing such commitments, (iv) shall contain borrowing, repayment and termination of Commitment procedures as determined by the borrowers and the lenders providing such commitments, (v) may include provisions relating to letters of credit, as applicable, issued thereunder, which issuances shall be on terms substantially similar (except for the overall size of such subfacilities, the fees payable in connection therewith and the identity of the letter of credit issuer, as applicable, which shall be determined by the Borrower, the lenders providing such commitments and the applicable letter of credit issuers and borrowing, repayment and termination of commitment procedures with respect thereto,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93</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63"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 xml:space="preserve">each case which shall be specified in the applicable Incremental Facility Amendment) to the terms relating to the Letters of Credit with respect to the applicable Class of Revolving Commitments or otherwise reasonably acceptable to the Administrative Agent and (vi) may otherwise have terms and conditions different from those of the Revolving Credit Facility (including currency denomination);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except with respect to matters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contemplated by clauses (i), (ii), (iii), (iv) and (v) above, any differences shall be reasonably satisfactory to the Administrative Agent (except for covenants and other provisions applicable only to the periods after the Latest Maturity Date) and (y) the documentation governing any Additional/Replacement Revolving Commitments may include a financial maintenance covenant or related equity cure so long as the Administrative Agent shall have been given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prompt written notice thereof and this Agreement is amended to include such financial maintenance covenant or related equity cure for the benefit of each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applicable new financial maintenance covenant is a “springing” financial maintenance covenant for the benefit of such revolving credit facility or covenant only applicable to, or for the benefit of, a revolving credit facility, such financial maintenance covenant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shall be automatically included in this Agreement only for the benefit of each revolving credit facility hereunder (and not for the benefit of any term loan facility hereunder)).</w:t>
      </w:r>
    </w:p>
    <w:p>
      <w:pPr>
        <w:spacing w:after="0" w:line="161" w:lineRule="exact"/>
        <w:rPr>
          <w:sz w:val="20"/>
          <w:szCs w:val="20"/>
          <w:color w:val="auto"/>
        </w:rPr>
      </w:pPr>
    </w:p>
    <w:p>
      <w:pPr>
        <w:ind w:firstLine="656"/>
        <w:spacing w:after="0" w:line="246" w:lineRule="auto"/>
        <w:tabs>
          <w:tab w:leader="none" w:pos="108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Each notice from Holdings or the Borrower pursuant to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shall set forth the requested amount of the relevant Incremental Term Loans, Incremental Revolving Commitment Increases or Additional/Replacement Revolving Commitments.</w:t>
      </w:r>
    </w:p>
    <w:p>
      <w:pPr>
        <w:spacing w:after="0" w:line="156" w:lineRule="exact"/>
        <w:rPr>
          <w:rFonts w:ascii="Arial" w:cs="Arial" w:eastAsia="Arial" w:hAnsi="Arial"/>
          <w:sz w:val="18"/>
          <w:szCs w:val="18"/>
          <w:color w:val="auto"/>
        </w:rPr>
      </w:pPr>
    </w:p>
    <w:p>
      <w:pPr>
        <w:jc w:val="both"/>
        <w:ind w:firstLine="656"/>
        <w:spacing w:after="0" w:line="238" w:lineRule="auto"/>
        <w:tabs>
          <w:tab w:leader="none" w:pos="103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Commitments in respect of Incremental Term Loans, Incremental Revolving Commitment Increases and Additional/Replacement Revolving Commitments shall become Commitments (or in the case of an Incremental Revolving Commitment Increase to be provided by an existing Lender with a Revolving Commitment, an increase in such Lender’s applicable Revolving Commitment) under this Agreement pursuant to an amendment (an “</w:t>
      </w:r>
      <w:r>
        <w:rPr>
          <w:rFonts w:ascii="Arial" w:cs="Arial" w:eastAsia="Arial" w:hAnsi="Arial"/>
          <w:sz w:val="16"/>
          <w:szCs w:val="16"/>
          <w:u w:val="single" w:color="auto"/>
          <w:color w:val="auto"/>
        </w:rPr>
        <w:t>Incremental Facility Amendment</w:t>
      </w:r>
      <w:r>
        <w:rPr>
          <w:rFonts w:ascii="Arial" w:cs="Arial" w:eastAsia="Arial" w:hAnsi="Arial"/>
          <w:sz w:val="16"/>
          <w:szCs w:val="16"/>
          <w:color w:val="auto"/>
        </w:rPr>
        <w:t>”) to this Agreement and, as appropriate, the other Loan Documents, executed by the Borrower and any applicable Subsidiary Loan Party, each Lender agreeing to provide such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obligated to provide any loans or commitments under any Incremental Facility unless it so agrees), if any, each Additional Lender, if any, the Administrative Agent (such consent not to be unreasonably withheld or delayed) and, in the case of Incremental Revolving Commitment Increases, each Issuing Bank (in each case, such consent not to be unreasonably withheld or delayed). Incremental Term Loans and loans under Incremental Revolving Commitment Increases and Additional/Replacement Revolving Commitments shall be a “Loan” for all purposes of this Agreement and the other Loan Documents. The Incremental Facility Amendment may, without the consent of any other Lenders, effect such amendments to this Agreement and the other Loan Documents as may be necessary, appropriate or advisable (including changing the amortization schedule or extending the call protection or other terms of existing Term Loans in a manner required to make the Incremental Term Loans fungible with such Term Loans), in the reasonable opinion of the Administrative Agent and the Borrower, to effect the provisions of this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(including, in connection with an Incremental Revolving Commitment Increase, to reallocate Revolving Exposure on a pro rata basis among the relevant Revolving Lenders). The effectiveness of any Incremental Facility Amendment and the occurrence of any credit event (including the making of a Loan and the issuance, increase in the amount, or extension of a letter of credit thereunder) pursuant to such Incremental Facility Amendment may be subject to the satisfaction of such additional conditions as the parties thereto shall agree. Holdings, the Borrower and any Restricted Subsidiary may use the proceeds, if any, of the Incremental Term Loans, Incremental Revolving Commitment Increases and Additional/Replacement Revolving Commitments for any purpose not prohibited by this Agreement.</w:t>
      </w:r>
    </w:p>
    <w:p>
      <w:pPr>
        <w:spacing w:after="0" w:line="171" w:lineRule="exact"/>
        <w:rPr>
          <w:rFonts w:ascii="Arial" w:cs="Arial" w:eastAsia="Arial" w:hAnsi="Arial"/>
          <w:sz w:val="16"/>
          <w:szCs w:val="16"/>
          <w:color w:val="auto"/>
        </w:rPr>
      </w:pPr>
    </w:p>
    <w:p>
      <w:pPr>
        <w:ind w:left="660" w:right="300" w:hanging="4"/>
        <w:spacing w:after="0" w:line="461" w:lineRule="auto"/>
        <w:tabs>
          <w:tab w:leader="none" w:pos="105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to the contrary. SECTION 2.21 Refinancing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-135255</wp:posOffset>
            </wp:positionV>
            <wp:extent cx="1304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jc w:val="both"/>
        <w:ind w:firstLine="656"/>
        <w:spacing w:after="0" w:line="226" w:lineRule="auto"/>
        <w:tabs>
          <w:tab w:leader="none" w:pos="107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At any time after the Effective Date, the Borrower may obtain, from any Lender or any Additional Lender, Credit Agreement Refinancing Indebtedness in respect of (a) all or any portion of any Class of Term Loans then outstanding under this Agreement (which for purposes of this clause (a) will be deemed to include any then outstanding Other Term Loans) or (b) all or any portion of the Revolving Loans (or unused Revolving Commitments) under this Agreement (which for purposes of this clause (b) will be deemed to include any then outstanding Other Revolving Loans, Other Revolving Commitments, Incremental Revolving Loans and Additional/Replacement Revolving Commitments), in the form of (i) Other Term Loans or Other Term Commitments or (ii) Other Revolving Loans or Other Revolving Commitments, as the case may be, in each case pursuant to a Refinancing Amendment;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Net Proceeds, if any, of such Credit Agreement Refinancing Indebtedness shall be applied, substantially concurrently with the incurrence thereof, to the prepayment of outstanding Term Loans or reduction of Revolving Commitments being so refinanced,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without limitation, the terms and conditions applicable to such Credit Agreement Refinancing Indebtedness may provide for any additional or different financial or other covenants or other provisions that are agreed between the Borrower and the Lenders thereof and applicable only during periods after the Latest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94</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Date that is in effect on the date such Credit Agreement Refinancing Indebtedness is issued, incurred or obtained. Each Class of Credit Agreement Refinancing Indebtedness incurred under this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shall be in an aggregate principal amount that is (x) not less than $5,000,000 in the case of Other Term Loans or $5,000,000 in the case of Other Revolving Loans and (y) an integral multiple of $1,000,000 in excess thereof (in each case unless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Borrower and the Administrative Agent otherwise agree). Any Refinancing Amendment may provide for the issuance of Letters of Credit for the account of the Borrower, pursuant to any Other Revolving Commitments established thereby, on terms substantially equivalent to the terms applicable to Letters of Credit under the Revolving Commitments. The Administrative Agent shall promptly notify each applicable Lender as to the effectiveness of each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Revolving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Loans, Other Revolving Commitments and/or Other Term Commitments). Any Refinancing Amendment may, without the consent of any other Lenders, effect such amendments to this Agreement and the other Loan Documents as may be necessary or appropriate, in the reasonable opinion of the Administrative Agent and the Borrower, to effect the provisions of this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(including changing the amortization schedule or extending the call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protection or other terms of existing Term Loans in a manner required to make the Other Term Loans fungible with such Term Loans).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accordance with the terms of such Refinancing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spacing w:after="0" w:line="176" w:lineRule="exact"/>
        <w:rPr>
          <w:sz w:val="20"/>
          <w:szCs w:val="20"/>
          <w:color w:val="auto"/>
        </w:rPr>
      </w:pPr>
    </w:p>
    <w:p>
      <w:pPr>
        <w:ind w:left="660" w:right="300" w:hanging="4"/>
        <w:spacing w:after="0" w:line="453" w:lineRule="auto"/>
        <w:tabs>
          <w:tab w:leader="none" w:pos="105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to the contrary. SECTION 2.22 Defaulting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-126365</wp:posOffset>
            </wp:positionV>
            <wp:extent cx="9994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ind w:firstLine="656"/>
        <w:spacing w:after="0" w:line="246" w:lineRule="auto"/>
        <w:tabs>
          <w:tab w:leader="none" w:pos="1044"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56" w:lineRule="exact"/>
        <w:rPr>
          <w:rFonts w:ascii="Arial" w:cs="Arial" w:eastAsia="Arial" w:hAnsi="Arial"/>
          <w:sz w:val="18"/>
          <w:szCs w:val="18"/>
          <w:color w:val="auto"/>
        </w:rPr>
      </w:pPr>
    </w:p>
    <w:p>
      <w:pPr>
        <w:ind w:left="660" w:firstLine="903"/>
        <w:spacing w:after="0" w:line="235" w:lineRule="auto"/>
        <w:tabs>
          <w:tab w:leader="none" w:pos="1987" w:val="left"/>
        </w:tabs>
        <w:numPr>
          <w:ilvl w:val="1"/>
          <w:numId w:val="153"/>
        </w:numPr>
        <w:rPr>
          <w:rFonts w:ascii="Arial" w:cs="Arial" w:eastAsia="Arial" w:hAnsi="Arial"/>
          <w:sz w:val="18"/>
          <w:szCs w:val="18"/>
          <w:color w:val="010000"/>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75" w:lineRule="exact"/>
        <w:rPr>
          <w:rFonts w:ascii="Arial" w:cs="Arial" w:eastAsia="Arial" w:hAnsi="Arial"/>
          <w:sz w:val="18"/>
          <w:szCs w:val="18"/>
          <w:color w:val="010000"/>
        </w:rPr>
      </w:pPr>
    </w:p>
    <w:p>
      <w:pPr>
        <w:jc w:val="both"/>
        <w:ind w:left="660" w:firstLine="903"/>
        <w:spacing w:after="0" w:line="224" w:lineRule="auto"/>
        <w:tabs>
          <w:tab w:leader="none" w:pos="2072" w:val="left"/>
        </w:tabs>
        <w:numPr>
          <w:ilvl w:val="1"/>
          <w:numId w:val="153"/>
        </w:numPr>
        <w:rPr>
          <w:rFonts w:ascii="Arial" w:cs="Arial" w:eastAsia="Arial" w:hAnsi="Arial"/>
          <w:sz w:val="17"/>
          <w:szCs w:val="17"/>
          <w:color w:val="010000"/>
        </w:rPr>
      </w:pPr>
      <w:r>
        <w:rPr>
          <w:rFonts w:ascii="Arial" w:cs="Arial" w:eastAsia="Arial" w:hAnsi="Arial"/>
          <w:sz w:val="17"/>
          <w:szCs w:val="17"/>
          <w:u w:val="single" w:color="auto"/>
          <w:color w:val="auto"/>
        </w:rPr>
        <w:t>Reallocation of Payments</w:t>
      </w:r>
      <w:r>
        <w:rPr>
          <w:rFonts w:ascii="Arial" w:cs="Arial" w:eastAsia="Arial" w:hAnsi="Arial"/>
          <w:sz w:val="17"/>
          <w:szCs w:val="17"/>
          <w:color w:val="auto"/>
        </w:rPr>
        <w:t xml:space="preserve">. Subject to the last sentence of </w:t>
      </w:r>
      <w:r>
        <w:rPr>
          <w:rFonts w:ascii="Arial" w:cs="Arial" w:eastAsia="Arial" w:hAnsi="Arial"/>
          <w:sz w:val="17"/>
          <w:szCs w:val="17"/>
          <w:u w:val="single" w:color="auto"/>
          <w:color w:val="auto"/>
        </w:rPr>
        <w:t>Section 2.11(f)</w:t>
      </w:r>
      <w:r>
        <w:rPr>
          <w:rFonts w:ascii="Arial" w:cs="Arial" w:eastAsia="Arial" w:hAnsi="Arial"/>
          <w:sz w:val="17"/>
          <w:szCs w:val="17"/>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otherwise, and including any amounts made available to the Administrative Agent by that Defaulting Lender pursuant to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any amounts owing by that Defaulting Lender to the Administrative Agent hereunder;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in the case of a Revolving Lender, to the payment on a pro rata basis of any amounts owing by that Defaulting Lender to each Issuing Bank hereunder;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in the case of a Revolving Lender, if so determined by the Administrative Agent and the Borrower, to be held in a non-interest bearing deposit account and released in order to satisfy obligations of that Defaulting Lender to fund Loans under this Agreement;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to the payment of any amounts owing to the Lenders or the Issuing Banks as a result of any judgment of a court of competent jurisdiction obtained by any Lender, such Issuing Bank against that Defaulting Lender as a result of that Defaulting Lender’s breach of its obligations under this Agreement;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Arial" w:cs="Arial" w:eastAsia="Arial" w:hAnsi="Arial"/>
          <w:sz w:val="17"/>
          <w:szCs w:val="17"/>
          <w:u w:val="single" w:color="auto"/>
          <w:color w:val="auto"/>
        </w:rPr>
        <w:t>seventh</w:t>
      </w:r>
      <w:r>
        <w:rPr>
          <w:rFonts w:ascii="Arial" w:cs="Arial" w:eastAsia="Arial" w:hAnsi="Arial"/>
          <w:sz w:val="17"/>
          <w:szCs w:val="17"/>
          <w:color w:val="auto"/>
        </w:rPr>
        <w:t xml:space="preserve">, to that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payment is a payment of the principal amount of any Loans or LC Disbursements and such Lender is a Defaulting Lender under clause (a) of the definition thereof, such payment shall be applied solely to pay the relevant Loans of, and LC Disbursements owed to, the relevant non-Defaulting Lenders on a pro rata basis prior to being applied pursuant to </w:t>
      </w:r>
      <w:r>
        <w:rPr>
          <w:rFonts w:ascii="Arial" w:cs="Arial" w:eastAsia="Arial" w:hAnsi="Arial"/>
          <w:sz w:val="17"/>
          <w:szCs w:val="17"/>
          <w:u w:val="single" w:color="auto"/>
          <w:color w:val="auto"/>
        </w:rPr>
        <w:t>Section 2.05(j)</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2.22(a)(ii)</w:t>
      </w:r>
      <w:r>
        <w:rPr>
          <w:rFonts w:ascii="Arial" w:cs="Arial" w:eastAsia="Arial" w:hAnsi="Arial"/>
          <w:sz w:val="17"/>
          <w:szCs w:val="17"/>
          <w:color w:val="auto"/>
        </w:rPr>
        <w:t>. Any payments, prepayments or other amounts paid or payable to a Defaulting Lender that are applied (or held) to pay amounts owed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95</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63"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color w:val="auto"/>
        </w:rPr>
        <w:t xml:space="preserve">Defaulting Lender or to post Cash Collateral pursuant to </w:t>
      </w:r>
      <w:r>
        <w:rPr>
          <w:rFonts w:ascii="Arial" w:cs="Arial" w:eastAsia="Arial" w:hAnsi="Arial"/>
          <w:sz w:val="18"/>
          <w:szCs w:val="18"/>
          <w:u w:val="single" w:color="auto"/>
          <w:color w:val="auto"/>
        </w:rPr>
        <w:t>Section 2.05(j)</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162" w:lineRule="exact"/>
        <w:rPr>
          <w:sz w:val="20"/>
          <w:szCs w:val="20"/>
          <w:color w:val="auto"/>
        </w:rPr>
      </w:pPr>
    </w:p>
    <w:p>
      <w:pPr>
        <w:jc w:val="both"/>
        <w:ind w:left="660" w:firstLine="903"/>
        <w:spacing w:after="0" w:line="223" w:lineRule="auto"/>
        <w:tabs>
          <w:tab w:leader="none" w:pos="2197" w:val="left"/>
        </w:tabs>
        <w:numPr>
          <w:ilvl w:val="1"/>
          <w:numId w:val="154"/>
        </w:numPr>
        <w:rPr>
          <w:rFonts w:ascii="Arial" w:cs="Arial" w:eastAsia="Arial" w:hAnsi="Arial"/>
          <w:sz w:val="18"/>
          <w:szCs w:val="18"/>
          <w:color w:val="010000"/>
        </w:rPr>
      </w:pPr>
      <w:r>
        <w:rPr>
          <w:rFonts w:ascii="Arial" w:cs="Arial" w:eastAsia="Arial" w:hAnsi="Arial"/>
          <w:sz w:val="18"/>
          <w:szCs w:val="18"/>
          <w:u w:val="single" w:color="auto"/>
          <w:color w:val="auto"/>
        </w:rPr>
        <w:t>Certain Fees</w:t>
      </w:r>
      <w:r>
        <w:rPr>
          <w:rFonts w:ascii="Arial" w:cs="Arial" w:eastAsia="Arial" w:hAnsi="Arial"/>
          <w:sz w:val="18"/>
          <w:szCs w:val="18"/>
          <w:color w:val="auto"/>
        </w:rPr>
        <w:t xml:space="preserve">. That Defaulting Lender (x) shall not be entitled to receive or accrue any commitment fee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w:t>
      </w:r>
      <w:r>
        <w:rPr>
          <w:rFonts w:ascii="Arial" w:cs="Arial" w:eastAsia="Arial" w:hAnsi="Arial"/>
          <w:sz w:val="18"/>
          <w:szCs w:val="18"/>
          <w:u w:val="single" w:color="auto"/>
          <w:color w:val="auto"/>
        </w:rPr>
        <w:t>Section 2.12(b)</w:t>
      </w:r>
      <w:r>
        <w:rPr>
          <w:rFonts w:ascii="Arial" w:cs="Arial" w:eastAsia="Arial" w:hAnsi="Arial"/>
          <w:sz w:val="18"/>
          <w:szCs w:val="18"/>
          <w:color w:val="auto"/>
        </w:rPr>
        <w:t>.</w:t>
      </w:r>
    </w:p>
    <w:p>
      <w:pPr>
        <w:spacing w:after="0" w:line="175" w:lineRule="exact"/>
        <w:rPr>
          <w:rFonts w:ascii="Arial" w:cs="Arial" w:eastAsia="Arial" w:hAnsi="Arial"/>
          <w:sz w:val="18"/>
          <w:szCs w:val="18"/>
          <w:color w:val="010000"/>
        </w:rPr>
      </w:pPr>
    </w:p>
    <w:p>
      <w:pPr>
        <w:jc w:val="both"/>
        <w:ind w:left="660" w:firstLine="903"/>
        <w:spacing w:after="0" w:line="229" w:lineRule="auto"/>
        <w:tabs>
          <w:tab w:leader="none" w:pos="2019" w:val="left"/>
        </w:tabs>
        <w:numPr>
          <w:ilvl w:val="1"/>
          <w:numId w:val="154"/>
        </w:numPr>
        <w:rPr>
          <w:rFonts w:ascii="Arial" w:cs="Arial" w:eastAsia="Arial" w:hAnsi="Arial"/>
          <w:sz w:val="17"/>
          <w:szCs w:val="17"/>
          <w:color w:val="010000"/>
        </w:rPr>
      </w:pPr>
      <w:r>
        <w:rPr>
          <w:rFonts w:ascii="Arial" w:cs="Arial" w:eastAsia="Arial" w:hAnsi="Arial"/>
          <w:sz w:val="17"/>
          <w:szCs w:val="17"/>
          <w:u w:val="single" w:color="auto"/>
          <w:color w:val="auto"/>
        </w:rPr>
        <w:t>Reallocation of Applicable Percentages to Reduce Fronting Exposure</w:t>
      </w:r>
      <w:r>
        <w:rPr>
          <w:rFonts w:ascii="Arial" w:cs="Arial" w:eastAsia="Arial" w:hAnsi="Arial"/>
          <w:sz w:val="17"/>
          <w:szCs w:val="17"/>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the “Applicable Percentage” of each non-Defaulting Lender shall be computed without giving effect to the Revolving Commitment of that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obligation of each non-Defaulting Lender to acquire, refinance or fund participations in Letters of Credit shall not exceed the positive difference, if any, of (1) the Revolving Commitment of that non-Defaulting Lender minus (2) the aggregate principal amount of the Revolving Loans of that Lender.</w:t>
      </w:r>
    </w:p>
    <w:p>
      <w:pPr>
        <w:spacing w:after="0" w:line="176" w:lineRule="exact"/>
        <w:rPr>
          <w:rFonts w:ascii="Arial" w:cs="Arial" w:eastAsia="Arial" w:hAnsi="Arial"/>
          <w:sz w:val="17"/>
          <w:szCs w:val="17"/>
          <w:color w:val="010000"/>
        </w:rPr>
      </w:pPr>
    </w:p>
    <w:p>
      <w:pPr>
        <w:jc w:val="both"/>
        <w:ind w:firstLine="656"/>
        <w:spacing w:after="0" w:line="227" w:lineRule="auto"/>
        <w:tabs>
          <w:tab w:leader="none" w:pos="1100"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and each Issuing Bank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the other Lenders or take such other actions as the Administrative Agent may determine to be necessary to cause the Loans and funded and unfunded participations in Letters of Credit to be held on a pro rata basis by the Lenders in accordance with their Applicable Percentages (without giving effect to </w:t>
      </w:r>
      <w:r>
        <w:rPr>
          <w:rFonts w:ascii="Arial" w:cs="Arial" w:eastAsia="Arial" w:hAnsi="Arial"/>
          <w:sz w:val="17"/>
          <w:szCs w:val="17"/>
          <w:u w:val="single" w:color="auto"/>
          <w:color w:val="auto"/>
        </w:rPr>
        <w:t>Section 2.22(a)(iv)</w:t>
      </w:r>
      <w:r>
        <w:rPr>
          <w:rFonts w:ascii="Arial" w:cs="Arial" w:eastAsia="Arial" w:hAnsi="Arial"/>
          <w:sz w:val="17"/>
          <w:szCs w:val="17"/>
          <w:color w:val="auto"/>
        </w:rPr>
        <w:t xml:space="preserve">), whereupon that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Holdings or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SECTION 2.23 Illegality. If any Lender determines that any law has made it unlawful, or that any Governmental Authority has asserted that it is unlawful, for any Lender or its applicable Lending Office to make, maintain or fund Loans whose interest is determined by reference to </w:t>
      </w:r>
      <w:r>
        <w:rPr>
          <w:rFonts w:ascii="Arial" w:cs="Arial" w:eastAsia="Arial" w:hAnsi="Arial"/>
          <w:sz w:val="16"/>
          <w:szCs w:val="16"/>
          <w:color w:val="FF0000"/>
          <w:strike w:val="1"/>
        </w:rPr>
        <w:t>the</w:t>
      </w:r>
      <w:r>
        <w:rPr>
          <w:rFonts w:ascii="Arial" w:cs="Arial" w:eastAsia="Arial" w:hAnsi="Arial"/>
          <w:sz w:val="16"/>
          <w:szCs w:val="16"/>
          <w:color w:val="auto"/>
        </w:rPr>
        <w:t xml:space="preserve"> Adjusted </w:t>
      </w:r>
      <w:r>
        <w:rPr>
          <w:rFonts w:ascii="Arial" w:cs="Arial" w:eastAsia="Arial" w:hAnsi="Arial"/>
          <w:sz w:val="16"/>
          <w:szCs w:val="16"/>
          <w:color w:val="FF0000"/>
          <w:strike w:val="1"/>
        </w:rPr>
        <w:t>LIBO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-120015</wp:posOffset>
            </wp:positionV>
            <wp:extent cx="5257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525780"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FF0000"/>
          <w:strike w:val="1"/>
        </w:rPr>
        <w:t>Rate</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000000"/>
        </w:rPr>
        <w:t>, or to determine or charge interest rates based upon</w:t>
      </w:r>
      <w:r>
        <w:rPr>
          <w:rFonts w:ascii="Arial" w:cs="Arial" w:eastAsia="Arial" w:hAnsi="Arial"/>
          <w:sz w:val="16"/>
          <w:szCs w:val="16"/>
          <w:color w:val="FF0000"/>
        </w:rPr>
        <w:t xml:space="preserve"> </w:t>
      </w:r>
      <w:r>
        <w:rPr>
          <w:rFonts w:ascii="Arial" w:cs="Arial" w:eastAsia="Arial" w:hAnsi="Arial"/>
          <w:sz w:val="16"/>
          <w:szCs w:val="16"/>
          <w:color w:val="FF0000"/>
          <w:strike w:val="1"/>
        </w:rPr>
        <w:t>the</w:t>
      </w:r>
      <w:r>
        <w:rPr>
          <w:rFonts w:ascii="Arial" w:cs="Arial" w:eastAsia="Arial" w:hAnsi="Arial"/>
          <w:sz w:val="16"/>
          <w:szCs w:val="16"/>
          <w:color w:val="FF0000"/>
        </w:rPr>
        <w:t xml:space="preserve"> </w:t>
      </w:r>
      <w:r>
        <w:rPr>
          <w:rFonts w:ascii="Arial" w:cs="Arial" w:eastAsia="Arial" w:hAnsi="Arial"/>
          <w:sz w:val="16"/>
          <w:szCs w:val="16"/>
          <w:color w:val="000000"/>
        </w:rPr>
        <w:t>Adjusted</w:t>
      </w:r>
      <w:r>
        <w:rPr>
          <w:rFonts w:ascii="Arial" w:cs="Arial" w:eastAsia="Arial" w:hAnsi="Arial"/>
          <w:sz w:val="16"/>
          <w:szCs w:val="16"/>
          <w:color w:val="FF0000"/>
        </w:rPr>
        <w:t xml:space="preserve"> </w:t>
      </w:r>
      <w:r>
        <w:rPr>
          <w:rFonts w:ascii="Arial" w:cs="Arial" w:eastAsia="Arial" w:hAnsi="Arial"/>
          <w:sz w:val="16"/>
          <w:szCs w:val="16"/>
          <w:color w:val="FF0000"/>
          <w:strike w:val="1"/>
        </w:rPr>
        <w:t>LIBO Rate</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000000"/>
        </w:rPr>
        <w:t>, then, on notice thereof by such Lender to the</w:t>
      </w:r>
      <w:r>
        <w:rPr>
          <w:rFonts w:ascii="Arial" w:cs="Arial" w:eastAsia="Arial" w:hAnsi="Arial"/>
          <w:sz w:val="16"/>
          <w:szCs w:val="16"/>
          <w:color w:val="FF0000"/>
        </w:rPr>
        <w:t xml:space="preserve"> </w:t>
      </w:r>
      <w:r>
        <w:rPr>
          <w:rFonts w:ascii="Arial" w:cs="Arial" w:eastAsia="Arial" w:hAnsi="Arial"/>
          <w:sz w:val="16"/>
          <w:szCs w:val="16"/>
          <w:color w:val="000000"/>
        </w:rPr>
        <w:t xml:space="preserve">Borrower through the Administrative Agent, any obligation of such Lender to make or continue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000000"/>
        </w:rPr>
        <w:t xml:space="preserve"> Loans or to convert ABR Loans to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000000"/>
        </w:rPr>
        <w:t xml:space="preserve"> Loans shall be suspended until such Lender notifies the Administrative Agent and the Borrower that the circumstances giving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rise to such determination no longer exist. Upon receipt of such notice, (x) the Borrower shall, upon three (3) Business Days’ notice from such Lender (with a copy to the Administrative Agent), in the case of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Loans, prepay or, if applicable in the case of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Loans, convert all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Loans of such Lender to ABR Loans either on the last day of the Interest Period therefor, if such Lender may lawfully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continue to maintain such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Loans to such day, or immediately, if such Lender may not lawfully continue to maintain such </w:t>
      </w:r>
      <w:r>
        <w:rPr>
          <w:rFonts w:ascii="Arial" w:cs="Arial" w:eastAsia="Arial" w:hAnsi="Arial"/>
          <w:sz w:val="16"/>
          <w:szCs w:val="16"/>
          <w:color w:val="FF0000"/>
          <w:strike w:val="1"/>
        </w:rPr>
        <w:t>Eurocurrency</w:t>
      </w:r>
      <w:r>
        <w:rPr>
          <w:rFonts w:ascii="Arial" w:cs="Arial" w:eastAsia="Arial" w:hAnsi="Arial"/>
          <w:sz w:val="16"/>
          <w:szCs w:val="16"/>
          <w:color w:val="0000FF"/>
          <w:highlight w:val="lightGray"/>
        </w:rPr>
        <w:t>Term SO</w:t>
      </w:r>
      <w:r>
        <w:rPr>
          <w:rFonts w:ascii="Arial" w:cs="Arial" w:eastAsia="Arial" w:hAnsi="Arial"/>
          <w:sz w:val="16"/>
          <w:szCs w:val="16"/>
          <w:u w:val="single" w:color="auto"/>
          <w:color w:val="0000FF"/>
          <w:highlight w:val="lightGray"/>
        </w:rPr>
        <w:t>FR</w:t>
      </w:r>
      <w:r>
        <w:rPr>
          <w:rFonts w:ascii="Arial" w:cs="Arial" w:eastAsia="Arial" w:hAnsi="Arial"/>
          <w:sz w:val="16"/>
          <w:szCs w:val="16"/>
          <w:color w:val="FF0000"/>
        </w:rPr>
        <w:t xml:space="preserve"> </w:t>
      </w:r>
      <w:r>
        <w:rPr>
          <w:rFonts w:ascii="Arial" w:cs="Arial" w:eastAsia="Arial" w:hAnsi="Arial"/>
          <w:sz w:val="16"/>
          <w:szCs w:val="16"/>
          <w:color w:val="000000"/>
        </w:rPr>
        <w:t>Loans and (y) if such notice asserts the illegality of such Lender determining or charging interest rates based upon</w:t>
      </w:r>
      <w:r>
        <w:rPr>
          <w:rFonts w:ascii="Arial" w:cs="Arial" w:eastAsia="Arial" w:hAnsi="Arial"/>
          <w:sz w:val="16"/>
          <w:szCs w:val="16"/>
          <w:color w:val="FF0000"/>
        </w:rPr>
        <w:t xml:space="preserve"> </w:t>
      </w:r>
      <w:r>
        <w:rPr>
          <w:rFonts w:ascii="Arial" w:cs="Arial" w:eastAsia="Arial" w:hAnsi="Arial"/>
          <w:sz w:val="16"/>
          <w:szCs w:val="16"/>
          <w:color w:val="FF0000"/>
          <w:strike w:val="1"/>
        </w:rPr>
        <w:t>the</w:t>
      </w:r>
      <w:r>
        <w:rPr>
          <w:rFonts w:ascii="Arial" w:cs="Arial" w:eastAsia="Arial" w:hAnsi="Arial"/>
          <w:sz w:val="16"/>
          <w:szCs w:val="16"/>
          <w:color w:val="FF0000"/>
        </w:rPr>
        <w:t xml:space="preserve"> </w:t>
      </w:r>
      <w:r>
        <w:rPr>
          <w:rFonts w:ascii="Arial" w:cs="Arial" w:eastAsia="Arial" w:hAnsi="Arial"/>
          <w:sz w:val="16"/>
          <w:szCs w:val="16"/>
          <w:color w:val="000000"/>
        </w:rPr>
        <w:t>Adjusted</w:t>
      </w:r>
      <w:r>
        <w:rPr>
          <w:rFonts w:ascii="Arial" w:cs="Arial" w:eastAsia="Arial" w:hAnsi="Arial"/>
          <w:sz w:val="16"/>
          <w:szCs w:val="16"/>
          <w:color w:val="FF0000"/>
        </w:rPr>
        <w:t xml:space="preserve"> </w:t>
      </w:r>
      <w:r>
        <w:rPr>
          <w:rFonts w:ascii="Arial" w:cs="Arial" w:eastAsia="Arial" w:hAnsi="Arial"/>
          <w:sz w:val="16"/>
          <w:szCs w:val="16"/>
          <w:color w:val="FF0000"/>
          <w:strike w:val="1"/>
        </w:rPr>
        <w:t>LIBO Rate</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000000"/>
        </w:rPr>
        <w:t>, the Administrative Agent shall, during the period of such suspension, compute the Alternate Base Rate applicable to such Lender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without reference to </w:t>
      </w:r>
      <w:r>
        <w:rPr>
          <w:rFonts w:ascii="Arial" w:cs="Arial" w:eastAsia="Arial" w:hAnsi="Arial"/>
          <w:sz w:val="16"/>
          <w:szCs w:val="16"/>
          <w:color w:val="FF0000"/>
          <w:strike w:val="1"/>
        </w:rPr>
        <w:t>the</w:t>
      </w:r>
      <w:r>
        <w:rPr>
          <w:rFonts w:ascii="Arial" w:cs="Arial" w:eastAsia="Arial" w:hAnsi="Arial"/>
          <w:sz w:val="16"/>
          <w:szCs w:val="16"/>
          <w:color w:val="auto"/>
        </w:rPr>
        <w:t xml:space="preserve"> Adjusted </w:t>
      </w:r>
      <w:r>
        <w:rPr>
          <w:rFonts w:ascii="Arial" w:cs="Arial" w:eastAsia="Arial" w:hAnsi="Arial"/>
          <w:sz w:val="16"/>
          <w:szCs w:val="16"/>
          <w:color w:val="FF0000"/>
          <w:strike w:val="1"/>
        </w:rPr>
        <w:t>LIBO Rate</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component thereof until the Administrative Agent is advised in writing by such Lender that it is no longer illegal for such Lender to determine or charge interest rates based upon </w:t>
      </w:r>
      <w:r>
        <w:rPr>
          <w:rFonts w:ascii="Arial" w:cs="Arial" w:eastAsia="Arial" w:hAnsi="Arial"/>
          <w:sz w:val="16"/>
          <w:szCs w:val="16"/>
          <w:color w:val="FF0000"/>
          <w:strike w:val="1"/>
        </w:rPr>
        <w:t>the</w:t>
      </w:r>
      <w:r>
        <w:rPr>
          <w:rFonts w:ascii="Arial" w:cs="Arial" w:eastAsia="Arial" w:hAnsi="Arial"/>
          <w:sz w:val="16"/>
          <w:szCs w:val="16"/>
          <w:color w:val="auto"/>
        </w:rPr>
        <w:t xml:space="preserve"> Adjusted </w:t>
      </w:r>
      <w:r>
        <w:rPr>
          <w:rFonts w:ascii="Arial" w:cs="Arial" w:eastAsia="Arial" w:hAnsi="Arial"/>
          <w:sz w:val="16"/>
          <w:szCs w:val="16"/>
          <w:color w:val="FF0000"/>
          <w:strike w:val="1"/>
        </w:rPr>
        <w:t>LIBO Rate</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Each Lender agrees to notify the Administrative Agent and the Borrower in writing promptly upon becoming aware that it is no longer illegal for such Lender to determine or charge interest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rates based upon </w:t>
      </w:r>
      <w:r>
        <w:rPr>
          <w:rFonts w:ascii="Arial" w:cs="Arial" w:eastAsia="Arial" w:hAnsi="Arial"/>
          <w:sz w:val="18"/>
          <w:szCs w:val="18"/>
          <w:color w:val="FF0000"/>
          <w:strike w:val="1"/>
        </w:rPr>
        <w:t>the</w:t>
      </w:r>
      <w:r>
        <w:rPr>
          <w:rFonts w:ascii="Arial" w:cs="Arial" w:eastAsia="Arial" w:hAnsi="Arial"/>
          <w:sz w:val="18"/>
          <w:szCs w:val="18"/>
          <w:color w:val="auto"/>
        </w:rPr>
        <w:t xml:space="preserve"> Adjusted </w:t>
      </w:r>
      <w:r>
        <w:rPr>
          <w:rFonts w:ascii="Arial" w:cs="Arial" w:eastAsia="Arial" w:hAnsi="Arial"/>
          <w:sz w:val="18"/>
          <w:szCs w:val="18"/>
          <w:color w:val="FF0000"/>
          <w:strike w:val="1"/>
        </w:rPr>
        <w:t>LIBO Rate</w:t>
      </w:r>
      <w:r>
        <w:rPr>
          <w:rFonts w:ascii="Arial" w:cs="Arial" w:eastAsia="Arial" w:hAnsi="Arial"/>
          <w:sz w:val="18"/>
          <w:szCs w:val="18"/>
          <w:u w:val="single" w:color="auto"/>
          <w:color w:val="0000FF"/>
          <w:highlight w:val="lightGray"/>
        </w:rPr>
        <w:t>Term SOFR</w:t>
      </w:r>
      <w:r>
        <w:rPr>
          <w:rFonts w:ascii="Arial" w:cs="Arial" w:eastAsia="Arial" w:hAnsi="Arial"/>
          <w:sz w:val="18"/>
          <w:szCs w:val="18"/>
          <w:color w:val="auto"/>
        </w:rPr>
        <w:t>. Upon any such prepayment or conversion, the Borrower shall also pay accrued interest on the amount so prepaid or converted.</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2.24</w:t>
      </w:r>
      <w:r>
        <w:rPr>
          <w:sz w:val="20"/>
          <w:szCs w:val="20"/>
          <w:color w:val="auto"/>
        </w:rPr>
        <w:tab/>
      </w:r>
      <w:r>
        <w:rPr>
          <w:rFonts w:ascii="Arial" w:cs="Arial" w:eastAsia="Arial" w:hAnsi="Arial"/>
          <w:sz w:val="17"/>
          <w:szCs w:val="17"/>
          <w:color w:val="auto"/>
        </w:rPr>
        <w:t>Loan Modification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2928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1292860" cy="8890"/>
                    </a:xfrm>
                    <a:prstGeom prst="rect">
                      <a:avLst/>
                    </a:prstGeom>
                    <a:noFill/>
                  </pic:spPr>
                </pic:pic>
              </a:graphicData>
            </a:graphic>
          </wp:anchor>
        </w:drawing>
      </w:r>
    </w:p>
    <w:p>
      <w:pPr>
        <w:spacing w:after="0" w:line="178" w:lineRule="exact"/>
        <w:rPr>
          <w:sz w:val="20"/>
          <w:szCs w:val="20"/>
          <w:color w:val="auto"/>
        </w:rPr>
      </w:pPr>
    </w:p>
    <w:p>
      <w:pPr>
        <w:jc w:val="both"/>
        <w:ind w:firstLine="656"/>
        <w:spacing w:after="0" w:line="216" w:lineRule="auto"/>
        <w:tabs>
          <w:tab w:leader="none" w:pos="103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At any time after the Effective Date, the Borrower may on one or more occasions, by written notice to the Administrative Agent, make one or more offers (each, a “</w:t>
      </w:r>
      <w:r>
        <w:rPr>
          <w:rFonts w:ascii="Arial" w:cs="Arial" w:eastAsia="Arial" w:hAnsi="Arial"/>
          <w:sz w:val="18"/>
          <w:szCs w:val="18"/>
          <w:u w:val="single" w:color="auto"/>
          <w:color w:val="auto"/>
        </w:rPr>
        <w:t>Loan Modification Offer</w:t>
      </w:r>
      <w:r>
        <w:rPr>
          <w:rFonts w:ascii="Arial" w:cs="Arial" w:eastAsia="Arial" w:hAnsi="Arial"/>
          <w:sz w:val="18"/>
          <w:szCs w:val="18"/>
          <w:color w:val="auto"/>
        </w:rPr>
        <w:t>”) to all the Lenders of one or more Classes (each Class subject to such a Loan Modification Offer, an “</w:t>
      </w:r>
      <w:r>
        <w:rPr>
          <w:rFonts w:ascii="Arial" w:cs="Arial" w:eastAsia="Arial" w:hAnsi="Arial"/>
          <w:sz w:val="18"/>
          <w:szCs w:val="18"/>
          <w:u w:val="single" w:color="auto"/>
          <w:color w:val="auto"/>
        </w:rPr>
        <w:t>Affected Class</w:t>
      </w:r>
      <w:r>
        <w:rPr>
          <w:rFonts w:ascii="Arial" w:cs="Arial" w:eastAsia="Arial" w:hAnsi="Arial"/>
          <w:sz w:val="18"/>
          <w:szCs w:val="18"/>
          <w:color w:val="auto"/>
        </w:rPr>
        <w:t xml:space="preserve">”) to effect one or more Permitted Amendments relating to such Affected Class pursuant to procedures reasonably specified by the Administrative Agent and reasonably acceptable to the Borrower (including mechanics to permit conversions, cashless rollovers and exchanges by Lenders and other repayments and reborrowings of Loans of Accepting Lenders or Non-Accepting Lenders replaced in accordance with this </w:t>
      </w:r>
      <w:r>
        <w:rPr>
          <w:rFonts w:ascii="Arial" w:cs="Arial" w:eastAsia="Arial" w:hAnsi="Arial"/>
          <w:sz w:val="18"/>
          <w:szCs w:val="18"/>
          <w:u w:val="single" w:color="auto"/>
          <w:color w:val="auto"/>
        </w:rPr>
        <w:t>Section 2.24</w:t>
      </w:r>
      <w:r>
        <w:rPr>
          <w:rFonts w:ascii="Arial" w:cs="Arial" w:eastAsia="Arial" w:hAnsi="Arial"/>
          <w:sz w:val="18"/>
          <w:szCs w:val="18"/>
          <w:color w:val="auto"/>
        </w:rPr>
        <w:t>). Such notice shall set forth (i)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96</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and conditions of the requested Permitted Amendment and (ii) the date on which such Permitted Amendment is requested to become effective. Permitted Amendments shall become effective only with respect to the Loans and Commitments of the Lenders of the Affected Class that accept the applicable Loan Modification Offer (such Lenders, the “</w:t>
      </w:r>
      <w:r>
        <w:rPr>
          <w:rFonts w:ascii="Arial" w:cs="Arial" w:eastAsia="Arial" w:hAnsi="Arial"/>
          <w:sz w:val="16"/>
          <w:szCs w:val="16"/>
          <w:u w:val="single" w:color="auto"/>
          <w:color w:val="auto"/>
        </w:rPr>
        <w:t>Accepting Lenders</w:t>
      </w:r>
      <w:r>
        <w:rPr>
          <w:rFonts w:ascii="Arial" w:cs="Arial" w:eastAsia="Arial" w:hAnsi="Arial"/>
          <w:sz w:val="16"/>
          <w:szCs w:val="16"/>
          <w:color w:val="auto"/>
        </w:rPr>
        <w:t>”) and, in the case of any Accepting Lender, only with respect to such Lender’s Loans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Commitments of such Affected Class as to which such Lender’s acceptance has been made.</w:t>
      </w:r>
    </w:p>
    <w:p>
      <w:pPr>
        <w:spacing w:after="0" w:line="169" w:lineRule="exact"/>
        <w:rPr>
          <w:sz w:val="20"/>
          <w:szCs w:val="20"/>
          <w:color w:val="auto"/>
        </w:rPr>
      </w:pPr>
    </w:p>
    <w:p>
      <w:pPr>
        <w:jc w:val="both"/>
        <w:ind w:firstLine="656"/>
        <w:spacing w:after="0" w:line="227" w:lineRule="auto"/>
        <w:tabs>
          <w:tab w:leader="none" w:pos="108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A Permitted Amendment shall be effected pursuant to a Loan Modification Agreement executed and delivered by Holdings, the Borrower, each applicable Accepting Lender and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Permitted Amendment shall become effective unless Holdings and the Borrower shall have delivered to the Administrative Agent such legal opinions, board resolutions, secretary’s certificates, officer’s certificates and other documents as shall be reasonably requested by the Administrative Agent in connection therewith. The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opinion of the Administrative Agent, to give effect to the provisions of this </w:t>
      </w:r>
      <w:r>
        <w:rPr>
          <w:rFonts w:ascii="Arial" w:cs="Arial" w:eastAsia="Arial" w:hAnsi="Arial"/>
          <w:sz w:val="17"/>
          <w:szCs w:val="17"/>
          <w:u w:val="single" w:color="auto"/>
          <w:color w:val="auto"/>
        </w:rPr>
        <w:t>Section 2.24</w:t>
      </w:r>
      <w:r>
        <w:rPr>
          <w:rFonts w:ascii="Arial" w:cs="Arial" w:eastAsia="Arial" w:hAnsi="Arial"/>
          <w:sz w:val="17"/>
          <w:szCs w:val="17"/>
          <w:color w:val="auto"/>
        </w:rPr>
        <w:t>, including any amendments necessary to treat the applicable Loans and/or Commitments of the Accepting Lenders as a new or the same “Class” of loans and/or commitments hereunder and in connection with a Permitted Amendment related to Revolving Loans and/or Revolving Commitments, to reallocate, if applicable, Revolving Exposure on a pro rata basis among the relevant Revolving Lenders.</w:t>
      </w:r>
    </w:p>
    <w:p>
      <w:pPr>
        <w:spacing w:after="0" w:line="162" w:lineRule="exact"/>
        <w:rPr>
          <w:rFonts w:ascii="Arial" w:cs="Arial" w:eastAsia="Arial" w:hAnsi="Arial"/>
          <w:sz w:val="17"/>
          <w:szCs w:val="17"/>
          <w:color w:val="auto"/>
        </w:rPr>
      </w:pPr>
    </w:p>
    <w:p>
      <w:pPr>
        <w:ind w:firstLine="656"/>
        <w:spacing w:after="0" w:line="226" w:lineRule="auto"/>
        <w:tabs>
          <w:tab w:leader="none" w:pos="1028"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If, in connection with any proposed Loan Modification Offer, any Lender declines to consent to such Loan Modification Offer on the terms and by the deadline set forth in such Loan Modification Offer (each such Lender, a “</w:t>
      </w:r>
      <w:r>
        <w:rPr>
          <w:rFonts w:ascii="Arial" w:cs="Arial" w:eastAsia="Arial" w:hAnsi="Arial"/>
          <w:sz w:val="17"/>
          <w:szCs w:val="17"/>
          <w:u w:val="single" w:color="auto"/>
          <w:color w:val="auto"/>
        </w:rPr>
        <w:t>Non-Accepting Lender</w:t>
      </w:r>
      <w:r>
        <w:rPr>
          <w:rFonts w:ascii="Arial" w:cs="Arial" w:eastAsia="Arial" w:hAnsi="Arial"/>
          <w:sz w:val="17"/>
          <w:szCs w:val="17"/>
          <w:color w:val="auto"/>
        </w:rPr>
        <w:t xml:space="preserve">”) then the Borrower may, on notice to the Administrative Agent and the Non-Accepting Lender, replace such Non-Accepting Lender in whole or in part by causing such Lender to (and such Lender shall be obligated to) assign and delegate, without recourse (in accordance with and subject to the restrictions contained in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all or any part of its interests, rights and obligations under this Agreement in respect of the Loans and Commitments of the Affected Class to one or more Eligible Assignees (which Eligible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Administrative Agent nor any Lender shall have any obligation to the Borrower to find a replacement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 the applicable assignee shall have agreed to provide Loans and/or Commitments on the terms set forth in the applicable Permitted Amendment, (b) such Non-Accepting Lender shall have received payment of an amount equal to the outstanding principal of the Loans of the Affected Class assigned by it pursuant to this </w:t>
      </w:r>
      <w:r>
        <w:rPr>
          <w:rFonts w:ascii="Arial" w:cs="Arial" w:eastAsia="Arial" w:hAnsi="Arial"/>
          <w:sz w:val="17"/>
          <w:szCs w:val="17"/>
          <w:u w:val="single" w:color="auto"/>
          <w:color w:val="auto"/>
        </w:rPr>
        <w:t>Section 2.24(c)</w:t>
      </w:r>
      <w:r>
        <w:rPr>
          <w:rFonts w:ascii="Arial" w:cs="Arial" w:eastAsia="Arial" w:hAnsi="Arial"/>
          <w:sz w:val="17"/>
          <w:szCs w:val="17"/>
          <w:color w:val="auto"/>
        </w:rPr>
        <w:t>, accrued interest thereon, accrued fees and all other amounts payable to it hereunder from the Eligible Assignee (to the extent of such outstanding principal and accrued interest and fees) and (c) unless waived, the Borrower or such Eligible Assignee shall have paid to the Administrative Agent the processing and recordation fee specified in Section 9.04(b).</w:t>
      </w:r>
    </w:p>
    <w:p>
      <w:pPr>
        <w:spacing w:after="0" w:line="167" w:lineRule="exact"/>
        <w:rPr>
          <w:rFonts w:ascii="Arial" w:cs="Arial" w:eastAsia="Arial" w:hAnsi="Arial"/>
          <w:sz w:val="17"/>
          <w:szCs w:val="17"/>
          <w:color w:val="auto"/>
        </w:rPr>
      </w:pPr>
    </w:p>
    <w:p>
      <w:pPr>
        <w:ind w:firstLine="656"/>
        <w:spacing w:after="0" w:line="274" w:lineRule="auto"/>
        <w:tabs>
          <w:tab w:leader="none" w:pos="112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No rollover, conversion or exchange (or other repayment or termination) of Loans or Commitments pursuant to any Loan Modification Agreement in accordance with this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shall constitute a voluntary or mandatory payment or prepayment for purposes of this Agreement.</w:t>
      </w:r>
    </w:p>
    <w:p>
      <w:pPr>
        <w:spacing w:after="0" w:line="134" w:lineRule="exact"/>
        <w:rPr>
          <w:rFonts w:ascii="Arial" w:cs="Arial" w:eastAsia="Arial" w:hAnsi="Arial"/>
          <w:sz w:val="17"/>
          <w:szCs w:val="17"/>
          <w:color w:val="auto"/>
        </w:rPr>
      </w:pPr>
    </w:p>
    <w:p>
      <w:pPr>
        <w:ind w:left="1040" w:hanging="384"/>
        <w:spacing w:after="0"/>
        <w:tabs>
          <w:tab w:leader="none" w:pos="10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this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shall supersede any provisions in Section 2.18 or Section 9.02 to the contrary.</w:t>
      </w:r>
    </w:p>
    <w:p>
      <w:pPr>
        <w:spacing w:after="0" w:line="200" w:lineRule="exact"/>
        <w:rPr>
          <w:sz w:val="20"/>
          <w:szCs w:val="20"/>
          <w:color w:val="auto"/>
        </w:rPr>
      </w:pPr>
    </w:p>
    <w:p>
      <w:pPr>
        <w:spacing w:after="0" w:line="25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010000"/>
        </w:rPr>
        <w:t>ARTICLE III</w:t>
      </w:r>
    </w:p>
    <w:p>
      <w:pPr>
        <w:spacing w:after="0" w:line="15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REPRESENTATIONS AND WARRANTIES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(and with respect to Sections 3.01 through 3.03, Holdings) represents and warrants to the Lenders that:</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SECTION 3.01 Organization; Powers. Holdings, the Borrower and each Restricted Subsidiary is (a) duly organized, validly existing and in good standing (to the extent such concept exists in the relevant jurisdictions) under the laws of the jurisdiction of its organization, (b) has the corporate or other organizational power and authority to carry on its business as now conducted and to execute, deliver and perform its obligations under each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-230505</wp:posOffset>
            </wp:positionV>
            <wp:extent cx="11106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jc w:val="both"/>
        <w:spacing w:after="0" w:line="248" w:lineRule="auto"/>
        <w:rPr>
          <w:sz w:val="20"/>
          <w:szCs w:val="20"/>
          <w:color w:val="auto"/>
        </w:rPr>
      </w:pPr>
      <w:r>
        <w:rPr>
          <w:rFonts w:ascii="Arial" w:cs="Arial" w:eastAsia="Arial" w:hAnsi="Arial"/>
          <w:sz w:val="16"/>
          <w:szCs w:val="16"/>
          <w:color w:val="auto"/>
        </w:rPr>
        <w:t>Document to which it is a party and, (c) is qualified to do business in, and is in good standing in, every jurisdiction where such qualification is required, except in the case of clause (a) (other than with respect to any Loan Party), clause (b) (other than with respect to Holdings and the Borrower) and clause (c), where the failure to do so, individually or in the aggregate, could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97</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SECTION 3.02 Authorization; Enforceability. This Agreement has been duly authorized, executed and delivered by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1130935</wp:posOffset>
            </wp:positionH>
            <wp:positionV relativeFrom="paragraph">
              <wp:posOffset>-230505</wp:posOffset>
            </wp:positionV>
            <wp:extent cx="14725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jc w:val="both"/>
        <w:spacing w:after="0" w:line="226" w:lineRule="auto"/>
        <w:rPr>
          <w:sz w:val="20"/>
          <w:szCs w:val="20"/>
          <w:color w:val="auto"/>
        </w:rPr>
      </w:pPr>
      <w:r>
        <w:rPr>
          <w:rFonts w:ascii="Arial" w:cs="Arial" w:eastAsia="Arial" w:hAnsi="Arial"/>
          <w:sz w:val="18"/>
          <w:szCs w:val="18"/>
          <w:color w:val="auto"/>
        </w:rPr>
        <w:t>subject to applicable bankruptcy, insolvency, reorganization, moratorium or other laws affecting creditors’ rights generally and subject to general principles of equity, regardless of whether considered in a proceeding in equity or at law.</w:t>
      </w:r>
    </w:p>
    <w:p>
      <w:pPr>
        <w:spacing w:after="0" w:line="15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color w:val="auto"/>
        </w:rPr>
        <w:t>Governmental Approvals; No Conflicts. The execution, delivery and performance by any Loan Party of this Agreement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-8890</wp:posOffset>
            </wp:positionV>
            <wp:extent cx="19538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1953895"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other Loan Document (a) do not require any consent or approval of, registration or filing with, or any other action by, any Governmental Authority, except such as have been obtained or made and are in full force and effect and except filings necessary to perfect Liens created under the Loan Documents, (b) will not violate (i) the Organizational Documents of any Loan Party, or (ii) any Requirements of Law applicable to any Loan Party, (c) will not violate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result in a default under any indenture or other agreement or instrument evidencing Material Indebtedness binding upon Holdings, the Borrower or any other Restricted 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thereunder, and (d) will not result in the creation or imposition of any Lien on any asset of Holdings, the Borrower or any Restricted Subsidiary, except Liens created under the Loan Documents, except (in the case of each of clauses (a), (b)(ii) and (c)) to the extent that the failure to obtain or make such consent, approval, registration, filing or action, or such violation, default or right as the case may be, individually or in the aggregate, could not reasonably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 expected to have a Material Adverse Effect.</w:t>
      </w:r>
    </w:p>
    <w:p>
      <w:pPr>
        <w:spacing w:after="0" w:line="16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color w:val="auto"/>
        </w:rPr>
        <w:t>Financial Condition; No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23488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5" w:lineRule="exact"/>
        <w:rPr>
          <w:sz w:val="20"/>
          <w:szCs w:val="20"/>
          <w:color w:val="auto"/>
        </w:rPr>
      </w:pPr>
    </w:p>
    <w:p>
      <w:pPr>
        <w:jc w:val="both"/>
        <w:ind w:firstLine="656"/>
        <w:spacing w:after="0" w:line="222" w:lineRule="auto"/>
        <w:tabs>
          <w:tab w:leader="none" w:pos="107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indicated therein, including the notes thereto, and (ii) fairly present in all material respects the financial condition of the Borrower and its consolidated subsidiaries as of the respective dates thereof and the consolidated results of their operations for the respective periods then ended in accordance with GAAP consistently applied during the periods referred to therein, except as otherwise expressly indicated therein, including the notes thereto.</w:t>
      </w:r>
    </w:p>
    <w:p>
      <w:pPr>
        <w:spacing w:after="0" w:line="163" w:lineRule="exact"/>
        <w:rPr>
          <w:rFonts w:ascii="Arial" w:cs="Arial" w:eastAsia="Arial" w:hAnsi="Arial"/>
          <w:sz w:val="18"/>
          <w:szCs w:val="18"/>
          <w:color w:val="auto"/>
        </w:rPr>
      </w:pPr>
    </w:p>
    <w:p>
      <w:pPr>
        <w:ind w:left="1040" w:hanging="384"/>
        <w:spacing w:after="0"/>
        <w:tabs>
          <w:tab w:leader="none" w:pos="10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Since the Effective Date, there has been no Material Adverse Effect.</w:t>
      </w:r>
    </w:p>
    <w:p>
      <w:pPr>
        <w:spacing w:after="0" w:line="183" w:lineRule="exact"/>
        <w:rPr>
          <w:sz w:val="20"/>
          <w:szCs w:val="20"/>
          <w:color w:val="auto"/>
        </w:rPr>
      </w:pPr>
    </w:p>
    <w:p>
      <w:pPr>
        <w:ind w:left="660"/>
        <w:spacing w:after="0"/>
        <w:tabs>
          <w:tab w:leader="none" w:pos="1960" w:val="left"/>
          <w:tab w:leader="none" w:pos="2940" w:val="left"/>
        </w:tabs>
        <w:rPr>
          <w:sz w:val="20"/>
          <w:szCs w:val="20"/>
          <w:color w:val="auto"/>
        </w:rPr>
      </w:pPr>
      <w:r>
        <w:rPr>
          <w:rFonts w:ascii="Arial" w:cs="Arial" w:eastAsia="Arial" w:hAnsi="Arial"/>
          <w:sz w:val="18"/>
          <w:szCs w:val="18"/>
          <w:color w:val="auto"/>
        </w:rPr>
        <w:t>SECTION 3.05</w:t>
        <w:tab/>
        <w:t>Properties.</w:t>
      </w:r>
      <w:r>
        <w:rPr>
          <w:sz w:val="20"/>
          <w:szCs w:val="20"/>
          <w:color w:val="auto"/>
        </w:rPr>
        <w:tab/>
      </w:r>
      <w:r>
        <w:rPr>
          <w:rFonts w:ascii="Arial" w:cs="Arial" w:eastAsia="Arial" w:hAnsi="Arial"/>
          <w:sz w:val="16"/>
          <w:szCs w:val="16"/>
          <w:color w:val="auto"/>
        </w:rPr>
        <w:t>The Borrower and each Restricted Subsidiary has good and valid title to, or valid leasehold interests in, all its real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1130935</wp:posOffset>
            </wp:positionH>
            <wp:positionV relativeFrom="paragraph">
              <wp:posOffset>-8890</wp:posOffset>
            </wp:positionV>
            <wp:extent cx="5905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590550"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 xml:space="preserve">and personal property material to its business, if any (excluding, for the avoidance of doubt, Intellectual Property, which is the subject of </w:t>
      </w:r>
      <w:r>
        <w:rPr>
          <w:rFonts w:ascii="Arial" w:cs="Arial" w:eastAsia="Arial" w:hAnsi="Arial"/>
          <w:sz w:val="16"/>
          <w:szCs w:val="16"/>
          <w:u w:val="single" w:color="auto"/>
          <w:color w:val="auto"/>
        </w:rPr>
        <w:t>Section 3.13</w:t>
      </w:r>
      <w:r>
        <w:rPr>
          <w:rFonts w:ascii="Arial" w:cs="Arial" w:eastAsia="Arial" w:hAnsi="Arial"/>
          <w:sz w:val="16"/>
          <w:szCs w:val="16"/>
          <w:color w:val="auto"/>
        </w:rPr>
        <w:t xml:space="preserve">), (i) free and clear of all Liens except for Liens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and (ii) except for minor defects in title that do not interfere with its ability to conduct its business as currently conducted or as proposed to be conducted or to utilize such properties for their intended purposes, in each case, except as could not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reasonably be expected to have, individually or in the aggregate, a Material Adverse Effect.</w:t>
      </w:r>
    </w:p>
    <w:p>
      <w:pPr>
        <w:spacing w:after="0" w:line="16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color w:val="auto"/>
        </w:rPr>
        <w:t>Litigation and Environmental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8434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165" w:lineRule="exact"/>
        <w:rPr>
          <w:sz w:val="20"/>
          <w:szCs w:val="20"/>
          <w:color w:val="auto"/>
        </w:rPr>
      </w:pPr>
    </w:p>
    <w:p>
      <w:pPr>
        <w:jc w:val="both"/>
        <w:ind w:firstLine="656"/>
        <w:spacing w:after="0" w:line="229" w:lineRule="auto"/>
        <w:tabs>
          <w:tab w:leader="none" w:pos="104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There are no actions, suits or proceedings by or before any arbitrator or Governmental Authority pending against or, to the knowledge of the Borrower, threatened in writing against or affecting the Borrower or any Restricted Subsidiary that could reasonably be expected, individually or in the aggregate, to result in a Material Adverse Effect.</w:t>
      </w:r>
    </w:p>
    <w:p>
      <w:pPr>
        <w:spacing w:after="0" w:line="163" w:lineRule="exact"/>
        <w:rPr>
          <w:rFonts w:ascii="Arial" w:cs="Arial" w:eastAsia="Arial" w:hAnsi="Arial"/>
          <w:sz w:val="18"/>
          <w:szCs w:val="18"/>
          <w:color w:val="auto"/>
        </w:rPr>
      </w:pPr>
    </w:p>
    <w:p>
      <w:pPr>
        <w:jc w:val="both"/>
        <w:ind w:firstLine="656"/>
        <w:spacing w:after="0" w:line="229" w:lineRule="auto"/>
        <w:tabs>
          <w:tab w:leader="none" w:pos="112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Except with respect to any other matters that, individually or in the aggregate, could not reasonably be expected to result in a Material Adverse Effect, none of the Borrower or any Restricted Subsidiary (i) has failed to comply with any Environmental Law or to obtain, maintain or comply with any permit, governmental license or other approval required under any Environmental Law, (ii) has, to the knowledge of the Borrower, become subject to any Environmental Liability, (iii) has received written notice of any Environmental Liability or (iv) has, to the knowledge of the Borrower, any basis to reasonably expect that the Borrower or any Restricted Subsidiary will become subject to any Environmental Liability. The representations and warranties contained in this Section 3.06(b) are the sole and exclusive representations and warranties of this Agreement with respect to environmental matters, including matters related to Environmental Law or Environmental Liability.</w:t>
      </w:r>
    </w:p>
    <w:p>
      <w:pPr>
        <w:spacing w:after="0" w:line="17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SECTION 3.07 Compliance with Laws and Agreements. The Borrower and each Restricted Subsidiary is in compliance with (a) all Requirements of Law applicable to it or its property and (c) all indentures and other agreements and instruments evidencing Material Indebtedness binding upon it or its property, except, in each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-247015</wp:posOffset>
            </wp:positionV>
            <wp:extent cx="21786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2178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98</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where the failure to do so, individually or in the aggregate, could not reasonably be expected to result in a Material Adverse Effect.</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SECTION 3.08 Investment Company Status. None of the Borrower or any other Loan Party is required to be registered as an “investment company” under the Investment Company Act of 1940,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1141730</wp:posOffset>
            </wp:positionH>
            <wp:positionV relativeFrom="paragraph">
              <wp:posOffset>-136525</wp:posOffset>
            </wp:positionV>
            <wp:extent cx="14884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15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SECTION 3.09 Taxes. Except as could not, individually or in the aggregate, reasonably be expected to result in a Material Adverse Effect, the Borrower and each Restricted Subsidiary (a) have timely filed or caused to be filed all Tax returns required to have been filed and (b) have paid or caused to be paid all Taxes required to have been paid (whether or not shown on a Tax return) including in their capacity as tax withholding agents, except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-230505</wp:posOffset>
            </wp:positionV>
            <wp:extent cx="4019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401955" cy="8255"/>
                    </a:xfrm>
                    <a:prstGeom prst="rect">
                      <a:avLst/>
                    </a:prstGeom>
                    <a:noFill/>
                  </pic:spPr>
                </pic:pic>
              </a:graphicData>
            </a:graphic>
          </wp:anchor>
        </w:drawing>
      </w:r>
    </w:p>
    <w:p>
      <w:pPr>
        <w:jc w:val="both"/>
        <w:spacing w:after="0" w:line="239" w:lineRule="auto"/>
        <w:rPr>
          <w:sz w:val="20"/>
          <w:szCs w:val="20"/>
          <w:color w:val="auto"/>
        </w:rPr>
      </w:pPr>
      <w:r>
        <w:rPr>
          <w:rFonts w:ascii="Arial" w:cs="Arial" w:eastAsia="Arial" w:hAnsi="Arial"/>
          <w:sz w:val="17"/>
          <w:szCs w:val="17"/>
          <w:color w:val="auto"/>
        </w:rPr>
        <w:t xml:space="preserve">Taxes (i) that are not overdue by more than 30 days or (ii) that are being contested in good faith by appropriate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or such Restricted Subsidiary, as the case may be, has set aside on its books adequate reserves therefor in accordance with GAAP.</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7"/>
          <w:szCs w:val="17"/>
          <w:color w:val="auto"/>
        </w:rPr>
        <w:t>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444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444500" cy="8890"/>
                    </a:xfrm>
                    <a:prstGeom prst="rect">
                      <a:avLst/>
                    </a:prstGeom>
                    <a:noFill/>
                  </pic:spPr>
                </pic:pic>
              </a:graphicData>
            </a:graphic>
          </wp:anchor>
        </w:drawing>
      </w:r>
    </w:p>
    <w:p>
      <w:pPr>
        <w:spacing w:after="0" w:line="178" w:lineRule="exact"/>
        <w:rPr>
          <w:sz w:val="20"/>
          <w:szCs w:val="20"/>
          <w:color w:val="auto"/>
        </w:rPr>
      </w:pPr>
    </w:p>
    <w:p>
      <w:pPr>
        <w:ind w:firstLine="656"/>
        <w:spacing w:after="0" w:line="235" w:lineRule="auto"/>
        <w:tabs>
          <w:tab w:leader="none" w:pos="11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as could not, individually or in the aggregate, reasonably be expected to result in a Material Adverse Effect, each Plan is in compliance with the applicable provisions of ERISA, the Code and other federal or state laws.</w:t>
      </w:r>
    </w:p>
    <w:p>
      <w:pPr>
        <w:spacing w:after="0" w:line="161" w:lineRule="exact"/>
        <w:rPr>
          <w:rFonts w:ascii="Arial" w:cs="Arial" w:eastAsia="Arial" w:hAnsi="Arial"/>
          <w:sz w:val="18"/>
          <w:szCs w:val="18"/>
          <w:color w:val="auto"/>
        </w:rPr>
      </w:pPr>
    </w:p>
    <w:p>
      <w:pPr>
        <w:jc w:val="both"/>
        <w:ind w:firstLine="656"/>
        <w:spacing w:after="0" w:line="217" w:lineRule="auto"/>
        <w:tabs>
          <w:tab w:leader="none" w:pos="106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as could not reasonably be expected, individually or in the aggregate, to result in a Material Adverse Effect, (i) no ERISA Event has occurred during the five year period prior to the date on which this representation is made or deemed made or is reasonably expected to occur, (ii) neither any Loan Party nor any ERISA Affiliate has incurred, or reasonably expects to incur, any liability under Title IV of ERISA with respect to any Plan (other than premiums due and not delinquent under Section 4007 of ERISA), (iii) neither any Loan Party nor any ERISA Affiliate has incurred, or reasonably expects to incur, any liability (and no event has occurred which, with the giving of notice under Section 4219 of ERISA, would result in such liability) under Section 4201 or 4243 of ERISA with respect to a Multiemployer Plan and (iv) neither any Loan Party nor any ERISA Affiliate has engaged in a transaction that could be subject to Section 4069 or 4212(c) of ERISA.</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SECTION 3.11 Disclosure. As of the Effective Date, neither (a) the Information Memorandum nor (b) any of the other reports, financial statements, certificates or other written information furnished by or on behalf of any Loan Party to the Administrative Agent or any Lender in connection with the negotiation of any Loan Document or delivered thereunder (as modified or supplemented by other information so furnished) when taken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-230505</wp:posOffset>
            </wp:positionV>
            <wp:extent cx="6743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 xml:space="preserve">whole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financial information, the Borrower represents only that such information was prepared in good faith based upon assumptions believed by them to be reasonable at the time delivered and, if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such projected financial information was delivered prior to the Effective Date, as of the Effective Date, it being understood that any such projected financial information may vary from actual results and such variations could be material.</w:t>
      </w:r>
    </w:p>
    <w:p>
      <w:pPr>
        <w:spacing w:after="0" w:line="161"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 xml:space="preserve">SECTION 3.12 Subsidiaries. As of the Effective Date,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sets forth the name of, and the ownership interest of the Borrower and each Subsidiary in, each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-147955</wp:posOffset>
            </wp:positionV>
            <wp:extent cx="6737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673735" cy="8890"/>
                    </a:xfrm>
                    <a:prstGeom prst="rect">
                      <a:avLst/>
                    </a:prstGeom>
                    <a:noFill/>
                  </pic:spPr>
                </pic:pic>
              </a:graphicData>
            </a:graphic>
          </wp:anchor>
        </w:drawing>
      </w:r>
    </w:p>
    <w:p>
      <w:pPr>
        <w:spacing w:after="0" w:line="13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SECTION 3.13 Intellectual Property; Licenses, Etc. Except as, individually or in the aggregate, could not reasonably be expected to have a Material Adverse Effect, the Borrower and each Restricted Subsidiary owns, licenses or possesses the right to use, all of the rights to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-120015</wp:posOffset>
            </wp:positionV>
            <wp:extent cx="18332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1833245" cy="8890"/>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that are reasonably necessary for the operation of its business as currently conducted, and, without conflict with the Intellectual Property rights of any other Person. The Borrower or any Restricted Subsidiary do not, in the operation of their businesses as currently conducted, infringe upon any Intellectual Property rights held by any other Person except for such infringements, individually or in the aggregate, which could not reasonably be expected to have a</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Material Adverse Effect. No claim or litigation regarding any of the Intellectual Property owned by the Borrower or any of the Restricted Subsidiaries is pending or, to the knowledge of the Borrower, threatened in writing against the Borrower or any Restricted Subsidiary, which, individually or in the aggregate, could reasonably be expected to have a Material Adverse Effect.</w:t>
      </w:r>
    </w:p>
    <w:p>
      <w:pPr>
        <w:spacing w:after="0" w:line="17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SECTION 3.14 Solvency. On the Effective Date, immediately after the consummation of the Transactions to occur on the Effective Date, the Borrower and its Subsidiaries are, on a consolidated basis, Solvent.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1136015</wp:posOffset>
            </wp:positionH>
            <wp:positionV relativeFrom="paragraph">
              <wp:posOffset>-136525</wp:posOffset>
            </wp:positionV>
            <wp:extent cx="56578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6"/>
          <w:szCs w:val="16"/>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6153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615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99</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SECTION 3.16 Federal Reserve Regulations. None of the Borrower or any Restricted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will be used, directly or indirectly,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-230505</wp:posOffset>
            </wp:positionV>
            <wp:extent cx="14287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14287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purpose that entails a violation (including on the part of any Lender) of the provisions of Regulations U or X of the Board of Governors.</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SECTION 3.17 Use of Proceeds. The Borrower will use the proceeds of (a) the Initial Term Loans made on the Effective Date to directly or indirectly finance a portion of the Transactions and to pay Transaction Costs, (b) Revolving Loans made on and after the Effective Date for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-120015</wp:posOffset>
            </wp:positionV>
            <wp:extent cx="9112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911225" cy="8255"/>
                    </a:xfrm>
                    <a:prstGeom prst="rect">
                      <a:avLst/>
                    </a:prstGeom>
                    <a:noFill/>
                  </pic:spPr>
                </pic:pic>
              </a:graphicData>
            </a:graphic>
          </wp:anchor>
        </w:drawing>
      </w:r>
    </w:p>
    <w:p>
      <w:pPr>
        <w:jc w:val="both"/>
        <w:spacing w:after="0" w:line="248" w:lineRule="auto"/>
        <w:rPr>
          <w:sz w:val="20"/>
          <w:szCs w:val="20"/>
          <w:color w:val="auto"/>
        </w:rPr>
      </w:pPr>
      <w:r>
        <w:rPr>
          <w:rFonts w:ascii="Arial" w:cs="Arial" w:eastAsia="Arial" w:hAnsi="Arial"/>
          <w:sz w:val="16"/>
          <w:szCs w:val="16"/>
          <w:color w:val="auto"/>
        </w:rPr>
        <w:t>and general corporate purposes (including any purpose not prohibited by this Agreement) and (c) the First Additional Term Loans made on the Amendment No. 1 Effective Date to repay Revolving Loans outstanding under this Agreement as of the Amendment No. 1 Effective Date, for general corporate purposes (including any purpose not prohibited by this Agreement) and to pay any fees and expenses incurred in connection with Amendment No. 1.</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3.18</w:t>
      </w:r>
      <w:r>
        <w:rPr>
          <w:sz w:val="20"/>
          <w:szCs w:val="20"/>
          <w:color w:val="auto"/>
        </w:rPr>
        <w:tab/>
      </w:r>
      <w:r>
        <w:rPr>
          <w:rFonts w:ascii="Arial" w:cs="Arial" w:eastAsia="Arial" w:hAnsi="Arial"/>
          <w:sz w:val="16"/>
          <w:szCs w:val="16"/>
          <w:color w:val="auto"/>
        </w:rPr>
        <w:t>PATRIOT Act, OFAC and FCPA.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609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1609725" cy="8255"/>
                    </a:xfrm>
                    <a:prstGeom prst="rect">
                      <a:avLst/>
                    </a:prstGeom>
                    <a:noFill/>
                  </pic:spPr>
                </pic:pic>
              </a:graphicData>
            </a:graphic>
          </wp:anchor>
        </w:drawing>
      </w:r>
    </w:p>
    <w:p>
      <w:pPr>
        <w:spacing w:after="0" w:line="165" w:lineRule="exact"/>
        <w:rPr>
          <w:sz w:val="20"/>
          <w:szCs w:val="20"/>
          <w:color w:val="auto"/>
        </w:rPr>
      </w:pPr>
    </w:p>
    <w:p>
      <w:pPr>
        <w:jc w:val="both"/>
        <w:ind w:firstLine="656"/>
        <w:spacing w:after="0" w:line="219" w:lineRule="auto"/>
        <w:tabs>
          <w:tab w:leader="none" w:pos="110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Borrower and the Restricted Subsidiaries will not, directly or, to the knowledge of the Borrower, indirectly, use the proceeds of the Loans or Letters of Credit, or lend, contribute or otherwise make available such proceeds to any subsidiary, joint venture partner or other Person, for the purpose of funding (i) any activities of or business with any Person, or in any country or territory, that, at the time of such funding, is the subject of Sanctions, or (ii) any other transaction that will result in a violation by any Person (including any Person participating in the transaction, whether as underwriter, advisor, investor, lender or otherwise) of Sanctions.</w:t>
      </w:r>
    </w:p>
    <w:p>
      <w:pPr>
        <w:spacing w:after="0" w:line="176" w:lineRule="exact"/>
        <w:rPr>
          <w:rFonts w:ascii="Arial" w:cs="Arial" w:eastAsia="Arial" w:hAnsi="Arial"/>
          <w:sz w:val="18"/>
          <w:szCs w:val="18"/>
          <w:color w:val="auto"/>
        </w:rPr>
      </w:pPr>
    </w:p>
    <w:p>
      <w:pPr>
        <w:jc w:val="both"/>
        <w:ind w:firstLine="656"/>
        <w:spacing w:after="0" w:line="236" w:lineRule="auto"/>
        <w:tabs>
          <w:tab w:leader="none" w:pos="1052"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Borrower and the Restricted Subsidiaries will not use the proceeds of the Loans or Letters of Credit directly, or, to the knowledge of the Borrower, indirectly, (i) in violation of the USA Patriot Act or (ii)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w:t>
      </w:r>
      <w:r>
        <w:rPr>
          <w:rFonts w:ascii="Arial" w:cs="Arial" w:eastAsia="Arial" w:hAnsi="Arial"/>
          <w:sz w:val="17"/>
          <w:szCs w:val="17"/>
          <w:u w:val="single" w:color="auto"/>
          <w:color w:val="auto"/>
        </w:rPr>
        <w:t>FCPA</w:t>
      </w:r>
      <w:r>
        <w:rPr>
          <w:rFonts w:ascii="Arial" w:cs="Arial" w:eastAsia="Arial" w:hAnsi="Arial"/>
          <w:sz w:val="17"/>
          <w:szCs w:val="17"/>
          <w:color w:val="auto"/>
        </w:rPr>
        <w:t>”).</w:t>
      </w:r>
    </w:p>
    <w:p>
      <w:pPr>
        <w:spacing w:after="0" w:line="162" w:lineRule="exact"/>
        <w:rPr>
          <w:rFonts w:ascii="Arial" w:cs="Arial" w:eastAsia="Arial" w:hAnsi="Arial"/>
          <w:sz w:val="17"/>
          <w:szCs w:val="17"/>
          <w:color w:val="auto"/>
        </w:rPr>
      </w:pPr>
    </w:p>
    <w:p>
      <w:pPr>
        <w:jc w:val="both"/>
        <w:ind w:firstLine="656"/>
        <w:spacing w:after="0" w:line="245" w:lineRule="auto"/>
        <w:tabs>
          <w:tab w:leader="none" w:pos="105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Except as could not, individually or in the aggregate, reasonably be expected to result in a Material Adverse Effect, to the knowledge of the Borrower, none of the Borrower or the Restricted Subsidiaries has, in the past three years, committed a violation of applicable regulations of the United States Department of the Treasury’s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Title III of the USA Patriot Act or the FCPA.</w:t>
      </w:r>
    </w:p>
    <w:p>
      <w:pPr>
        <w:spacing w:after="0" w:line="157" w:lineRule="exact"/>
        <w:rPr>
          <w:rFonts w:ascii="Arial" w:cs="Arial" w:eastAsia="Arial" w:hAnsi="Arial"/>
          <w:sz w:val="17"/>
          <w:szCs w:val="17"/>
          <w:color w:val="auto"/>
        </w:rPr>
      </w:pPr>
    </w:p>
    <w:p>
      <w:pPr>
        <w:jc w:val="both"/>
        <w:ind w:firstLine="656"/>
        <w:spacing w:after="0" w:line="236" w:lineRule="auto"/>
        <w:tabs>
          <w:tab w:leader="none" w:pos="10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Except as could not, individually or in the aggregate, reasonably be expected to result in a Material Adverse Effect, none of the Borrower, the Restricted Subsidiaries or, to the knowledge of the Borrower, any director, officer, employee or agent of any Loan Party or other Restricted Subsidiary, in each case, is an individual or entity currently on OFAC’s list of Specially Designated Nationals and Blocked Persons, nor is the Borrower or any Restricted Subsidiary located, organized or resident in a country or territory that is the subject of Sanctions.</w:t>
      </w:r>
    </w:p>
    <w:p>
      <w:pPr>
        <w:spacing w:after="0" w:line="163" w:lineRule="exact"/>
        <w:rPr>
          <w:sz w:val="20"/>
          <w:szCs w:val="20"/>
          <w:color w:val="auto"/>
        </w:rPr>
      </w:pPr>
    </w:p>
    <w:p>
      <w:pPr>
        <w:ind w:left="5040"/>
        <w:spacing w:after="0"/>
        <w:rPr>
          <w:sz w:val="20"/>
          <w:szCs w:val="20"/>
          <w:color w:val="auto"/>
        </w:rPr>
      </w:pPr>
      <w:r>
        <w:rPr>
          <w:rFonts w:ascii="Arial" w:cs="Arial" w:eastAsia="Arial" w:hAnsi="Arial"/>
          <w:sz w:val="18"/>
          <w:szCs w:val="18"/>
          <w:color w:val="010000"/>
        </w:rPr>
        <w:t>ARTICLE IV</w:t>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CONDITIONS</w:t>
      </w:r>
    </w:p>
    <w:p>
      <w:pPr>
        <w:spacing w:after="0" w:line="18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color w:val="auto"/>
        </w:rPr>
        <w:t>Effective Date. The obligations of the Lenders to make Loans and each Issuing Bank to issue Letters of Credit hereunder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-8890</wp:posOffset>
            </wp:positionV>
            <wp:extent cx="8007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8007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not become effective until the date on which each of the following conditions shall be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69" w:lineRule="exact"/>
        <w:rPr>
          <w:sz w:val="20"/>
          <w:szCs w:val="20"/>
          <w:color w:val="auto"/>
        </w:rPr>
      </w:pPr>
    </w:p>
    <w:p>
      <w:pPr>
        <w:jc w:val="both"/>
        <w:ind w:left="660" w:firstLine="644"/>
        <w:spacing w:after="0" w:line="245" w:lineRule="auto"/>
        <w:tabs>
          <w:tab w:leader="none" w:pos="1769"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Administrative Agent (or its counsel) shall have received from each party hereto either (i) a counterpart of this Agreement signed on behalf of such party or (ii) written evidence satisfactory to the Administrative Agent (which may include facsimile or other electronic transmission of a signed counterpart of this Agreement) that such party has signed a counterpart of this Agreement.</w:t>
      </w:r>
    </w:p>
    <w:p>
      <w:pPr>
        <w:spacing w:after="0" w:line="157" w:lineRule="exact"/>
        <w:rPr>
          <w:rFonts w:ascii="Arial" w:cs="Arial" w:eastAsia="Arial" w:hAnsi="Arial"/>
          <w:sz w:val="17"/>
          <w:szCs w:val="17"/>
          <w:color w:val="auto"/>
        </w:rPr>
      </w:pPr>
    </w:p>
    <w:p>
      <w:pPr>
        <w:jc w:val="both"/>
        <w:ind w:left="660" w:firstLine="644"/>
        <w:spacing w:after="0" w:line="229" w:lineRule="auto"/>
        <w:tabs>
          <w:tab w:leader="none" w:pos="173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Administrative Agent shall have received a written opinion (addressed to the Administrative Agent and the Lenders and dated the Effective Date) of Simpson Thacher &amp; Bartlett LLP, counsel for the Loan Parties. The Borrower hereby requests such counsel to deliver such opinion.</w:t>
      </w:r>
    </w:p>
    <w:p>
      <w:pPr>
        <w:spacing w:after="0" w:line="163" w:lineRule="exact"/>
        <w:rPr>
          <w:rFonts w:ascii="Arial" w:cs="Arial" w:eastAsia="Arial" w:hAnsi="Arial"/>
          <w:sz w:val="18"/>
          <w:szCs w:val="18"/>
          <w:color w:val="auto"/>
        </w:rPr>
      </w:pPr>
    </w:p>
    <w:p>
      <w:pPr>
        <w:ind w:left="660" w:firstLine="644"/>
        <w:spacing w:after="0" w:line="235" w:lineRule="auto"/>
        <w:tabs>
          <w:tab w:leader="none" w:pos="170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of each Loan Party, dated the Effective Date,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with appropriate insertions, executed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100</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Responsible Officer of such Loan Party, and including or attaching the documents referred to in paragraph (d) of this Section.</w:t>
      </w:r>
    </w:p>
    <w:p>
      <w:pPr>
        <w:spacing w:after="0" w:line="185" w:lineRule="exact"/>
        <w:rPr>
          <w:sz w:val="20"/>
          <w:szCs w:val="20"/>
          <w:color w:val="auto"/>
        </w:rPr>
      </w:pPr>
    </w:p>
    <w:p>
      <w:pPr>
        <w:jc w:val="both"/>
        <w:ind w:firstLine="644"/>
        <w:spacing w:after="0" w:line="229" w:lineRule="auto"/>
        <w:tabs>
          <w:tab w:leader="none" w:pos="104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The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Loan Documents to which it is a party, (iii) resolutions of the Board of Directors and/or similar governing bodies of each Loan Party approving and authorizing the execution, delivery and performance of Loan Documents to which it is a party, certified as of the Effective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165" w:lineRule="exact"/>
        <w:rPr>
          <w:rFonts w:ascii="Arial" w:cs="Arial" w:eastAsia="Arial" w:hAnsi="Arial"/>
          <w:sz w:val="17"/>
          <w:szCs w:val="17"/>
          <w:color w:val="auto"/>
        </w:rPr>
      </w:pPr>
    </w:p>
    <w:p>
      <w:pPr>
        <w:jc w:val="both"/>
        <w:ind w:firstLine="644"/>
        <w:spacing w:after="0" w:line="252" w:lineRule="auto"/>
        <w:tabs>
          <w:tab w:leader="none" w:pos="1038"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Administrative Agent shall have received, or substantially simultaneously with the initial Borrowing on the Effective Date shall receive, all fees and other amounts previously agreed in writing by the Lead Arrangers and the Joint Bookrunners and the Borrower to be due and payable on or prior to the Effective Date, including, to the extent invoiced at least three (3) Business Days prior to the Effective Date (except as otherwise reasonably agreed by the Borrower), reimbursement or payment of all reasonable and documented out-of-pocket expenses (including reasonable fees, charges and disbursements of counsel) required to be reimbursed or paid by any Loan Party under any Loan Document.</w:t>
      </w:r>
    </w:p>
    <w:p>
      <w:pPr>
        <w:spacing w:after="0" w:line="154" w:lineRule="exact"/>
        <w:rPr>
          <w:rFonts w:ascii="Arial" w:cs="Arial" w:eastAsia="Arial" w:hAnsi="Arial"/>
          <w:sz w:val="16"/>
          <w:szCs w:val="16"/>
          <w:color w:val="auto"/>
        </w:rPr>
      </w:pPr>
    </w:p>
    <w:p>
      <w:pPr>
        <w:jc w:val="both"/>
        <w:ind w:firstLine="644"/>
        <w:spacing w:after="0" w:line="227" w:lineRule="auto"/>
        <w:tabs>
          <w:tab w:leader="none" w:pos="1058" w:val="left"/>
        </w:tabs>
        <w:numPr>
          <w:ilvl w:val="1"/>
          <w:numId w:val="163"/>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the Collateral and Guarantee Requirement shall have been satisfied;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notwithstanding the use by Holdings and the Borrower of commercially reasonable efforts to cause the Collateral and Guarantee Requirement to be satisfied on the Effective Date, the requirements thereof (other than (a) the execution and delivery of the Guarantee Agreement and the Collateral Agreement by the Loan Parties, (b) creation of and perfection of security interests in the certificated Equity Interests of the Borrower and Significant Subsidiaries (other than Foreign Subsidiaries) that are wholly owned subsidiaries of the Borrower, and (c) delivery of Uniform Commercial Code financing statements with respect to perfection of security interests in other assets of the Loan Parties that may be perfected by the filing of a financing statement under the Uniform Commercial Code) are not satisfied as of the Effective Date, the satisfaction of such requirements shall not be a condition to the availability of the initial Loans on the Effective Date (but shall be required to be satisfied as promptly as practicable after the Effective Date and in any event within the period specified therefor in </w:t>
      </w:r>
      <w:r>
        <w:rPr>
          <w:rFonts w:ascii="Arial" w:cs="Arial" w:eastAsia="Arial" w:hAnsi="Arial"/>
          <w:sz w:val="17"/>
          <w:szCs w:val="17"/>
          <w:u w:val="single" w:color="auto"/>
          <w:color w:val="auto"/>
        </w:rPr>
        <w:t>Schedule 5.14</w:t>
      </w:r>
      <w:r>
        <w:rPr>
          <w:rFonts w:ascii="Arial" w:cs="Arial" w:eastAsia="Arial" w:hAnsi="Arial"/>
          <w:sz w:val="17"/>
          <w:szCs w:val="17"/>
          <w:color w:val="auto"/>
        </w:rPr>
        <w:t xml:space="preserve"> or such later date as the Administrative Agent may reasonably agree).</w:t>
      </w:r>
    </w:p>
    <w:p>
      <w:pPr>
        <w:spacing w:after="0" w:line="162" w:lineRule="exact"/>
        <w:rPr>
          <w:rFonts w:ascii="Arial" w:cs="Arial" w:eastAsia="Arial" w:hAnsi="Arial"/>
          <w:sz w:val="17"/>
          <w:szCs w:val="17"/>
          <w:color w:val="auto"/>
        </w:rPr>
      </w:pPr>
    </w:p>
    <w:p>
      <w:pPr>
        <w:ind w:left="1040" w:hanging="396"/>
        <w:spacing w:after="0"/>
        <w:tabs>
          <w:tab w:leader="none" w:pos="10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There shall not have been a Material Adverse Effect which has occurred since December 31, 2020.</w:t>
      </w:r>
    </w:p>
    <w:p>
      <w:pPr>
        <w:spacing w:after="0" w:line="198" w:lineRule="exact"/>
        <w:rPr>
          <w:rFonts w:ascii="Arial" w:cs="Arial" w:eastAsia="Arial" w:hAnsi="Arial"/>
          <w:sz w:val="18"/>
          <w:szCs w:val="18"/>
          <w:color w:val="auto"/>
        </w:rPr>
      </w:pPr>
    </w:p>
    <w:p>
      <w:pPr>
        <w:ind w:firstLine="644"/>
        <w:spacing w:after="0" w:line="235" w:lineRule="auto"/>
        <w:tabs>
          <w:tab w:leader="none" w:pos="1137"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dated the Effective Date and signed by Responsible Officer of the Borrower, confirming compliance with the conditions set forth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000" w:hanging="356"/>
        <w:spacing w:after="0"/>
        <w:tabs>
          <w:tab w:leader="none" w:pos="10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Lead Arrangers and the Joint Bookrunners shall have received the Audited Financial Statements.</w:t>
      </w:r>
    </w:p>
    <w:p>
      <w:pPr>
        <w:spacing w:after="0" w:line="198" w:lineRule="exact"/>
        <w:rPr>
          <w:rFonts w:ascii="Arial" w:cs="Arial" w:eastAsia="Arial" w:hAnsi="Arial"/>
          <w:sz w:val="18"/>
          <w:szCs w:val="18"/>
          <w:color w:val="auto"/>
        </w:rPr>
      </w:pPr>
    </w:p>
    <w:p>
      <w:pPr>
        <w:ind w:left="1000" w:hanging="356"/>
        <w:spacing w:after="0"/>
        <w:tabs>
          <w:tab w:leader="none" w:pos="10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Borrowing Request as required by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firstLine="644"/>
        <w:spacing w:after="0" w:line="235" w:lineRule="auto"/>
        <w:tabs>
          <w:tab w:leader="none" w:pos="1103" w:val="left"/>
        </w:tabs>
        <w:numPr>
          <w:ilvl w:val="1"/>
          <w:numId w:val="163"/>
        </w:numPr>
        <w:rPr>
          <w:rFonts w:ascii="Arial" w:cs="Arial" w:eastAsia="Arial" w:hAnsi="Arial"/>
          <w:sz w:val="18"/>
          <w:szCs w:val="18"/>
          <w:color w:val="auto"/>
        </w:rPr>
      </w:pPr>
      <w:r>
        <w:rPr>
          <w:rFonts w:ascii="Arial" w:cs="Arial" w:eastAsia="Arial" w:hAnsi="Arial"/>
          <w:sz w:val="18"/>
          <w:szCs w:val="18"/>
          <w:color w:val="auto"/>
        </w:rPr>
        <w:t>Substantially simultaneously with the initial Borrowing under the Term Facility and the consummation of the IPO, the Effective Date Refinancing shall be consummated.</w:t>
      </w:r>
    </w:p>
    <w:p>
      <w:pPr>
        <w:spacing w:after="0" w:line="175" w:lineRule="exact"/>
        <w:rPr>
          <w:rFonts w:ascii="Arial" w:cs="Arial" w:eastAsia="Arial" w:hAnsi="Arial"/>
          <w:sz w:val="18"/>
          <w:szCs w:val="18"/>
          <w:color w:val="auto"/>
        </w:rPr>
      </w:pPr>
    </w:p>
    <w:p>
      <w:pPr>
        <w:ind w:firstLine="644"/>
        <w:spacing w:after="0" w:line="235" w:lineRule="auto"/>
        <w:tabs>
          <w:tab w:leader="none" w:pos="1003"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from a chief financial officer of the Borrower certifying that the Borrower and its Subsidiaries on a consolidated basis after giving effect to the Transactions are Solvent.</w:t>
      </w:r>
    </w:p>
    <w:p>
      <w:pPr>
        <w:spacing w:after="0" w:line="161" w:lineRule="exact"/>
        <w:rPr>
          <w:rFonts w:ascii="Arial" w:cs="Arial" w:eastAsia="Arial" w:hAnsi="Arial"/>
          <w:sz w:val="18"/>
          <w:szCs w:val="18"/>
          <w:color w:val="auto"/>
        </w:rPr>
      </w:pPr>
    </w:p>
    <w:p>
      <w:pPr>
        <w:jc w:val="both"/>
        <w:ind w:firstLine="644"/>
        <w:spacing w:after="0" w:line="222" w:lineRule="auto"/>
        <w:tabs>
          <w:tab w:leader="none" w:pos="109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Administrative Agent and the Joint Bookrunners shall have received all documentation at least three (3) Business Days prior to the Effective Date and other information about the Loan Parties that shall have been reasonably requested in writing at least 10 Business Days prior to the Effective Date and that the Administrative Agent or the Joint Bookrunners have reasonably determined is required by United States regulatory authorities under applicable “know your customer” and anti-money laundering rules and regulations, including without limitation Title III of the USA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00"/>
        <w:spacing w:after="0"/>
        <w:rPr>
          <w:sz w:val="20"/>
          <w:szCs w:val="20"/>
          <w:color w:val="auto"/>
        </w:rPr>
      </w:pPr>
      <w:r>
        <w:rPr>
          <w:rFonts w:ascii="Arial" w:cs="Arial" w:eastAsia="Arial" w:hAnsi="Arial"/>
          <w:sz w:val="22"/>
          <w:szCs w:val="22"/>
          <w:u w:val="single" w:color="auto"/>
          <w:color w:val="0000FF"/>
          <w:highlight w:val="lightGray"/>
        </w:rPr>
        <w:t>101</w:t>
      </w:r>
    </w:p>
    <w:p>
      <w:pPr>
        <w:sectPr>
          <w:pgSz w:w="11900" w:h="16838" w:orient="portrait"/>
          <w:cols w:equalWidth="0" w:num="1">
            <w:col w:w="10580"/>
          </w:cols>
          <w:pgMar w:left="980" w:top="1440" w:right="339" w:bottom="1440" w:gutter="0" w:footer="0" w:header="0"/>
        </w:sectPr>
      </w:pPr>
    </w:p>
    <w:bookmarkStart w:id="159" w:name="page160"/>
    <w:bookmarkEnd w:id="159"/>
    <w:p>
      <w:pPr>
        <w:spacing w:after="0" w:line="63" w:lineRule="exact"/>
        <w:rPr>
          <w:sz w:val="20"/>
          <w:szCs w:val="20"/>
          <w:color w:val="auto"/>
        </w:rPr>
      </w:pPr>
    </w:p>
    <w:p>
      <w:pPr>
        <w:jc w:val="both"/>
        <w:ind w:left="660" w:firstLine="644"/>
        <w:spacing w:after="0" w:line="248" w:lineRule="auto"/>
        <w:tabs>
          <w:tab w:leader="none" w:pos="175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To the extent the Borrower qualifies as a “legal entity customer” under the Beneficial Ownership Regulation, the Borrower shall deliver to each Lender that so requests (which request is made through the Administrative Agent), a Beneficial Ownership Certification in relation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has provided the Borrower a list of each such Lender and its electronic delivery requirements at least five (5) Business Days prior to the Effective Date (it being agreed that, upon the execution and delivery by such Lender of its signature page to this Agreement, the condition set forth in this clause shall be deemed to be satisfied with respect to such Lender).</w:t>
      </w:r>
    </w:p>
    <w:p>
      <w:pPr>
        <w:spacing w:after="0" w:line="156" w:lineRule="exact"/>
        <w:rPr>
          <w:rFonts w:ascii="Arial" w:cs="Arial" w:eastAsia="Arial" w:hAnsi="Arial"/>
          <w:sz w:val="16"/>
          <w:szCs w:val="16"/>
          <w:color w:val="auto"/>
        </w:rPr>
      </w:pPr>
    </w:p>
    <w:p>
      <w:pPr>
        <w:ind w:left="1700" w:hanging="396"/>
        <w:spacing w:after="0"/>
        <w:tabs>
          <w:tab w:leader="none" w:pos="17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IPO shall have been, or substantially simultaneously with the initial Borrowing under the Term Facility shall be, consummated.</w:t>
      </w:r>
    </w:p>
    <w:p>
      <w:pPr>
        <w:spacing w:after="0" w:line="22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 xml:space="preserve">Without limiting the generality of the provisions of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shall have received notice from such Lender prior to the proposed Effective Date specifying its objection thereto.</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SECTION 4.02 Each Credit Event. The obligation of each Lender to make a Loan on the occasion of any Borrowing, and of each Issuing Bank to issue, amend, renew, increase or extend any Letter of Credit, in each case other than in connection with any Incremental Facility, Loan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1130935</wp:posOffset>
            </wp:positionH>
            <wp:positionV relativeFrom="paragraph">
              <wp:posOffset>-120015</wp:posOffset>
            </wp:positionV>
            <wp:extent cx="9721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Offer or Permitted Amendment, is subject to receipt of the request therefor in accordance herewith and to the satisfaction of the following conditions:</w:t>
      </w:r>
    </w:p>
    <w:p>
      <w:pPr>
        <w:spacing w:after="0" w:line="180" w:lineRule="exact"/>
        <w:rPr>
          <w:sz w:val="20"/>
          <w:szCs w:val="20"/>
          <w:color w:val="auto"/>
        </w:rPr>
      </w:pPr>
    </w:p>
    <w:p>
      <w:pPr>
        <w:jc w:val="both"/>
        <w:ind w:left="660" w:firstLine="644"/>
        <w:spacing w:after="0" w:line="232" w:lineRule="auto"/>
        <w:tabs>
          <w:tab w:leader="none" w:pos="175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each Loan Party set forth in the Loan Documents shall be true and correct in all material respects on and as of the date of such Borrowing or the date of issuance, amendment, renewal, increase or extension of such Letter of Credit,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representation and warranty that is qualified as to “materiality,” “Material Adverse Effect” or similar language shall be true and correct in all respects (giving effect to any such qualifications) on the date of such credit extension or on such earlier date, as the case may be.</w:t>
      </w:r>
    </w:p>
    <w:p>
      <w:pPr>
        <w:spacing w:after="0" w:line="162" w:lineRule="exact"/>
        <w:rPr>
          <w:rFonts w:ascii="Arial" w:cs="Arial" w:eastAsia="Arial" w:hAnsi="Arial"/>
          <w:sz w:val="17"/>
          <w:szCs w:val="17"/>
          <w:color w:val="auto"/>
        </w:rPr>
      </w:pPr>
    </w:p>
    <w:p>
      <w:pPr>
        <w:ind w:left="660" w:firstLine="644"/>
        <w:spacing w:after="0" w:line="289" w:lineRule="auto"/>
        <w:tabs>
          <w:tab w:leader="none" w:pos="171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At the time of and immediately after giving effect to such Borrowing or the issuance, amendment, renewal, increase or extension of such Letter of Credit, as the case may be), no Default or Event of Default shall have occurred and be continuing or would result therefrom.</w:t>
      </w:r>
    </w:p>
    <w:p>
      <w:pPr>
        <w:spacing w:after="0" w:line="13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 xml:space="preserve">To the extent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applicable, each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conversion or a continuation of a Borrowing shall not constitute a “Borrowing” for purposes of this Section) and each issuance, amendment, renewal, increase or extension of a Letter of Credit shall be deemed to constitute a representation and warranty by the Borrower on the date thereof as to the matters specified in clauses (a) and (b) of this Section.</w:t>
      </w:r>
    </w:p>
    <w:p>
      <w:pPr>
        <w:spacing w:after="0" w:line="17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010000"/>
        </w:rPr>
        <w:t>ARTICLE V</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the Termination Date shall have occurred, the Borrower covenants and agrees with the Lenders that:</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SECTION 5.01 Financial Statements and Other Information. The Borrower will furnish to the Administrative Agent, on behalf of each Lender,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-136525</wp:posOffset>
            </wp:positionV>
            <wp:extent cx="21653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2165350" cy="8255"/>
                    </a:xfrm>
                    <a:prstGeom prst="rect">
                      <a:avLst/>
                    </a:prstGeom>
                    <a:noFill/>
                  </pic:spPr>
                </pic:pic>
              </a:graphicData>
            </a:graphic>
          </wp:anchor>
        </w:drawing>
      </w:r>
    </w:p>
    <w:p>
      <w:pPr>
        <w:spacing w:after="0" w:line="155" w:lineRule="exact"/>
        <w:rPr>
          <w:sz w:val="20"/>
          <w:szCs w:val="20"/>
          <w:color w:val="auto"/>
        </w:rPr>
      </w:pPr>
    </w:p>
    <w:p>
      <w:pPr>
        <w:jc w:val="both"/>
        <w:ind w:firstLine="656"/>
        <w:spacing w:after="0" w:line="241" w:lineRule="auto"/>
        <w:tabs>
          <w:tab w:leader="none" w:pos="108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beginning with the fiscal year ending December 31, 2021 and thereafter, on or before the date that is 120 days after the end of each such fiscal year of the Borrower (or on or before such later date on which such financial statements are permitted to be filed with the SEC), an audited consolidated balance sheet and audited consolidated statements of operations, cash flows and changes in members’ or stockholders’ equity of the Borrower as of the end of and for such year, and related notes thereto, setting forth, beginning with the fiscal year ending December 31, 2022, in each case in comparative form the figures for the previous fiscal year, all reported on by RSM US or other independent public accountants of recognized national standing (without a “going concern” qualification and without any qualification or exception as to the scope of such audit (other than with respect to, or resulting from, (A) an upcoming maturity date of any Indebtedness, (B) the activities, operations, financial results, assets or liabilities of any Unrestricted Subsidiaries, (C) any actual or potential inability to satisfy a financial maintenance covenant in any period, (D) a change in accounting principles or practices reflecting a change in GAAP and required or approved by such independent public accountants and/or (E) an “emphasis of matter” paragraph)) to the effect that such consolidated financial statements present fairly in all material respects the financial position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102</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6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results of operations and cash flows of the Borrower and its Subsidiaries as of the end of and for such year on a consolidated basis in accordance with GAAP;</w:t>
      </w:r>
    </w:p>
    <w:p>
      <w:pPr>
        <w:spacing w:after="0" w:line="162" w:lineRule="exact"/>
        <w:rPr>
          <w:sz w:val="20"/>
          <w:szCs w:val="20"/>
          <w:color w:val="auto"/>
        </w:rPr>
      </w:pPr>
    </w:p>
    <w:p>
      <w:pPr>
        <w:jc w:val="both"/>
        <w:ind w:firstLine="656"/>
        <w:spacing w:after="0" w:line="228" w:lineRule="auto"/>
        <w:tabs>
          <w:tab w:leader="none" w:pos="1074" w:val="left"/>
        </w:tabs>
        <w:numPr>
          <w:ilvl w:val="0"/>
          <w:numId w:val="167"/>
        </w:numPr>
        <w:rPr>
          <w:rFonts w:ascii="Arial" w:cs="Arial" w:eastAsia="Arial" w:hAnsi="Arial"/>
          <w:sz w:val="17"/>
          <w:szCs w:val="17"/>
          <w:color w:val="auto"/>
        </w:rPr>
      </w:pPr>
      <w:r>
        <w:rPr>
          <w:rFonts w:ascii="Arial" w:cs="Arial" w:eastAsia="Arial" w:hAnsi="Arial"/>
          <w:sz w:val="17"/>
          <w:szCs w:val="17"/>
          <w:color w:val="auto"/>
        </w:rPr>
        <w:t>commencing with the financial statements for the fiscal quarter ending June 30, 2021, on or before the date that is 45 days after the end of each of the first three fiscal quarters of each fiscal year of the Borrower (or on or before such later date on which such financial statements are permitted to be filed with the SEC), an unaudited consolidated balance sheet and unaudited consolidated statements of operations and cash flows of the Borrower as of the end of and for such fiscal quarter (except in the case of cash flows) and the then elapsed portion of the fiscal year and, commencing with the financial statements for the fiscal quarter ending June 30, 2022, setting forth in each case in comparative form the figures for the corresponding period or periods of (or, in the case of the balance sheet, as of the end of) the previous fiscal year, all certified by a Financial Officer as presenting fairly in all material respects the financial position and results of operations and cash flows of the Borrower and the Subsidiaries as of the end of and for such fiscal quarter (except in the case of cash flows) and such portion of the fiscal year on a consolidated basis in accordance with GAAP, subject to normal year-end audit adjustments and the absence of footnotes;</w:t>
      </w:r>
    </w:p>
    <w:p>
      <w:pPr>
        <w:spacing w:after="0" w:line="164" w:lineRule="exact"/>
        <w:rPr>
          <w:rFonts w:ascii="Arial" w:cs="Arial" w:eastAsia="Arial" w:hAnsi="Arial"/>
          <w:sz w:val="17"/>
          <w:szCs w:val="17"/>
          <w:color w:val="auto"/>
        </w:rPr>
      </w:pPr>
    </w:p>
    <w:p>
      <w:pPr>
        <w:jc w:val="both"/>
        <w:ind w:firstLine="656"/>
        <w:spacing w:after="0" w:line="229" w:lineRule="auto"/>
        <w:tabs>
          <w:tab w:leader="none" w:pos="115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simultaneously with the delivery of each set of consolidated financial statements referred to in clauses (a) and (b) above, the related consolidating financial information reflecting adjustments, if any, necessary to eliminate the accounts of Unrestricted Subsidiaries (if any) from such consolidated financial statements;</w:t>
      </w:r>
    </w:p>
    <w:p>
      <w:pPr>
        <w:spacing w:after="0" w:line="163" w:lineRule="exact"/>
        <w:rPr>
          <w:rFonts w:ascii="Arial" w:cs="Arial" w:eastAsia="Arial" w:hAnsi="Arial"/>
          <w:sz w:val="18"/>
          <w:szCs w:val="18"/>
          <w:color w:val="auto"/>
        </w:rPr>
      </w:pPr>
    </w:p>
    <w:p>
      <w:pPr>
        <w:jc w:val="both"/>
        <w:ind w:firstLine="656"/>
        <w:spacing w:after="0" w:line="232" w:lineRule="auto"/>
        <w:tabs>
          <w:tab w:leader="none" w:pos="114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not later than five days after the delivery of financial statements under clause (a) or (b) above, a certificate of a Financial Officer (i) certifying as to whether a Default has occurred and, if a Default has occurred, specifying the details thereof and any action taken or proposed to be taken with respect thereto and (ii) setting forth (x) to the extent resulting in any change to the Applicable Rate or the ECF Percentage, the First Lien Leverage Ratio as of the most recently ended Test Period (but without any requirement to provide any calculations thereof) and (y) unless the ECF Percentage is zero percent (0%), reasonably detailed calculations in the case of financial statements delivered under paragraph (a) above, beginning with the financial statements for the fiscal year of the Borrower ending December 31, 2022, of Excess Cash Flow for such fiscal year;</w:t>
      </w:r>
    </w:p>
    <w:p>
      <w:pPr>
        <w:spacing w:after="0" w:line="162" w:lineRule="exact"/>
        <w:rPr>
          <w:rFonts w:ascii="Arial" w:cs="Arial" w:eastAsia="Arial" w:hAnsi="Arial"/>
          <w:sz w:val="17"/>
          <w:szCs w:val="17"/>
          <w:color w:val="auto"/>
        </w:rPr>
      </w:pPr>
    </w:p>
    <w:p>
      <w:pPr>
        <w:jc w:val="both"/>
        <w:ind w:firstLine="656"/>
        <w:spacing w:after="0" w:line="229" w:lineRule="auto"/>
        <w:tabs>
          <w:tab w:leader="none" w:pos="108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promptly following any request therefor, information and documentation reasonably requested by the Administrative Agent or any Lender (through the Administrative Agent) for purposes of compliance with applicable “know your customer” and anti-money-laundering rules and regulations, including, without limitation, the PATRIOT Act and the Beneficial Ownership Regulation; and</w:t>
      </w:r>
    </w:p>
    <w:p>
      <w:pPr>
        <w:spacing w:after="0" w:line="163" w:lineRule="exact"/>
        <w:rPr>
          <w:rFonts w:ascii="Arial" w:cs="Arial" w:eastAsia="Arial" w:hAnsi="Arial"/>
          <w:sz w:val="18"/>
          <w:szCs w:val="18"/>
          <w:color w:val="auto"/>
        </w:rPr>
      </w:pPr>
    </w:p>
    <w:p>
      <w:pPr>
        <w:jc w:val="both"/>
        <w:ind w:firstLine="656"/>
        <w:spacing w:after="0" w:line="229" w:lineRule="auto"/>
        <w:tabs>
          <w:tab w:leader="none" w:pos="109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Borrower or any Restricted Subsidiary, or compliance with the terms of any Loan Document, as the Administrative Agent on its own behalf or on behalf of any Lender may reasonably request in writing.</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Notwithstanding the foregoing, the obligations in clauses (a) and (b) of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may be satisfied with respect to financial information of</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the Borrower and its Subsidiaries by furnishing (A) the Form 10-K or 10-Q (or the equivalent), as applicable, of Holdings (or a parent company thereof) filed with the SEC or with a similar regulatory authority in a foreign jurisdiction or (B) the applicable financial statements of Holdings (or any direct or indirect parent of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information relates to a parent of the Borrower, such information is accompanied by summary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narrative information (which need not be audited) describing in reasonable detail the differences between the information relating to such parent, on the one hand, and the information relating to the Borrower and its Subsidiaries on a stand-alone basis, on the other hand, and to the extent such information is in lieu of information required to be provided under </w:t>
      </w:r>
      <w:r>
        <w:rPr>
          <w:rFonts w:ascii="Arial" w:cs="Arial" w:eastAsia="Arial" w:hAnsi="Arial"/>
          <w:sz w:val="16"/>
          <w:szCs w:val="16"/>
          <w:u w:val="single" w:color="auto"/>
          <w:color w:val="auto"/>
        </w:rPr>
        <w:t>Section 5.01(a)</w:t>
      </w:r>
      <w:r>
        <w:rPr>
          <w:rFonts w:ascii="Arial" w:cs="Arial" w:eastAsia="Arial" w:hAnsi="Arial"/>
          <w:sz w:val="16"/>
          <w:szCs w:val="16"/>
          <w:color w:val="auto"/>
        </w:rPr>
        <w:t>, such materials are accompanied by a report and opinion of RSM US or any other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independent registered public accounting firm of nationally recognized standing, which report and opinion shall be prepared in accordance with generally accepted auditing standards and shall not be subject to any “going concern” qualification or any qualification or exception as to the scope of such audit (other than with respect to, or resulting from, (i) an upcoming maturity date of any Indebtedness, (ii) the activities, operations, financial results, assets or</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liabilities of any Unrestricted Subsidiaries, (iii) any actual or potential inability to satisfy a financial maintenance covenant in any period, (iv) a change in accounting principles or practices reflecting a change in GAAP and required or approved by such independent public accountants and/or (v) an “emphasis of matter” paragraph).</w:t>
      </w:r>
    </w:p>
    <w:p>
      <w:pPr>
        <w:spacing w:after="0" w:line="17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earlier of the date (A) on which the Borrower posts such documents, or provides a link thereto on the Borrower’s or one of its Affiliates’ website on the Internet or (B) on which such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documents are posted on the Borrower’s behalf on IntraLinks/IntraAgency or another website, if any, to which each Lender and the Administrative Agent has access (whether a commercial, third-party website or whether sponsored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103</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deliver such documents to the Administrative Agent upon its reasonable request until a written notice to cease delivering such documents is given by the Administrative Agent and (ii) the Borrower shall notify the Administrative Agent (by telecopier or electronic mail) of the posting of any such documents and upon its reasonable request, provide to the Administrative Agent by electronic mail</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electronic versions (</w:t>
      </w:r>
      <w:r>
        <w:rPr>
          <w:rFonts w:ascii="Arial" w:cs="Arial" w:eastAsia="Arial" w:hAnsi="Arial"/>
          <w:sz w:val="18"/>
          <w:szCs w:val="18"/>
          <w:u w:val="single" w:color="auto"/>
          <w:color w:val="auto"/>
        </w:rPr>
        <w:t>i.e</w:t>
      </w:r>
      <w:r>
        <w:rPr>
          <w:rFonts w:ascii="Arial" w:cs="Arial" w:eastAsia="Arial" w:hAnsi="Arial"/>
          <w:sz w:val="18"/>
          <w:szCs w:val="18"/>
          <w:color w:val="auto"/>
        </w:rPr>
        <w:t>., soft copies) of such documents.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The Borrower hereby acknowledges that (a) the Administrative Agent, the Lead Arrangers and/or the Joint Bookrunners will make available to the Lenders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Borrower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upon the Administrative Agent’s reasonable request, use commercially reasonable efforts to identify that portion of Borrower Materials that may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be distributed to the Public Lenders and that (i) all such Borrower Materials shall be clearly and conspicuously marked “PUBLIC” which, at a minimum, shall mean that the word “PUBLIC” shall appear prominently on the first page thereof; (ii) by marking Borrower Materials “PUBLIC,” the Borrower shall be deemed to have authorized the Administrative Agent, the Lead Arrangers, the Joint Bookrunners, and the Lenders to treat such Borrower Materials as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 (iii) all Borrower Materials marked “PUBLIC” are permitted to be made available through a portion of the Platform</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designated “Public Side Information”; and (iv) the Administrative Agent, the Lead Arrangers and the Joint Bookrunners shall be entitled to treat any Borrower Materials that are not marked “PUBLIC” as being suitable only for posting on a portion of the Platform not designated “Public Side Information.” Other than as set forth in the immediately preceding sentence, the Borrower shall be under no obligation to mark any Borrower Materials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“PUBLIC”;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financial statements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will be deemed “PUBLIC.”</w:t>
      </w:r>
    </w:p>
    <w:p>
      <w:pPr>
        <w:spacing w:after="0" w:line="153"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7"/>
          <w:szCs w:val="17"/>
          <w:color w:val="auto"/>
        </w:rPr>
        <w:t>Notices of Material Events. Promptly after any Responsible Officer of the Borrower obtains actual knowledge thereof,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-635</wp:posOffset>
            </wp:positionV>
            <wp:extent cx="14465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144653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Borrower will furnish to the Administrative Agent (for distribution to each Lender through the Administrative Agent) written notice of the following:</w:t>
      </w:r>
    </w:p>
    <w:p>
      <w:pPr>
        <w:spacing w:after="0" w:line="194" w:lineRule="exact"/>
        <w:rPr>
          <w:sz w:val="20"/>
          <w:szCs w:val="20"/>
          <w:color w:val="auto"/>
        </w:rPr>
      </w:pPr>
    </w:p>
    <w:p>
      <w:pPr>
        <w:ind w:left="1680" w:hanging="376"/>
        <w:spacing w:after="0"/>
        <w:tabs>
          <w:tab w:leader="none" w:pos="16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84" w:lineRule="exact"/>
        <w:rPr>
          <w:rFonts w:ascii="Arial" w:cs="Arial" w:eastAsia="Arial" w:hAnsi="Arial"/>
          <w:sz w:val="18"/>
          <w:szCs w:val="18"/>
          <w:color w:val="auto"/>
        </w:rPr>
      </w:pPr>
    </w:p>
    <w:p>
      <w:pPr>
        <w:jc w:val="both"/>
        <w:ind w:left="660" w:firstLine="644"/>
        <w:spacing w:after="0" w:line="267" w:lineRule="auto"/>
        <w:tabs>
          <w:tab w:leader="none" w:pos="173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filing or commencement of any action, suit or proceeding by or before any arbitrator or Governmental Authority against or, to the knowledge of a Financial Officer or another executive officer of the Borrower, affecting Holdings, the Borrower or any Subsidiary or the receipt of a written notice of an Environmental Liability, in each case, that could reasonably be expected to result in a Material Adverse Effect; and</w:t>
      </w:r>
    </w:p>
    <w:p>
      <w:pPr>
        <w:spacing w:after="0" w:line="141" w:lineRule="exact"/>
        <w:rPr>
          <w:rFonts w:ascii="Arial" w:cs="Arial" w:eastAsia="Arial" w:hAnsi="Arial"/>
          <w:sz w:val="16"/>
          <w:szCs w:val="16"/>
          <w:color w:val="auto"/>
        </w:rPr>
      </w:pPr>
    </w:p>
    <w:p>
      <w:pPr>
        <w:ind w:left="1680" w:hanging="376"/>
        <w:spacing w:after="0"/>
        <w:tabs>
          <w:tab w:leader="none" w:pos="16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occurrence of an ERISA Event, in each case, that could reasonably be expected to result in a Material Adverse Effect.</w:t>
      </w:r>
    </w:p>
    <w:p>
      <w:pPr>
        <w:spacing w:after="0" w:line="19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Each notice delivered under this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shall be accompanied by a written statement of a Responsible Officer of the Borrower setting forth the details of the event or development requiring such notice and any action taken or proposed to be taken with respect thereto.</w:t>
      </w:r>
    </w:p>
    <w:p>
      <w:pPr>
        <w:spacing w:after="0" w:line="15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color w:val="auto"/>
        </w:rPr>
        <w:t>Information Regarding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6433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1643380" cy="8255"/>
                    </a:xfrm>
                    <a:prstGeom prst="rect">
                      <a:avLst/>
                    </a:prstGeom>
                    <a:noFill/>
                  </pic:spPr>
                </pic:pic>
              </a:graphicData>
            </a:graphic>
          </wp:anchor>
        </w:drawing>
      </w:r>
    </w:p>
    <w:p>
      <w:pPr>
        <w:spacing w:after="0" w:line="165" w:lineRule="exact"/>
        <w:rPr>
          <w:sz w:val="20"/>
          <w:szCs w:val="20"/>
          <w:color w:val="auto"/>
        </w:rPr>
      </w:pPr>
    </w:p>
    <w:p>
      <w:pPr>
        <w:jc w:val="both"/>
        <w:ind w:firstLine="656"/>
        <w:spacing w:after="0" w:line="248" w:lineRule="auto"/>
        <w:tabs>
          <w:tab w:leader="none" w:pos="1035"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Borrower will furnish to the Administrative Agent promptly (and in any event within 60 days or such longer period as reasonably agreed to by the Collateral Agent) written notice of any change (i) in any Loan Party’s legal name (as set forth in its certificate of organization or like document) or</w:t>
      </w:r>
    </w:p>
    <w:p>
      <w:pPr>
        <w:ind w:left="280" w:hanging="272"/>
        <w:spacing w:after="0"/>
        <w:tabs>
          <w:tab w:leader="none" w:pos="2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the jurisdiction of incorporation or organization of any Loan Party or in the form of its organization.</w:t>
      </w:r>
    </w:p>
    <w:p>
      <w:pPr>
        <w:spacing w:after="0" w:line="168" w:lineRule="exact"/>
        <w:rPr>
          <w:rFonts w:ascii="Arial" w:cs="Arial" w:eastAsia="Arial" w:hAnsi="Arial"/>
          <w:sz w:val="18"/>
          <w:szCs w:val="18"/>
          <w:color w:val="auto"/>
        </w:rPr>
      </w:pPr>
    </w:p>
    <w:p>
      <w:pPr>
        <w:jc w:val="both"/>
        <w:ind w:firstLine="656"/>
        <w:spacing w:after="0" w:line="223" w:lineRule="auto"/>
        <w:tabs>
          <w:tab w:leader="none" w:pos="1086"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Not later than five days after delivery of financial statements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the Borrower shall deliver to the Administrative Agent a certificate executed by a Responsible Officer of the Borrower setting forth the information required pursuant to Schedules I through IV of the Collateral Agreement or confirming that there has been no change in such information since the Effective Date or the date of the most recent certificate delivered pursuant to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104</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SECTION 5.04 Existence; Conduct of Business. The Borrower will, and will cause each Restricted Subsidiary to, do or cause to be done all things necessary to obtain, preserve, renew and keep in full force and effect its legal existence and the rights, governmental licenses, permits, privileges, franchises and Intellectual Property material to the conduct of its business, in each case (other than with respect to the preservation of the existence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-230505</wp:posOffset>
            </wp:positionV>
            <wp:extent cx="16319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jc w:val="both"/>
        <w:spacing w:after="0" w:line="268" w:lineRule="auto"/>
        <w:rPr>
          <w:sz w:val="20"/>
          <w:szCs w:val="20"/>
          <w:color w:val="auto"/>
        </w:rPr>
      </w:pPr>
      <w:r>
        <w:rPr>
          <w:rFonts w:ascii="Arial" w:cs="Arial" w:eastAsia="Arial" w:hAnsi="Arial"/>
          <w:sz w:val="16"/>
          <w:szCs w:val="16"/>
          <w:color w:val="auto"/>
        </w:rPr>
        <w:t xml:space="preserve">Borrower), except to the extent that the failure to do so could not reasonably be expected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any merger, consolidation, liquidation or dissolution permitted under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or any Disposition permitted by </w:t>
      </w:r>
      <w:r>
        <w:rPr>
          <w:rFonts w:ascii="Arial" w:cs="Arial" w:eastAsia="Arial" w:hAnsi="Arial"/>
          <w:sz w:val="16"/>
          <w:szCs w:val="16"/>
          <w:u w:val="single" w:color="auto"/>
          <w:color w:val="auto"/>
        </w:rPr>
        <w:t>Section 6.05</w:t>
      </w:r>
      <w:r>
        <w:rPr>
          <w:rFonts w:ascii="Arial" w:cs="Arial" w:eastAsia="Arial" w:hAnsi="Arial"/>
          <w:sz w:val="16"/>
          <w:szCs w:val="16"/>
          <w:color w:val="auto"/>
        </w:rPr>
        <w:t>.</w:t>
      </w:r>
    </w:p>
    <w:p>
      <w:pPr>
        <w:spacing w:after="0" w:line="13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color w:val="auto"/>
        </w:rPr>
        <w:t>Payment of Taxes, Etc. The Borrower will, and will cause each Restricted Subsidiary to, pay its obligations in respect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-8890</wp:posOffset>
            </wp:positionV>
            <wp:extent cx="11982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1198245" cy="8255"/>
                    </a:xfrm>
                    <a:prstGeom prst="rect">
                      <a:avLst/>
                    </a:prstGeom>
                    <a:noFill/>
                  </pic:spPr>
                </pic:pic>
              </a:graphicData>
            </a:graphic>
          </wp:anchor>
        </w:drawing>
      </w:r>
    </w:p>
    <w:p>
      <w:pPr>
        <w:jc w:val="both"/>
        <w:spacing w:after="0" w:line="231" w:lineRule="auto"/>
        <w:rPr>
          <w:sz w:val="20"/>
          <w:szCs w:val="20"/>
          <w:color w:val="auto"/>
        </w:rPr>
      </w:pPr>
      <w:r>
        <w:rPr>
          <w:rFonts w:ascii="Arial" w:cs="Arial" w:eastAsia="Arial" w:hAnsi="Arial"/>
          <w:sz w:val="17"/>
          <w:szCs w:val="17"/>
          <w:color w:val="auto"/>
        </w:rPr>
        <w:t>before the same shall become delinquent or in default, except where (i) the failure to make payment could not reasonably be expected, individually or in the aggregate, to result in a Material Adverse Effect or (ii) such Taxes are being contested in good faith by appropriate proceedings, provided that the Borrower or such Restricted Subsidiary, as the case may be, has set aside on its books adequate reserves therefor in accordance with GAAP.</w:t>
      </w:r>
    </w:p>
    <w:p>
      <w:pPr>
        <w:spacing w:after="0" w:line="17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SECTION 5.06 Maintenance of Properties. The Borrower will, and will cause each Restricted Subsidiary to, keep and maintain all property material to the conduct of its business in good working order and condition (ordinary wear and tear excepted), except where the failure to do so could not reasonably be expected to have, individually or in the aggregate,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-247015</wp:posOffset>
            </wp:positionV>
            <wp:extent cx="13900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15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5.07</w:t>
      </w:r>
      <w:r>
        <w:rPr>
          <w:sz w:val="20"/>
          <w:szCs w:val="20"/>
          <w:color w:val="auto"/>
        </w:rPr>
        <w:tab/>
      </w:r>
      <w:r>
        <w:rPr>
          <w:rFonts w:ascii="Arial" w:cs="Arial" w:eastAsia="Arial" w:hAnsi="Arial"/>
          <w:sz w:val="15"/>
          <w:szCs w:val="15"/>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5581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558165" cy="8255"/>
                    </a:xfrm>
                    <a:prstGeom prst="rect">
                      <a:avLst/>
                    </a:prstGeom>
                    <a:noFill/>
                  </pic:spPr>
                </pic:pic>
              </a:graphicData>
            </a:graphic>
          </wp:anchor>
        </w:drawing>
      </w:r>
    </w:p>
    <w:p>
      <w:pPr>
        <w:spacing w:after="0" w:line="16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Borrower will, and will cause each Restricted Subsidiary to, maintain, with insurance companies that the Borrower believes (in the good faith judgment of the management of the Borrower) are financially sound and responsible at the time the relevant coverage is placed or renewed, insurance in at</w:t>
      </w:r>
    </w:p>
    <w:p>
      <w:pPr>
        <w:jc w:val="both"/>
        <w:spacing w:after="0" w:line="234" w:lineRule="auto"/>
        <w:rPr>
          <w:sz w:val="20"/>
          <w:szCs w:val="20"/>
          <w:color w:val="auto"/>
        </w:rPr>
      </w:pPr>
      <w:r>
        <w:rPr>
          <w:rFonts w:ascii="Arial" w:cs="Arial" w:eastAsia="Arial" w:hAnsi="Arial"/>
          <w:sz w:val="16"/>
          <w:szCs w:val="16"/>
          <w:color w:val="auto"/>
        </w:rPr>
        <w:t>least such amounts (after giving effect to any self-insurance which and the Borrower believes (in the good faith judgment of management of the Borrower) is reasonable and prudent in light of the size and nature of its business) and against at least such risks (and with such risk retentions) as the Borrower believes (in the good faith judgment of the management of the Borrower) are reasonable and prudent in light of the size and nature of its business; and will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furnish to the Lenders, upon written request from the Administrative Agent, information presented in reasonable detail as to the insurance so carried. Not later than 60 days after the Effective Date (or such later date as the Collateral Agent may agree in its reasonable discretion), each such policy of insurance maintained by a Loan Party shall (i) name the Collateral Agent, on behalf of the Secured Parties, as an additional insured thereunder as its interests may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appear and (ii) in the case of each casualty insurance policy, contain a loss payable/mortgagee clause or endorsement that names Collateral Agent, on behalf of the Secured Parties as the lender’s loss payee/mortgagee thereunder.</w:t>
      </w:r>
    </w:p>
    <w:p>
      <w:pPr>
        <w:spacing w:after="0" w:line="159"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6"/>
          <w:szCs w:val="16"/>
          <w:color w:val="auto"/>
        </w:rPr>
        <w:t>Books and Records; Inspection and Audit Rights. The Borrower will, and will cause each Restricted Subsidiary to, maintain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1137920</wp:posOffset>
            </wp:positionH>
            <wp:positionV relativeFrom="paragraph">
              <wp:posOffset>-8890</wp:posOffset>
            </wp:positionV>
            <wp:extent cx="24466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2446655"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proper books of record and account in which entries that are full, true and correct in all material respects and are in conformity with GAAP (or applicable local standards) shall be made of all material financial transactions and matters involving the assets and business of the Borrower or the Restricted Subsidiaries, as the case may be. The Borrower will, and will cause each Restricted Subsidiary to, permit any representatives designated by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 xml:space="preserve">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excluding any such visits and inspections during the continuation of an Event of Default, only the Administrative</w:t>
      </w:r>
    </w:p>
    <w:p>
      <w:pPr>
        <w:jc w:val="both"/>
        <w:spacing w:after="0" w:line="234" w:lineRule="auto"/>
        <w:rPr>
          <w:sz w:val="20"/>
          <w:szCs w:val="20"/>
          <w:color w:val="auto"/>
        </w:rPr>
      </w:pPr>
      <w:r>
        <w:rPr>
          <w:rFonts w:ascii="Arial" w:cs="Arial" w:eastAsia="Arial" w:hAnsi="Arial"/>
          <w:sz w:val="16"/>
          <w:szCs w:val="16"/>
          <w:color w:val="auto"/>
        </w:rPr>
        <w:t xml:space="preserve">Agent on behalf of the Lenders may exercise visitation and inspection rights of the Administrative Agent and the Lenders under this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and the Administrative Agent shall not exercise such rights more often than one time during any calendar year absent the existence of an Event of Default and only one such visitation and inspection shall be at the reasonable expense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 when an Event of Default exists,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Administrative Agent or any Lender (or any of their respective representatives or independent contractors) may do any of the foregoing at the expense of the Borrower at any time during normal business hours and upon reasonable advance notice and (b) the Administrative Agent and the Lenders shall give the Borrower the opportunity to participate in any discussions with the Borrower’s independent public accountants.</w:t>
      </w:r>
    </w:p>
    <w:p>
      <w:pPr>
        <w:spacing w:after="0" w:line="17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SECTION 5.09 Compliance with Laws. The Borrower will, and will cause each Restricted Subsidiary to, comply with all Requirements of Law (including ERISA, Environmental Laws, USA Patriot Act, OFAC and FCPA) with respect to it or its property, except where the failure to do so, individually or in the aggregate, could not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-247015</wp:posOffset>
            </wp:positionV>
            <wp:extent cx="11906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1190625" cy="8890"/>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SECTION 5.10 Use of Proceeds and Letters of Credit. The Borrower used the proceeds of the Initial Term Loans to directly or indirectly finance a portion of the Transactions and to pay Transaction Costs. The Borrower and its subsidiaries will use the proceeds of (i) Revolving Loans drawn after the Effective Date and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-247015</wp:posOffset>
            </wp:positionV>
            <wp:extent cx="1841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1841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105</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of Credit for working capital and general corporate purposes (including Permitted Acquisitions, Restricted Payments and any other purpose not prohibited by this Agreement) and (ii) the First Additional Term Loans funded on the Amendment No. 1 Effective Date to repay Revolving Loans outstanding under this Agreement as of the Amendment No. 1 Effective Date, for general corporate purposes (including any purpose not prohibited by this Agreement) and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pay any fees and expenses incurred in connection with Amendment No. 1. The proceeds of any Credit Agreement Refinancing Indebtedness will be applied among the Loans and any Incremental Term Loans in accordance with the terms of this Agreement. The proceeds of the Incremental Term Loans will be used for working capital and general corporate purposes (including Permitted Acquisitions, other permitted Investments, Restricted Payments and any other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purpose not prohibited by this Agreement).</w:t>
      </w:r>
    </w:p>
    <w:p>
      <w:pPr>
        <w:spacing w:after="0" w:line="16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7"/>
          <w:szCs w:val="17"/>
          <w:color w:val="auto"/>
        </w:rPr>
        <w:t>SECTION 5.11 Additional Subsidiaries. If any additional Restricted Subsidiary is formed or acquired after the Effective Date (including, without limitation, upon the formation of any Restricted Subsidiary that is a Division Successor), the Borrower will, within 90 days after such newly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1141730</wp:posOffset>
            </wp:positionH>
            <wp:positionV relativeFrom="paragraph">
              <wp:posOffset>-120015</wp:posOffset>
            </wp:positionV>
            <wp:extent cx="12833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1283335" cy="8890"/>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formed or acquired Restricted Subsidiary is formed or acquired (unless such Restricted Subsidiary is an Excluded Subsidiary), notify the Collateral Agent thereof, and will and will cause such Restricted Subsidiary and the other Loan Parties to take all actions (if any) required to satisfy the Collateral and Guarantee Requirement with respect to such Restricted Subsidiary and with respect to any Equity Interest in or Indebtedness of such Restricted Subsidiary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owned by or on behalf of any Loan Party within 90 days after such notice (or such longer period as the Collateral Agent shall reasonably agree).</w:t>
      </w:r>
    </w:p>
    <w:p>
      <w:pPr>
        <w:spacing w:after="0" w:line="180"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7"/>
          <w:szCs w:val="17"/>
          <w:color w:val="auto"/>
        </w:rPr>
        <w:t>SECTION 5.12 Further Assurances. The Borrower will, and will cause each Loan Party to, execute any and all further documents, financing statements, agreements and instruments, and take all such further actions (including the filing and recording of financing statements, fixture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-120015</wp:posOffset>
            </wp:positionV>
            <wp:extent cx="10420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jc w:val="both"/>
        <w:spacing w:after="0" w:line="268" w:lineRule="auto"/>
        <w:rPr>
          <w:sz w:val="20"/>
          <w:szCs w:val="20"/>
          <w:color w:val="auto"/>
        </w:rPr>
      </w:pPr>
      <w:r>
        <w:rPr>
          <w:rFonts w:ascii="Arial" w:cs="Arial" w:eastAsia="Arial" w:hAnsi="Arial"/>
          <w:sz w:val="16"/>
          <w:szCs w:val="16"/>
          <w:color w:val="auto"/>
        </w:rPr>
        <w:t>mortgages, deeds of trust and other documents), that may be required under any applicable law and that the Collateral Agent or the Required Lenders may reasonably request, to cause the Collateral and Guarantee Requirement to be and remain satisfied, all at the expense of the Loan Parties.</w:t>
      </w:r>
    </w:p>
    <w:p>
      <w:pPr>
        <w:spacing w:after="0" w:line="13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7"/>
          <w:szCs w:val="17"/>
          <w:color w:val="auto"/>
        </w:rPr>
        <w:t>Ratings. The Borrower will use commercially reasonable efforts to cause (a) the Borrower to continuously have a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-8890</wp:posOffset>
            </wp:positionV>
            <wp:extent cx="5359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535940" cy="8890"/>
                    </a:xfrm>
                    <a:prstGeom prst="rect">
                      <a:avLst/>
                    </a:prstGeom>
                    <a:noFill/>
                  </pic:spPr>
                </pic:pic>
              </a:graphicData>
            </a:graphic>
          </wp:anchor>
        </w:drawing>
      </w:r>
    </w:p>
    <w:p>
      <w:pPr>
        <w:jc w:val="both"/>
        <w:spacing w:after="0" w:line="226" w:lineRule="auto"/>
        <w:rPr>
          <w:sz w:val="20"/>
          <w:szCs w:val="20"/>
          <w:color w:val="auto"/>
        </w:rPr>
      </w:pPr>
      <w:r>
        <w:rPr>
          <w:rFonts w:ascii="Arial" w:cs="Arial" w:eastAsia="Arial" w:hAnsi="Arial"/>
          <w:sz w:val="18"/>
          <w:szCs w:val="18"/>
          <w:color w:val="auto"/>
        </w:rPr>
        <w:t>corporate credit rating from at least two Rating Agencies (but not to maintain a specific rating) and (b) the term loan facilities made available under this Agreement to be continuously publicly rated by at least two Rating Agencies (but not to maintain a specific rating).</w:t>
      </w:r>
    </w:p>
    <w:p>
      <w:pPr>
        <w:spacing w:after="0" w:line="15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color w:val="auto"/>
        </w:rPr>
        <w:t>Certain Post-Closing Obligations. As promptly as practicable, and in any event within the time periods after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-8890</wp:posOffset>
            </wp:positionV>
            <wp:extent cx="1659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 xml:space="preserve">specified in </w:t>
      </w:r>
      <w:r>
        <w:rPr>
          <w:rFonts w:ascii="Arial" w:cs="Arial" w:eastAsia="Arial" w:hAnsi="Arial"/>
          <w:sz w:val="16"/>
          <w:szCs w:val="16"/>
          <w:u w:val="single" w:color="auto"/>
          <w:color w:val="auto"/>
        </w:rPr>
        <w:t>Schedule 5.14</w:t>
      </w:r>
      <w:r>
        <w:rPr>
          <w:rFonts w:ascii="Arial" w:cs="Arial" w:eastAsia="Arial" w:hAnsi="Arial"/>
          <w:sz w:val="16"/>
          <w:szCs w:val="16"/>
          <w:color w:val="auto"/>
        </w:rPr>
        <w:t xml:space="preserve"> unless extended by the Collateral Agent in its reasonable discretion, including to reasonably accommodate circumstances unforeseen on the Effective Date, the Borrower and each other Loan Party shall deliver the documents or take the actions specified on </w:t>
      </w:r>
      <w:r>
        <w:rPr>
          <w:rFonts w:ascii="Arial" w:cs="Arial" w:eastAsia="Arial" w:hAnsi="Arial"/>
          <w:sz w:val="16"/>
          <w:szCs w:val="16"/>
          <w:u w:val="single" w:color="auto"/>
          <w:color w:val="auto"/>
        </w:rPr>
        <w:t>Schedule 5.14</w:t>
      </w:r>
      <w:r>
        <w:rPr>
          <w:rFonts w:ascii="Arial" w:cs="Arial" w:eastAsia="Arial" w:hAnsi="Arial"/>
          <w:sz w:val="16"/>
          <w:szCs w:val="16"/>
          <w:color w:val="auto"/>
        </w:rPr>
        <w:t>, in each case except to the extent otherwise agreed by the Collateral Agent pursuant to its authority as set forth in the definition of the term “Collateral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Guarantee Requirement”.</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SECTION 5.15 Designation of Subsidiaries. The Borrower may at any time after the Effective Date designate any Restricted Subsidiary of the Borrower as an Unrestricted Subsidiary or any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before and after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-120015</wp:posOffset>
            </wp:positionV>
            <wp:extent cx="14090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1409065" cy="8890"/>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 xml:space="preserve">designation on a Pro Forma Basis as of the end of the most recent Test Period, no Event of Default under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shall have occurred and be continuing. The designation of any Subsidiary as an Unrestricted Subsidiary after the Effective Date shall constitute an Investment by the Borrower therein at the date of designation in an amount equal to the Fair Market Value of the Borrower’s or its Subsidiary’s (as applicable) investment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therein. The designation of any Unrestricted Subsidiary as a Restricted Subsidiary shall constitute (i) the incurrence at the time of designation of any Investment, Indebtedness or Liens of such Subsidiary existing at such time and (ii) a return on any Investment by the Borrower or the applicable Subsidiary in Unrestricted Subsidiaries pursuant to the preceding sentence in an amount equal to the Fair Market Value at the date of such designation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Borrower’s or its Subsidiary’s (as applicable) Investment in such Subsidiary.</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SECTION 5.16 Change in Business. The Borrower and the Restricted Subsidiaries, taken as a whole, will not fundamentally and substantively alter the character of their business, taken as a whole, from the business conducted by them on the Effective Date and other business activities which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-120015</wp:posOffset>
            </wp:positionV>
            <wp:extent cx="10471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104711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extensions thereof or otherwise incidental, complementary, reasonably related or ancillary to any of the foregoing.</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SECTION 5.17 Changes in Fiscal Periods. The Borrower shall not make any change in its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 may, upon written notice to the Administrative Agent, change its fiscal year to any other fiscal year reasonably acceptable to the Administrative Agent,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-120015</wp:posOffset>
            </wp:positionV>
            <wp:extent cx="13684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1368425" cy="8255"/>
                    </a:xfrm>
                    <a:prstGeom prst="rect">
                      <a:avLst/>
                    </a:prstGeom>
                    <a:noFill/>
                  </pic:spPr>
                </pic:pic>
              </a:graphicData>
            </a:graphic>
          </wp:anchor>
        </w:drawing>
      </w:r>
    </w:p>
    <w:p>
      <w:pPr>
        <w:jc w:val="both"/>
        <w:spacing w:after="0" w:line="226" w:lineRule="auto"/>
        <w:rPr>
          <w:sz w:val="20"/>
          <w:szCs w:val="20"/>
          <w:color w:val="auto"/>
        </w:rPr>
      </w:pPr>
      <w:r>
        <w:rPr>
          <w:rFonts w:ascii="Arial" w:cs="Arial" w:eastAsia="Arial" w:hAnsi="Arial"/>
          <w:sz w:val="18"/>
          <w:szCs w:val="18"/>
          <w:color w:val="auto"/>
        </w:rPr>
        <w:t>which case, the Borrower and the Administrative Agent will, and are hereby authorized by the Lenders to, make any adjustments to this Agreement that are necessary to reflect such change in fiscal year (which adjustments may include,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106</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6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adjustments to financial reporting requirements to account for such changes, including without limitation, the impact on year over year comparison reporting and stub period reporting obligations.</w:t>
      </w:r>
    </w:p>
    <w:p>
      <w:pPr>
        <w:spacing w:after="0" w:line="16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010000"/>
        </w:rPr>
        <w:t>ARTICLE VI</w:t>
      </w:r>
    </w:p>
    <w:p>
      <w:pPr>
        <w:spacing w:after="0" w:line="15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NEGATIVE COVENANTS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the Termination Date shall have occurred, the Borrower covenants and agrees with the Lenders that:</w:t>
      </w:r>
    </w:p>
    <w:p>
      <w:pPr>
        <w:spacing w:after="0" w:line="19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color w:val="auto"/>
        </w:rPr>
        <w:t>Indebtedness; Certain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9196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spacing w:after="0" w:line="165" w:lineRule="exact"/>
        <w:rPr>
          <w:sz w:val="20"/>
          <w:szCs w:val="20"/>
          <w:color w:val="auto"/>
        </w:rPr>
      </w:pPr>
    </w:p>
    <w:p>
      <w:pPr>
        <w:ind w:left="1040" w:hanging="384"/>
        <w:spacing w:after="0"/>
        <w:tabs>
          <w:tab w:leader="none" w:pos="10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Borrower will not, and will not permit any Restricted Subsidiary to, create, incur, assume or permit to exist any Indebtedness, except:</w:t>
      </w:r>
    </w:p>
    <w:p>
      <w:pPr>
        <w:spacing w:after="0" w:line="207" w:lineRule="exact"/>
        <w:rPr>
          <w:rFonts w:ascii="Arial" w:cs="Arial" w:eastAsia="Arial" w:hAnsi="Arial"/>
          <w:sz w:val="16"/>
          <w:szCs w:val="16"/>
          <w:color w:val="auto"/>
        </w:rPr>
      </w:pPr>
    </w:p>
    <w:p>
      <w:pPr>
        <w:ind w:left="660" w:firstLine="903"/>
        <w:spacing w:after="0" w:line="246" w:lineRule="auto"/>
        <w:tabs>
          <w:tab w:leader="none" w:pos="1988" w:val="left"/>
        </w:tabs>
        <w:numPr>
          <w:ilvl w:val="1"/>
          <w:numId w:val="171"/>
        </w:numPr>
        <w:rPr>
          <w:rFonts w:ascii="Arial" w:cs="Arial" w:eastAsia="Arial" w:hAnsi="Arial"/>
          <w:sz w:val="18"/>
          <w:szCs w:val="18"/>
          <w:color w:val="010000"/>
        </w:rPr>
      </w:pPr>
      <w:r>
        <w:rPr>
          <w:rFonts w:ascii="Arial" w:cs="Arial" w:eastAsia="Arial" w:hAnsi="Arial"/>
          <w:sz w:val="18"/>
          <w:szCs w:val="18"/>
          <w:color w:val="auto"/>
        </w:rPr>
        <w:t xml:space="preserve">Indebtedness of the Borrower and any of the Restricted Subsidiaries under the Loan Documents (including any Indebtedness incurred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w:t>
      </w:r>
      <w:r>
        <w:rPr>
          <w:rFonts w:ascii="Arial" w:cs="Arial" w:eastAsia="Arial" w:hAnsi="Arial"/>
          <w:sz w:val="18"/>
          <w:szCs w:val="18"/>
          <w:u w:val="single" w:color="auto"/>
          <w:color w:val="auto"/>
        </w:rPr>
        <w:t>2.21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2.24</w:t>
      </w:r>
      <w:r>
        <w:rPr>
          <w:rFonts w:ascii="Arial" w:cs="Arial" w:eastAsia="Arial" w:hAnsi="Arial"/>
          <w:sz w:val="18"/>
          <w:szCs w:val="18"/>
          <w:color w:val="auto"/>
        </w:rPr>
        <w:t>);</w:t>
      </w:r>
    </w:p>
    <w:p>
      <w:pPr>
        <w:spacing w:after="0" w:line="156" w:lineRule="exact"/>
        <w:rPr>
          <w:rFonts w:ascii="Arial" w:cs="Arial" w:eastAsia="Arial" w:hAnsi="Arial"/>
          <w:sz w:val="18"/>
          <w:szCs w:val="18"/>
          <w:color w:val="010000"/>
        </w:rPr>
      </w:pPr>
    </w:p>
    <w:p>
      <w:pPr>
        <w:jc w:val="both"/>
        <w:ind w:left="660" w:firstLine="903"/>
        <w:spacing w:after="0" w:line="267" w:lineRule="auto"/>
        <w:tabs>
          <w:tab w:leader="none" w:pos="1990" w:val="left"/>
        </w:tabs>
        <w:numPr>
          <w:ilvl w:val="1"/>
          <w:numId w:val="171"/>
        </w:numPr>
        <w:rPr>
          <w:rFonts w:ascii="Arial" w:cs="Arial" w:eastAsia="Arial" w:hAnsi="Arial"/>
          <w:sz w:val="16"/>
          <w:szCs w:val="16"/>
          <w:color w:val="010000"/>
        </w:rPr>
      </w:pPr>
      <w:r>
        <w:rPr>
          <w:rFonts w:ascii="Arial" w:cs="Arial" w:eastAsia="Arial" w:hAnsi="Arial"/>
          <w:sz w:val="16"/>
          <w:szCs w:val="16"/>
          <w:color w:val="auto"/>
        </w:rPr>
        <w:t xml:space="preserve">Indebtedness (A) outstanding on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Indebtedness in excess of $10,000,000 individually shall only be permitted if set forth on </w:t>
      </w:r>
      <w:r>
        <w:rPr>
          <w:rFonts w:ascii="Arial" w:cs="Arial" w:eastAsia="Arial" w:hAnsi="Arial"/>
          <w:sz w:val="16"/>
          <w:szCs w:val="16"/>
          <w:u w:val="single" w:color="auto"/>
          <w:color w:val="auto"/>
        </w:rPr>
        <w:t>Schedule 6.01</w:t>
      </w:r>
      <w:r>
        <w:rPr>
          <w:rFonts w:ascii="Arial" w:cs="Arial" w:eastAsia="Arial" w:hAnsi="Arial"/>
          <w:sz w:val="16"/>
          <w:szCs w:val="16"/>
          <w:color w:val="auto"/>
        </w:rPr>
        <w:t>, and any Permitted Refinancing thereof and (B) that is intercompany Indebtedness among the Borrower and/or the Restricted Subsidiaries outstanding on the Effective Date and any Permitted Refinancing thereof;</w:t>
      </w:r>
    </w:p>
    <w:p>
      <w:pPr>
        <w:spacing w:after="0" w:line="141" w:lineRule="exact"/>
        <w:rPr>
          <w:rFonts w:ascii="Arial" w:cs="Arial" w:eastAsia="Arial" w:hAnsi="Arial"/>
          <w:sz w:val="16"/>
          <w:szCs w:val="16"/>
          <w:color w:val="010000"/>
        </w:rPr>
      </w:pPr>
    </w:p>
    <w:p>
      <w:pPr>
        <w:jc w:val="both"/>
        <w:ind w:left="660" w:firstLine="903"/>
        <w:spacing w:after="0" w:line="232" w:lineRule="auto"/>
        <w:tabs>
          <w:tab w:leader="none" w:pos="2119" w:val="left"/>
        </w:tabs>
        <w:numPr>
          <w:ilvl w:val="1"/>
          <w:numId w:val="171"/>
        </w:numPr>
        <w:rPr>
          <w:rFonts w:ascii="Arial" w:cs="Arial" w:eastAsia="Arial" w:hAnsi="Arial"/>
          <w:sz w:val="17"/>
          <w:szCs w:val="17"/>
          <w:color w:val="010000"/>
        </w:rPr>
      </w:pPr>
      <w:r>
        <w:rPr>
          <w:rFonts w:ascii="Arial" w:cs="Arial" w:eastAsia="Arial" w:hAnsi="Arial"/>
          <w:sz w:val="17"/>
          <w:szCs w:val="17"/>
          <w:color w:val="auto"/>
        </w:rPr>
        <w:t xml:space="preserve">Guarantees by the Borrower and the Restricted Subsidiaries in respect of Indebtedness of the Borrower or any Restricted Subsidiary otherwise permitted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Guarantee is otherwise permitted by </w:t>
      </w:r>
      <w:r>
        <w:rPr>
          <w:rFonts w:ascii="Arial" w:cs="Arial" w:eastAsia="Arial" w:hAnsi="Arial"/>
          <w:sz w:val="17"/>
          <w:szCs w:val="17"/>
          <w:u w:val="single" w:color="auto"/>
          <w:color w:val="auto"/>
        </w:rPr>
        <w:t>Section 6.04</w:t>
      </w:r>
      <w:r>
        <w:rPr>
          <w:rFonts w:ascii="Arial" w:cs="Arial" w:eastAsia="Arial" w:hAnsi="Arial"/>
          <w:sz w:val="17"/>
          <w:szCs w:val="17"/>
          <w:color w:val="auto"/>
        </w:rPr>
        <w:t>, (B) no Guarantee by any Restricted Subsidiary of any Junior Financing shall be permitted unless such Restricted Subsidiary shall have also provided a Guarantee of the Loan Document Obligations pursuant to the Guarantee Agreement and (C) if the Indebtedness being Guaranteed is subordinated to the Loan Document Obligations, such Guarantee shall be subordinated to the Guarantee of the Loan Document Obligations on terms at least as favorable to the Lenders as those contained in the subordination of such Indebtedness;</w:t>
      </w:r>
    </w:p>
    <w:p>
      <w:pPr>
        <w:spacing w:after="0" w:line="162" w:lineRule="exact"/>
        <w:rPr>
          <w:rFonts w:ascii="Arial" w:cs="Arial" w:eastAsia="Arial" w:hAnsi="Arial"/>
          <w:sz w:val="17"/>
          <w:szCs w:val="17"/>
          <w:color w:val="010000"/>
        </w:rPr>
      </w:pPr>
    </w:p>
    <w:p>
      <w:pPr>
        <w:jc w:val="both"/>
        <w:ind w:left="660" w:firstLine="903"/>
        <w:spacing w:after="0" w:line="248" w:lineRule="auto"/>
        <w:tabs>
          <w:tab w:leader="none" w:pos="2030" w:val="left"/>
        </w:tabs>
        <w:numPr>
          <w:ilvl w:val="1"/>
          <w:numId w:val="171"/>
        </w:numPr>
        <w:rPr>
          <w:rFonts w:ascii="Arial" w:cs="Arial" w:eastAsia="Arial" w:hAnsi="Arial"/>
          <w:sz w:val="16"/>
          <w:szCs w:val="16"/>
          <w:color w:val="010000"/>
        </w:rPr>
      </w:pPr>
      <w:r>
        <w:rPr>
          <w:rFonts w:ascii="Arial" w:cs="Arial" w:eastAsia="Arial" w:hAnsi="Arial"/>
          <w:sz w:val="16"/>
          <w:szCs w:val="16"/>
          <w:color w:val="auto"/>
        </w:rPr>
        <w:t xml:space="preserve">Indebtedness of the Borrower or of any Restricted Subsidiary owing to any Restricted Subsidiary, the Borrower or Holdings to the extent permitted by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Indebtedness of any Loan Party owing to any Restricted Subsidiary that is not a Loan Party shall be subordinated to the Loan Document Obligations (to the extent any such Indebtedness is outstanding at any time after the date that is 30 days after the Effective Date or such later date as the Administrative Agent may reasonably agree) (but only to the extent permitted by applicable law and not giving rise to material adverse Tax consequences) on terms (A) at least as favorable to the Lenders as those set forth in the form of intercompany note attached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or (B) otherwise reasonably satisfactory to the Administrative Agent;</w:t>
      </w:r>
    </w:p>
    <w:p>
      <w:pPr>
        <w:spacing w:after="0" w:line="155" w:lineRule="exact"/>
        <w:rPr>
          <w:rFonts w:ascii="Arial" w:cs="Arial" w:eastAsia="Arial" w:hAnsi="Arial"/>
          <w:sz w:val="16"/>
          <w:szCs w:val="16"/>
          <w:color w:val="010000"/>
        </w:rPr>
      </w:pPr>
    </w:p>
    <w:p>
      <w:pPr>
        <w:jc w:val="both"/>
        <w:ind w:left="660" w:firstLine="903"/>
        <w:spacing w:after="0" w:line="215" w:lineRule="auto"/>
        <w:tabs>
          <w:tab w:leader="none" w:pos="2047" w:val="left"/>
        </w:tabs>
        <w:numPr>
          <w:ilvl w:val="1"/>
          <w:numId w:val="171"/>
        </w:numPr>
        <w:rPr>
          <w:rFonts w:ascii="Arial" w:cs="Arial" w:eastAsia="Arial" w:hAnsi="Arial"/>
          <w:sz w:val="18"/>
          <w:szCs w:val="18"/>
          <w:color w:val="010000"/>
        </w:rPr>
      </w:pPr>
      <w:r>
        <w:rPr>
          <w:rFonts w:ascii="Arial" w:cs="Arial" w:eastAsia="Arial" w:hAnsi="Arial"/>
          <w:sz w:val="18"/>
          <w:szCs w:val="18"/>
          <w:color w:val="auto"/>
        </w:rPr>
        <w:t xml:space="preserve">(A) Indebtedness (including Capital Lease Obligations) of the Borrower or any of the Restricted Subsidiaries financing the acquisition, construction, repair, replacement or improvement of fixed or capital assets (whether through the direct purchase of property or any Person owning such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is incurred concurrently with or within 270 days after the applicable acquisition, construction, repair, replacement or improvement;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at the time of any such incurrence of Indebtedness and after giving Pro Forma Effect thereto and the use of the proceeds thereof, the aggregate principal amount of Indebtedness that is outstanding in reliance on this subclause (A) shall not exceed the greater of $46,000,000 and 35% of Consolidated EBITDA for the most recently ended Test Period as of such time determined on a Pro Forma Basis, and (B) any Permitted Refinancing of any Indebtedness set forth in the immediately preceding subclause (A);</w:t>
      </w:r>
    </w:p>
    <w:p>
      <w:pPr>
        <w:spacing w:after="0" w:line="177" w:lineRule="exact"/>
        <w:rPr>
          <w:rFonts w:ascii="Arial" w:cs="Arial" w:eastAsia="Arial" w:hAnsi="Arial"/>
          <w:sz w:val="18"/>
          <w:szCs w:val="18"/>
          <w:color w:val="010000"/>
        </w:rPr>
      </w:pPr>
    </w:p>
    <w:p>
      <w:pPr>
        <w:ind w:left="2000" w:hanging="437"/>
        <w:spacing w:after="0"/>
        <w:tabs>
          <w:tab w:leader="none" w:pos="2000" w:val="left"/>
        </w:tabs>
        <w:numPr>
          <w:ilvl w:val="1"/>
          <w:numId w:val="171"/>
        </w:numPr>
        <w:rPr>
          <w:rFonts w:ascii="Arial" w:cs="Arial" w:eastAsia="Arial" w:hAnsi="Arial"/>
          <w:sz w:val="18"/>
          <w:szCs w:val="18"/>
          <w:color w:val="010000"/>
        </w:rPr>
      </w:pPr>
      <w:r>
        <w:rPr>
          <w:rFonts w:ascii="Arial" w:cs="Arial" w:eastAsia="Arial" w:hAnsi="Arial"/>
          <w:sz w:val="18"/>
          <w:szCs w:val="18"/>
          <w:color w:val="auto"/>
        </w:rPr>
        <w:t>Indebtedness in respect of Swap Agreements (other than Swap Agreements entered into for speculative purposes);</w:t>
      </w:r>
    </w:p>
    <w:p>
      <w:pPr>
        <w:spacing w:after="0" w:line="184" w:lineRule="exact"/>
        <w:rPr>
          <w:rFonts w:ascii="Arial" w:cs="Arial" w:eastAsia="Arial" w:hAnsi="Arial"/>
          <w:sz w:val="18"/>
          <w:szCs w:val="18"/>
          <w:color w:val="010000"/>
        </w:rPr>
      </w:pPr>
    </w:p>
    <w:p>
      <w:pPr>
        <w:jc w:val="both"/>
        <w:ind w:left="660" w:firstLine="903"/>
        <w:spacing w:after="0" w:line="219" w:lineRule="auto"/>
        <w:tabs>
          <w:tab w:leader="none" w:pos="2183" w:val="left"/>
        </w:tabs>
        <w:numPr>
          <w:ilvl w:val="1"/>
          <w:numId w:val="171"/>
        </w:numPr>
        <w:rPr>
          <w:rFonts w:ascii="Arial" w:cs="Arial" w:eastAsia="Arial" w:hAnsi="Arial"/>
          <w:sz w:val="18"/>
          <w:szCs w:val="18"/>
          <w:color w:val="010000"/>
        </w:rPr>
      </w:pPr>
      <w:r>
        <w:rPr>
          <w:rFonts w:ascii="Arial" w:cs="Arial" w:eastAsia="Arial" w:hAnsi="Arial"/>
          <w:sz w:val="18"/>
          <w:szCs w:val="18"/>
          <w:color w:val="auto"/>
        </w:rPr>
        <w:t>(A) (1) Indebtedness of any Person that becomes a Restricted Subsidiary (or of any Person not previously a Restricted Subsidiary that is merged or consolidated with or into the Borrower or a Restricted Subsidiary) after the Effective Date as a result of a Permitted Acquisition or other Investment (and any guarantee of such Indebtedness by a Subsidiary of such Person), (2) Indebtedness of any Person that is assumed by the Borrower or any Restricted Subsidiary in connection with an acquisition of assets by the Borrower or such Restricted Subsidiary in a Permitted Acquisition or other Investment and (3) any guarantee of Indebtedness described in the foregoing clauses (1) and (2) by any Person that so becomes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107</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 xml:space="preserve">Restricted Subsidiary, that is the survivor of a merger or consolidation with such Person or that is a Subsidiary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(or guarantee thereof) is not incurred in contemplation of such Permitted Acquisition or other Investment and (B) any Permitted Refinancing of Indebtedness incurred pursuant to the foregoing subclause (A);</w:t>
      </w:r>
    </w:p>
    <w:p>
      <w:pPr>
        <w:spacing w:after="0" w:line="176" w:lineRule="exact"/>
        <w:rPr>
          <w:sz w:val="20"/>
          <w:szCs w:val="20"/>
          <w:color w:val="auto"/>
        </w:rPr>
      </w:pPr>
    </w:p>
    <w:p>
      <w:pPr>
        <w:ind w:left="1440" w:hanging="537"/>
        <w:spacing w:after="0"/>
        <w:tabs>
          <w:tab w:leader="none" w:pos="1440" w:val="left"/>
        </w:tabs>
        <w:numPr>
          <w:ilvl w:val="0"/>
          <w:numId w:val="172"/>
        </w:numPr>
        <w:rPr>
          <w:rFonts w:ascii="Arial" w:cs="Arial" w:eastAsia="Arial" w:hAnsi="Arial"/>
          <w:sz w:val="18"/>
          <w:szCs w:val="18"/>
          <w:color w:val="010000"/>
        </w:rPr>
      </w:pPr>
      <w:r>
        <w:rPr>
          <w:rFonts w:ascii="Arial" w:cs="Arial" w:eastAsia="Arial" w:hAnsi="Arial"/>
          <w:sz w:val="18"/>
          <w:szCs w:val="18"/>
          <w:color w:val="auto"/>
        </w:rPr>
        <w:t>Indebtedness in respect of Permitted Receivables Financings;</w:t>
      </w:r>
    </w:p>
    <w:p>
      <w:pPr>
        <w:spacing w:after="0" w:line="184" w:lineRule="exact"/>
        <w:rPr>
          <w:rFonts w:ascii="Arial" w:cs="Arial" w:eastAsia="Arial" w:hAnsi="Arial"/>
          <w:sz w:val="18"/>
          <w:szCs w:val="18"/>
          <w:color w:val="010000"/>
        </w:rPr>
      </w:pPr>
    </w:p>
    <w:p>
      <w:pPr>
        <w:ind w:firstLine="903"/>
        <w:spacing w:after="0" w:line="235" w:lineRule="auto"/>
        <w:tabs>
          <w:tab w:leader="none" w:pos="1376" w:val="left"/>
        </w:tabs>
        <w:numPr>
          <w:ilvl w:val="0"/>
          <w:numId w:val="172"/>
        </w:numPr>
        <w:rPr>
          <w:rFonts w:ascii="Arial" w:cs="Arial" w:eastAsia="Arial" w:hAnsi="Arial"/>
          <w:sz w:val="18"/>
          <w:szCs w:val="18"/>
          <w:color w:val="010000"/>
        </w:rPr>
      </w:pPr>
      <w:r>
        <w:rPr>
          <w:rFonts w:ascii="Arial" w:cs="Arial" w:eastAsia="Arial" w:hAnsi="Arial"/>
          <w:sz w:val="18"/>
          <w:szCs w:val="18"/>
          <w:color w:val="auto"/>
        </w:rPr>
        <w:t>Indebtedness representing deferred compensation to employees and other service providers of the Borrower and the Restricted Subsidiaries incurred in the ordinary course of business;</w:t>
      </w:r>
    </w:p>
    <w:p>
      <w:pPr>
        <w:spacing w:after="0" w:line="175" w:lineRule="exact"/>
        <w:rPr>
          <w:rFonts w:ascii="Arial" w:cs="Arial" w:eastAsia="Arial" w:hAnsi="Arial"/>
          <w:sz w:val="18"/>
          <w:szCs w:val="18"/>
          <w:color w:val="010000"/>
        </w:rPr>
      </w:pPr>
    </w:p>
    <w:p>
      <w:pPr>
        <w:jc w:val="both"/>
        <w:ind w:firstLine="903"/>
        <w:spacing w:after="0" w:line="224" w:lineRule="auto"/>
        <w:tabs>
          <w:tab w:leader="none" w:pos="1306" w:val="left"/>
        </w:tabs>
        <w:numPr>
          <w:ilvl w:val="0"/>
          <w:numId w:val="172"/>
        </w:numPr>
        <w:rPr>
          <w:rFonts w:ascii="Arial" w:cs="Arial" w:eastAsia="Arial" w:hAnsi="Arial"/>
          <w:sz w:val="18"/>
          <w:szCs w:val="18"/>
          <w:color w:val="010000"/>
        </w:rPr>
      </w:pPr>
      <w:r>
        <w:rPr>
          <w:rFonts w:ascii="Arial" w:cs="Arial" w:eastAsia="Arial" w:hAnsi="Arial"/>
          <w:sz w:val="18"/>
          <w:szCs w:val="18"/>
          <w:color w:val="auto"/>
        </w:rPr>
        <w:t xml:space="preserve">Indebtedness consisting of unsecured promissory notes issued by the Borrower or any Restricted Subsidiary to current or former officers, directors and employees or their respective estates, spouses or former spouses to finance the purchase or redemption of Equity Interests of Holdings (or any direct or indirect parent thereof) permitted by </w:t>
      </w:r>
      <w:r>
        <w:rPr>
          <w:rFonts w:ascii="Arial" w:cs="Arial" w:eastAsia="Arial" w:hAnsi="Arial"/>
          <w:sz w:val="18"/>
          <w:szCs w:val="18"/>
          <w:u w:val="single" w:color="auto"/>
          <w:color w:val="auto"/>
        </w:rPr>
        <w:t>Section 6.08(a)</w:t>
      </w:r>
      <w:r>
        <w:rPr>
          <w:rFonts w:ascii="Arial" w:cs="Arial" w:eastAsia="Arial" w:hAnsi="Arial"/>
          <w:sz w:val="18"/>
          <w:szCs w:val="18"/>
          <w:color w:val="auto"/>
        </w:rPr>
        <w:t>;</w:t>
      </w:r>
    </w:p>
    <w:p>
      <w:pPr>
        <w:spacing w:after="0" w:line="176" w:lineRule="exact"/>
        <w:rPr>
          <w:rFonts w:ascii="Arial" w:cs="Arial" w:eastAsia="Arial" w:hAnsi="Arial"/>
          <w:sz w:val="18"/>
          <w:szCs w:val="18"/>
          <w:color w:val="010000"/>
        </w:rPr>
      </w:pPr>
    </w:p>
    <w:p>
      <w:pPr>
        <w:jc w:val="both"/>
        <w:ind w:firstLine="903"/>
        <w:spacing w:after="0" w:line="237" w:lineRule="auto"/>
        <w:tabs>
          <w:tab w:leader="none" w:pos="1403" w:val="left"/>
        </w:tabs>
        <w:numPr>
          <w:ilvl w:val="0"/>
          <w:numId w:val="172"/>
        </w:numPr>
        <w:rPr>
          <w:rFonts w:ascii="Arial" w:cs="Arial" w:eastAsia="Arial" w:hAnsi="Arial"/>
          <w:sz w:val="17"/>
          <w:szCs w:val="17"/>
          <w:color w:val="010000"/>
        </w:rPr>
      </w:pPr>
      <w:r>
        <w:rPr>
          <w:rFonts w:ascii="Arial" w:cs="Arial" w:eastAsia="Arial" w:hAnsi="Arial"/>
          <w:sz w:val="17"/>
          <w:szCs w:val="17"/>
          <w:color w:val="auto"/>
        </w:rPr>
        <w:t>Indebtedness constituting indemnification obligations or obligations in respect of purchase price or other similar adjustments (including “earn out” or similar obligations and mark to market adjustments with respect to the foregoing) incurred in connection with the Transactions or any Permitted Acquisition, any other Investment or any Disposition, in each case permitted under this Agreement;</w:t>
      </w:r>
    </w:p>
    <w:p>
      <w:pPr>
        <w:spacing w:after="0" w:line="176" w:lineRule="exact"/>
        <w:rPr>
          <w:rFonts w:ascii="Arial" w:cs="Arial" w:eastAsia="Arial" w:hAnsi="Arial"/>
          <w:sz w:val="17"/>
          <w:szCs w:val="17"/>
          <w:color w:val="010000"/>
        </w:rPr>
      </w:pPr>
    </w:p>
    <w:p>
      <w:pPr>
        <w:ind w:firstLine="903"/>
        <w:spacing w:after="0" w:line="235" w:lineRule="auto"/>
        <w:tabs>
          <w:tab w:leader="none" w:pos="1418" w:val="left"/>
        </w:tabs>
        <w:numPr>
          <w:ilvl w:val="0"/>
          <w:numId w:val="172"/>
        </w:numPr>
        <w:rPr>
          <w:rFonts w:ascii="Arial" w:cs="Arial" w:eastAsia="Arial" w:hAnsi="Arial"/>
          <w:sz w:val="18"/>
          <w:szCs w:val="18"/>
          <w:color w:val="010000"/>
        </w:rPr>
      </w:pPr>
      <w:r>
        <w:rPr>
          <w:rFonts w:ascii="Arial" w:cs="Arial" w:eastAsia="Arial" w:hAnsi="Arial"/>
          <w:sz w:val="18"/>
          <w:szCs w:val="18"/>
          <w:color w:val="auto"/>
        </w:rPr>
        <w:t>Indebtedness consisting of obligations under deferred compensation or other similar arrangements incurred in connection with the Transactions or any Permitted Acquisition or other Investment permitted hereunder;</w:t>
      </w:r>
    </w:p>
    <w:p>
      <w:pPr>
        <w:spacing w:after="0" w:line="161" w:lineRule="exact"/>
        <w:rPr>
          <w:rFonts w:ascii="Arial" w:cs="Arial" w:eastAsia="Arial" w:hAnsi="Arial"/>
          <w:sz w:val="18"/>
          <w:szCs w:val="18"/>
          <w:color w:val="010000"/>
        </w:rPr>
      </w:pPr>
    </w:p>
    <w:p>
      <w:pPr>
        <w:jc w:val="both"/>
        <w:ind w:firstLine="903"/>
        <w:spacing w:after="0" w:line="219" w:lineRule="auto"/>
        <w:tabs>
          <w:tab w:leader="none" w:pos="1593" w:val="left"/>
        </w:tabs>
        <w:numPr>
          <w:ilvl w:val="0"/>
          <w:numId w:val="172"/>
        </w:numPr>
        <w:rPr>
          <w:rFonts w:ascii="Arial" w:cs="Arial" w:eastAsia="Arial" w:hAnsi="Arial"/>
          <w:sz w:val="18"/>
          <w:szCs w:val="18"/>
          <w:color w:val="010000"/>
        </w:rPr>
      </w:pPr>
      <w:r>
        <w:rPr>
          <w:rFonts w:ascii="Arial" w:cs="Arial" w:eastAsia="Arial" w:hAnsi="Arial"/>
          <w:sz w:val="18"/>
          <w:szCs w:val="18"/>
          <w:color w:val="auto"/>
        </w:rPr>
        <w:t>Cash Management Obligations and other Indebtedness in respect of netting services, overdraft protections and similar arrangements and Indebtedness arising from the honoring of a bank or other financial institution of a check, draft or similar instrument drawn against insufficient funds, (including Indebtedness owed on a short term basis of no longer than 30 days to banks and other financial institutions incurred in the ordinary course of business of Holdings, the Borrower and their Restricted Subsidiaries with such banks or financial institutions that arises in connection with ordinary banking arrangements to manage cash balances of Holdings, the Borrower and their Restricted Subsidiaries);</w:t>
      </w:r>
    </w:p>
    <w:p>
      <w:pPr>
        <w:spacing w:after="0" w:line="162" w:lineRule="exact"/>
        <w:rPr>
          <w:rFonts w:ascii="Arial" w:cs="Arial" w:eastAsia="Arial" w:hAnsi="Arial"/>
          <w:sz w:val="18"/>
          <w:szCs w:val="18"/>
          <w:color w:val="010000"/>
        </w:rPr>
      </w:pPr>
    </w:p>
    <w:p>
      <w:pPr>
        <w:jc w:val="both"/>
        <w:ind w:firstLine="903"/>
        <w:spacing w:after="0" w:line="236" w:lineRule="auto"/>
        <w:tabs>
          <w:tab w:leader="none" w:pos="1508" w:val="left"/>
        </w:tabs>
        <w:numPr>
          <w:ilvl w:val="0"/>
          <w:numId w:val="172"/>
        </w:numPr>
        <w:rPr>
          <w:rFonts w:ascii="Arial" w:cs="Arial" w:eastAsia="Arial" w:hAnsi="Arial"/>
          <w:sz w:val="17"/>
          <w:szCs w:val="17"/>
          <w:color w:val="010000"/>
        </w:rPr>
      </w:pPr>
      <w:r>
        <w:rPr>
          <w:rFonts w:ascii="Arial" w:cs="Arial" w:eastAsia="Arial" w:hAnsi="Arial"/>
          <w:sz w:val="17"/>
          <w:szCs w:val="17"/>
          <w:color w:val="auto"/>
        </w:rPr>
        <w:t xml:space="preserve">Indebtedness of the Borrower and the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the incurrence thereof and after giving Pro Forma Effect thereto, the aggregate principal amount of Indebtedness outstanding in reliance on this clause (xiv) shall not exceed (x) the greater of $65,000,000 and 50% of Consolidated EBITDA for the most recently ended Test Period as of such time determined on a Pro Forma Basis (this clause (x), the “</w:t>
      </w:r>
      <w:r>
        <w:rPr>
          <w:rFonts w:ascii="Arial" w:cs="Arial" w:eastAsia="Arial" w:hAnsi="Arial"/>
          <w:sz w:val="17"/>
          <w:szCs w:val="17"/>
          <w:u w:val="single" w:color="auto"/>
          <w:color w:val="auto"/>
        </w:rPr>
        <w:t>General Debt Basket</w:t>
      </w:r>
      <w:r>
        <w:rPr>
          <w:rFonts w:ascii="Arial" w:cs="Arial" w:eastAsia="Arial" w:hAnsi="Arial"/>
          <w:sz w:val="17"/>
          <w:szCs w:val="17"/>
          <w:color w:val="auto"/>
        </w:rPr>
        <w:t>”), minus (y) the General Debt Basket Reallocated Amount (if any);</w:t>
      </w:r>
    </w:p>
    <w:p>
      <w:pPr>
        <w:spacing w:after="0" w:line="176" w:lineRule="exact"/>
        <w:rPr>
          <w:rFonts w:ascii="Arial" w:cs="Arial" w:eastAsia="Arial" w:hAnsi="Arial"/>
          <w:sz w:val="17"/>
          <w:szCs w:val="17"/>
          <w:color w:val="010000"/>
        </w:rPr>
      </w:pPr>
    </w:p>
    <w:p>
      <w:pPr>
        <w:ind w:firstLine="903"/>
        <w:spacing w:after="0" w:line="235" w:lineRule="auto"/>
        <w:tabs>
          <w:tab w:leader="none" w:pos="1526" w:val="left"/>
        </w:tabs>
        <w:numPr>
          <w:ilvl w:val="0"/>
          <w:numId w:val="172"/>
        </w:numPr>
        <w:rPr>
          <w:rFonts w:ascii="Arial" w:cs="Arial" w:eastAsia="Arial" w:hAnsi="Arial"/>
          <w:sz w:val="18"/>
          <w:szCs w:val="18"/>
          <w:color w:val="010000"/>
        </w:rPr>
      </w:pPr>
      <w:r>
        <w:rPr>
          <w:rFonts w:ascii="Arial" w:cs="Arial" w:eastAsia="Arial" w:hAnsi="Arial"/>
          <w:sz w:val="18"/>
          <w:szCs w:val="18"/>
          <w:color w:val="auto"/>
        </w:rPr>
        <w:t>Indebtedness consisting of (A) the financing of insurance premiums or (B) take-or-pay obligations contained in supply arrangements, in each case in the ordinary course of business;</w:t>
      </w:r>
    </w:p>
    <w:p>
      <w:pPr>
        <w:spacing w:after="0" w:line="161" w:lineRule="exact"/>
        <w:rPr>
          <w:rFonts w:ascii="Arial" w:cs="Arial" w:eastAsia="Arial" w:hAnsi="Arial"/>
          <w:sz w:val="18"/>
          <w:szCs w:val="18"/>
          <w:color w:val="010000"/>
        </w:rPr>
      </w:pPr>
    </w:p>
    <w:p>
      <w:pPr>
        <w:jc w:val="both"/>
        <w:ind w:firstLine="903"/>
        <w:spacing w:after="0" w:line="236" w:lineRule="auto"/>
        <w:tabs>
          <w:tab w:leader="none" w:pos="1494" w:val="left"/>
        </w:tabs>
        <w:numPr>
          <w:ilvl w:val="0"/>
          <w:numId w:val="172"/>
        </w:numPr>
        <w:rPr>
          <w:rFonts w:ascii="Arial" w:cs="Arial" w:eastAsia="Arial" w:hAnsi="Arial"/>
          <w:sz w:val="17"/>
          <w:szCs w:val="17"/>
          <w:color w:val="010000"/>
        </w:rPr>
      </w:pPr>
      <w:r>
        <w:rPr>
          <w:rFonts w:ascii="Arial" w:cs="Arial" w:eastAsia="Arial" w:hAnsi="Arial"/>
          <w:sz w:val="17"/>
          <w:szCs w:val="17"/>
          <w:color w:val="auto"/>
        </w:rPr>
        <w:t>Indebtedness incurred by the Borrower or any of the Restricted Subsidiaries in respect of letters of credit, bank guarantees, bankers’ acceptances or similar instruments issued or created, or related to obligations or liabilities incurred, in the ordinary course of business, including in respect of workers compensation claims, health, disability or other employee benefits or property, casualty or liability insurance or self-insurance or other reimbursement-type obligations regarding workers compensation claims;</w:t>
      </w:r>
    </w:p>
    <w:p>
      <w:pPr>
        <w:spacing w:after="0" w:line="176" w:lineRule="exact"/>
        <w:rPr>
          <w:rFonts w:ascii="Arial" w:cs="Arial" w:eastAsia="Arial" w:hAnsi="Arial"/>
          <w:sz w:val="17"/>
          <w:szCs w:val="17"/>
          <w:color w:val="010000"/>
        </w:rPr>
      </w:pPr>
    </w:p>
    <w:p>
      <w:pPr>
        <w:jc w:val="both"/>
        <w:ind w:firstLine="903"/>
        <w:spacing w:after="0" w:line="259" w:lineRule="auto"/>
        <w:tabs>
          <w:tab w:leader="none" w:pos="1594" w:val="left"/>
        </w:tabs>
        <w:numPr>
          <w:ilvl w:val="0"/>
          <w:numId w:val="172"/>
        </w:numPr>
        <w:rPr>
          <w:rFonts w:ascii="Arial" w:cs="Arial" w:eastAsia="Arial" w:hAnsi="Arial"/>
          <w:sz w:val="16"/>
          <w:szCs w:val="16"/>
          <w:color w:val="010000"/>
        </w:rPr>
      </w:pPr>
      <w:r>
        <w:rPr>
          <w:rFonts w:ascii="Arial" w:cs="Arial" w:eastAsia="Arial" w:hAnsi="Arial"/>
          <w:sz w:val="16"/>
          <w:szCs w:val="16"/>
          <w:color w:val="auto"/>
        </w:rPr>
        <w:t>obligations in respect of performance, bid, appeal and surety bonds and performance, bankers’ acceptance facilities and completion guarantees and similar obligations provided by the Borrower or any of the Restricted Subsidiaries or obligations in respect of letters of credit, bank guarantees or similar instruments related thereto, in each case in the ordinary course of business or consistent with past practice;</w:t>
      </w:r>
    </w:p>
    <w:p>
      <w:pPr>
        <w:spacing w:after="0" w:line="160" w:lineRule="exact"/>
        <w:rPr>
          <w:rFonts w:ascii="Arial" w:cs="Arial" w:eastAsia="Arial" w:hAnsi="Arial"/>
          <w:sz w:val="16"/>
          <w:szCs w:val="16"/>
          <w:color w:val="010000"/>
        </w:rPr>
      </w:pPr>
    </w:p>
    <w:p>
      <w:pPr>
        <w:jc w:val="both"/>
        <w:ind w:firstLine="903"/>
        <w:spacing w:after="0" w:line="254" w:lineRule="auto"/>
        <w:tabs>
          <w:tab w:leader="none" w:pos="1599" w:val="left"/>
        </w:tabs>
        <w:numPr>
          <w:ilvl w:val="0"/>
          <w:numId w:val="172"/>
        </w:numPr>
        <w:rPr>
          <w:rFonts w:ascii="Arial" w:cs="Arial" w:eastAsia="Arial" w:hAnsi="Arial"/>
          <w:sz w:val="16"/>
          <w:szCs w:val="16"/>
          <w:color w:val="010000"/>
        </w:rPr>
      </w:pPr>
      <w:r>
        <w:rPr>
          <w:rFonts w:ascii="Arial" w:cs="Arial" w:eastAsia="Arial" w:hAnsi="Arial"/>
          <w:sz w:val="16"/>
          <w:szCs w:val="16"/>
          <w:color w:val="auto"/>
        </w:rPr>
        <w:t xml:space="preserve">Indebtedness of the Borrower and the Restricted Subsidiaries consisting of guarantees of the obligations of any Person of which the Borrower or any Restricted Subsidiary owns any Equity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the incurrence thereof and after giving Pro Forma Effect thereto, the aggregate principal amount of Indebtedness outstanding in reliance on this clause (xviii) shall not exceed the greater of $33,000,000 and 25% of Consolidated EBITDA for the most recently ended Test Period as of such time determined on a Pro Forma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800"/>
        <w:spacing w:after="0"/>
        <w:rPr>
          <w:sz w:val="20"/>
          <w:szCs w:val="20"/>
          <w:color w:val="auto"/>
        </w:rPr>
      </w:pPr>
      <w:r>
        <w:rPr>
          <w:rFonts w:ascii="Arial" w:cs="Arial" w:eastAsia="Arial" w:hAnsi="Arial"/>
          <w:sz w:val="22"/>
          <w:szCs w:val="22"/>
          <w:u w:val="single" w:color="auto"/>
          <w:color w:val="0000FF"/>
          <w:highlight w:val="lightGray"/>
        </w:rPr>
        <w:t>108</w:t>
      </w:r>
    </w:p>
    <w:p>
      <w:pPr>
        <w:sectPr>
          <w:pgSz w:w="11900" w:h="16838" w:orient="portrait"/>
          <w:cols w:equalWidth="0" w:num="1">
            <w:col w:w="10580"/>
          </w:cols>
          <w:pgMar w:left="980" w:top="1440" w:right="339" w:bottom="1440" w:gutter="0" w:footer="0" w:header="0"/>
        </w:sectPr>
      </w:pPr>
    </w:p>
    <w:bookmarkStart w:id="166" w:name="page167"/>
    <w:bookmarkEnd w:id="166"/>
    <w:p>
      <w:pPr>
        <w:spacing w:after="0" w:line="63" w:lineRule="exact"/>
        <w:rPr>
          <w:sz w:val="20"/>
          <w:szCs w:val="20"/>
          <w:color w:val="auto"/>
        </w:rPr>
      </w:pPr>
    </w:p>
    <w:p>
      <w:pPr>
        <w:jc w:val="both"/>
        <w:ind w:left="4" w:firstLine="903"/>
        <w:spacing w:after="0" w:line="228" w:lineRule="auto"/>
        <w:tabs>
          <w:tab w:leader="none" w:pos="1473" w:val="left"/>
        </w:tabs>
        <w:numPr>
          <w:ilvl w:val="1"/>
          <w:numId w:val="173"/>
        </w:numPr>
        <w:rPr>
          <w:rFonts w:ascii="Arial" w:cs="Arial" w:eastAsia="Arial" w:hAnsi="Arial"/>
          <w:sz w:val="17"/>
          <w:szCs w:val="17"/>
          <w:color w:val="010000"/>
        </w:rPr>
      </w:pPr>
      <w:r>
        <w:rPr>
          <w:rFonts w:ascii="Arial" w:cs="Arial" w:eastAsia="Arial" w:hAnsi="Arial"/>
          <w:sz w:val="17"/>
          <w:szCs w:val="17"/>
          <w:color w:val="auto"/>
        </w:rPr>
        <w:t xml:space="preserve">(A) Indebtedness of the Borrower or any of the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the incurrence of such Indebtedness (and any Permitted Acquisition or other permitted Investment consummated in connection therewith) on a Pro Forma Basis, either (1) the Interest Coverage Ratio is greater than or equal to either (x) 1.75 to 1.00 or (y) if such Indebtedness is incurred in connection with a Permitted Acquisition or other permitted Investment, the lesser of (I) the Interest Coverage Ratio in effect immediately prior to the incurrence of such Indebtedness and (II) 1.75 to 1.00 or (2) the Total Leverage Ratio is equal to or less than either (x) 6.50 to 1.00 or (y) if such Indebtedness is incurred in connection with a Permitted Acquisition or other permitted Investment, the greater of (I) the Total Leverage Ratio in effect immediately prior to the incurrence of such Indebtedness and (II) 6.50 to 1.00 and (B) any Permitted Refinancing of Indebtedness incurred pursuant to the foregoing subclause (A);</w:t>
      </w:r>
    </w:p>
    <w:p>
      <w:pPr>
        <w:spacing w:after="0" w:line="161" w:lineRule="exact"/>
        <w:rPr>
          <w:rFonts w:ascii="Arial" w:cs="Arial" w:eastAsia="Arial" w:hAnsi="Arial"/>
          <w:sz w:val="17"/>
          <w:szCs w:val="17"/>
          <w:color w:val="010000"/>
        </w:rPr>
      </w:pPr>
    </w:p>
    <w:p>
      <w:pPr>
        <w:jc w:val="both"/>
        <w:ind w:left="4" w:firstLine="903"/>
        <w:spacing w:after="0" w:line="229" w:lineRule="auto"/>
        <w:tabs>
          <w:tab w:leader="none" w:pos="1432" w:val="left"/>
        </w:tabs>
        <w:numPr>
          <w:ilvl w:val="1"/>
          <w:numId w:val="173"/>
        </w:numPr>
        <w:rPr>
          <w:rFonts w:ascii="Arial" w:cs="Arial" w:eastAsia="Arial" w:hAnsi="Arial"/>
          <w:sz w:val="18"/>
          <w:szCs w:val="18"/>
          <w:color w:val="010000"/>
        </w:rPr>
      </w:pPr>
      <w:r>
        <w:rPr>
          <w:rFonts w:ascii="Arial" w:cs="Arial" w:eastAsia="Arial" w:hAnsi="Arial"/>
          <w:sz w:val="18"/>
          <w:szCs w:val="18"/>
          <w:color w:val="auto"/>
        </w:rPr>
        <w:t xml:space="preserve">Indebtedness supported by a letter of credit issued pursuant to this Agreement or any other letter of credit, bank guarantee or similar instrument permitted by this </w:t>
      </w:r>
      <w:r>
        <w:rPr>
          <w:rFonts w:ascii="Arial" w:cs="Arial" w:eastAsia="Arial" w:hAnsi="Arial"/>
          <w:sz w:val="18"/>
          <w:szCs w:val="18"/>
          <w:u w:val="single" w:color="auto"/>
          <w:color w:val="auto"/>
        </w:rPr>
        <w:t>Section 6.01(a)</w:t>
      </w:r>
      <w:r>
        <w:rPr>
          <w:rFonts w:ascii="Arial" w:cs="Arial" w:eastAsia="Arial" w:hAnsi="Arial"/>
          <w:sz w:val="18"/>
          <w:szCs w:val="18"/>
          <w:color w:val="auto"/>
        </w:rPr>
        <w:t>, in a principal amount not to exceed the face amount of such letter of credit, bank guarantee or such other instrument</w:t>
      </w:r>
    </w:p>
    <w:p>
      <w:pPr>
        <w:spacing w:after="0" w:line="163" w:lineRule="exact"/>
        <w:rPr>
          <w:rFonts w:ascii="Arial" w:cs="Arial" w:eastAsia="Arial" w:hAnsi="Arial"/>
          <w:sz w:val="18"/>
          <w:szCs w:val="18"/>
          <w:color w:val="010000"/>
        </w:rPr>
      </w:pPr>
    </w:p>
    <w:p>
      <w:pPr>
        <w:ind w:left="1444" w:hanging="537"/>
        <w:spacing w:after="0"/>
        <w:tabs>
          <w:tab w:leader="none" w:pos="1444" w:val="left"/>
        </w:tabs>
        <w:numPr>
          <w:ilvl w:val="1"/>
          <w:numId w:val="173"/>
        </w:numPr>
        <w:rPr>
          <w:rFonts w:ascii="Arial" w:cs="Arial" w:eastAsia="Arial" w:hAnsi="Arial"/>
          <w:sz w:val="18"/>
          <w:szCs w:val="18"/>
          <w:color w:val="010000"/>
        </w:rPr>
      </w:pPr>
      <w:r>
        <w:rPr>
          <w:rFonts w:ascii="Arial" w:cs="Arial" w:eastAsia="Arial" w:hAnsi="Arial"/>
          <w:sz w:val="18"/>
          <w:szCs w:val="18"/>
          <w:color w:val="auto"/>
        </w:rPr>
        <w:t>Permitted Unsecured Refinancing Debt and any Permitted Refinancing thereof;</w:t>
      </w:r>
    </w:p>
    <w:p>
      <w:pPr>
        <w:spacing w:after="0" w:line="198" w:lineRule="exact"/>
        <w:rPr>
          <w:rFonts w:ascii="Arial" w:cs="Arial" w:eastAsia="Arial" w:hAnsi="Arial"/>
          <w:sz w:val="18"/>
          <w:szCs w:val="18"/>
          <w:color w:val="010000"/>
        </w:rPr>
      </w:pPr>
    </w:p>
    <w:p>
      <w:pPr>
        <w:ind w:left="1524" w:hanging="617"/>
        <w:spacing w:after="0"/>
        <w:tabs>
          <w:tab w:leader="none" w:pos="1524" w:val="left"/>
        </w:tabs>
        <w:numPr>
          <w:ilvl w:val="1"/>
          <w:numId w:val="173"/>
        </w:numPr>
        <w:rPr>
          <w:rFonts w:ascii="Arial" w:cs="Arial" w:eastAsia="Arial" w:hAnsi="Arial"/>
          <w:sz w:val="16"/>
          <w:szCs w:val="16"/>
          <w:color w:val="010000"/>
        </w:rPr>
      </w:pPr>
      <w:r>
        <w:rPr>
          <w:rFonts w:ascii="Arial" w:cs="Arial" w:eastAsia="Arial" w:hAnsi="Arial"/>
          <w:sz w:val="16"/>
          <w:szCs w:val="16"/>
          <w:color w:val="auto"/>
        </w:rPr>
        <w:t>Permitted First Priority Refinancing Debt and Permitted Second Priority Refinancing Debt, and, in each case, any Permitted</w:t>
      </w:r>
    </w:p>
    <w:p>
      <w:pPr>
        <w:spacing w:after="0" w:line="7" w:lineRule="exact"/>
        <w:rPr>
          <w:rFonts w:ascii="Arial" w:cs="Arial" w:eastAsia="Arial" w:hAnsi="Arial"/>
          <w:sz w:val="16"/>
          <w:szCs w:val="16"/>
          <w:color w:val="010000"/>
        </w:rPr>
      </w:pPr>
    </w:p>
    <w:p>
      <w:pPr>
        <w:ind w:left="4"/>
        <w:spacing w:after="0"/>
        <w:rPr>
          <w:rFonts w:ascii="Arial" w:cs="Arial" w:eastAsia="Arial" w:hAnsi="Arial"/>
          <w:sz w:val="16"/>
          <w:szCs w:val="16"/>
          <w:color w:val="010000"/>
        </w:rPr>
      </w:pPr>
      <w:r>
        <w:rPr>
          <w:rFonts w:ascii="Arial" w:cs="Arial" w:eastAsia="Arial" w:hAnsi="Arial"/>
          <w:sz w:val="18"/>
          <w:szCs w:val="18"/>
          <w:color w:val="auto"/>
        </w:rPr>
        <w:t>Refinancing thereof;</w:t>
      </w:r>
    </w:p>
    <w:p>
      <w:pPr>
        <w:spacing w:after="0" w:line="168" w:lineRule="exact"/>
        <w:rPr>
          <w:rFonts w:ascii="Arial" w:cs="Arial" w:eastAsia="Arial" w:hAnsi="Arial"/>
          <w:sz w:val="16"/>
          <w:szCs w:val="16"/>
          <w:color w:val="010000"/>
        </w:rPr>
      </w:pPr>
    </w:p>
    <w:p>
      <w:pPr>
        <w:jc w:val="both"/>
        <w:ind w:left="4" w:firstLine="903"/>
        <w:spacing w:after="0" w:line="217" w:lineRule="auto"/>
        <w:tabs>
          <w:tab w:leader="none" w:pos="1588" w:val="left"/>
        </w:tabs>
        <w:numPr>
          <w:ilvl w:val="1"/>
          <w:numId w:val="173"/>
        </w:numPr>
        <w:rPr>
          <w:rFonts w:ascii="Arial" w:cs="Arial" w:eastAsia="Arial" w:hAnsi="Arial"/>
          <w:sz w:val="18"/>
          <w:szCs w:val="18"/>
          <w:color w:val="010000"/>
        </w:rPr>
      </w:pPr>
      <w:r>
        <w:rPr>
          <w:rFonts w:ascii="Arial" w:cs="Arial" w:eastAsia="Arial" w:hAnsi="Arial"/>
          <w:sz w:val="18"/>
          <w:szCs w:val="18"/>
          <w:color w:val="auto"/>
        </w:rPr>
        <w:t>(A) Indebtedness of the Borrower or any Subsidiary Loan Party issued in lieu of Incremental Facilities (such Indebtedness incurred under this clause (xxiii), “</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consisting of secured or unsecured loans, bonds, notes or debentures;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aggregate principal amount of Incremental Equivalent Debt incurred pursuant to this clause (xxiii), together with the aggregate outstanding principal amount of Incremental Facilities at such time, shall not exceed the Incremental Cap at the time of incurrence of such Incremental Equivalent Debt and (y) such Indebtedness complies with the Required Additional Debt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set forth in this subclause (y) or sub-clause (x) above, for the avoidance of doubt, the terms and conditions applicable to Incremental Facilities set forth in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shall not apply with respect to Incremental Equivalent Debt) and (B) any Permitted Refinancing of Indebtedness incurred pursuant to the foregoing clause (A);</w:t>
      </w:r>
    </w:p>
    <w:p>
      <w:pPr>
        <w:spacing w:after="0" w:line="163" w:lineRule="exact"/>
        <w:rPr>
          <w:rFonts w:ascii="Arial" w:cs="Arial" w:eastAsia="Arial" w:hAnsi="Arial"/>
          <w:sz w:val="18"/>
          <w:szCs w:val="18"/>
          <w:color w:val="010000"/>
        </w:rPr>
      </w:pPr>
    </w:p>
    <w:p>
      <w:pPr>
        <w:jc w:val="both"/>
        <w:ind w:left="4" w:firstLine="903"/>
        <w:spacing w:after="0" w:line="232" w:lineRule="auto"/>
        <w:tabs>
          <w:tab w:leader="none" w:pos="1595" w:val="left"/>
        </w:tabs>
        <w:numPr>
          <w:ilvl w:val="1"/>
          <w:numId w:val="173"/>
        </w:numPr>
        <w:rPr>
          <w:rFonts w:ascii="Arial" w:cs="Arial" w:eastAsia="Arial" w:hAnsi="Arial"/>
          <w:sz w:val="17"/>
          <w:szCs w:val="17"/>
          <w:color w:val="010000"/>
        </w:rPr>
      </w:pPr>
      <w:r>
        <w:rPr>
          <w:rFonts w:ascii="Arial" w:cs="Arial" w:eastAsia="Arial" w:hAnsi="Arial"/>
          <w:sz w:val="17"/>
          <w:szCs w:val="17"/>
          <w:color w:val="auto"/>
        </w:rPr>
        <w:t>(A) Indebtedness in an aggregate principal amount, measured at the time of incurrence and after giving Pro Forma Effect thereto and the use of the proceeds thereof, not to exceed 200% of the aggregate amount of direct or indirect equity investments in cash or Permitted Investments in the form of common Equity Interests or Qualified Equity Interests (excluding, for the avoidance of doubt, any Cure Amounts) received by the Borrower, Holdings or any Parent Entity (to the extent contributed to the Borrower in the form of common Equity Interests or Qualified Equity Interests) after the Effective Date to the extent not included within the Available Equity Amount or applied to increase any other basket hereunder and (B) any Permitted Refinancing of Indebtedness incurred pursuant to the foregoing clause (A);</w:t>
      </w:r>
    </w:p>
    <w:p>
      <w:pPr>
        <w:spacing w:after="0" w:line="162" w:lineRule="exact"/>
        <w:rPr>
          <w:rFonts w:ascii="Arial" w:cs="Arial" w:eastAsia="Arial" w:hAnsi="Arial"/>
          <w:sz w:val="17"/>
          <w:szCs w:val="17"/>
          <w:color w:val="010000"/>
        </w:rPr>
      </w:pPr>
    </w:p>
    <w:p>
      <w:pPr>
        <w:jc w:val="both"/>
        <w:ind w:left="4" w:firstLine="903"/>
        <w:spacing w:after="0" w:line="248" w:lineRule="auto"/>
        <w:tabs>
          <w:tab w:leader="none" w:pos="1640" w:val="left"/>
        </w:tabs>
        <w:numPr>
          <w:ilvl w:val="1"/>
          <w:numId w:val="173"/>
        </w:numPr>
        <w:rPr>
          <w:rFonts w:ascii="Arial" w:cs="Arial" w:eastAsia="Arial" w:hAnsi="Arial"/>
          <w:sz w:val="16"/>
          <w:szCs w:val="16"/>
          <w:color w:val="010000"/>
        </w:rPr>
      </w:pPr>
      <w:r>
        <w:rPr>
          <w:rFonts w:ascii="Arial" w:cs="Arial" w:eastAsia="Arial" w:hAnsi="Arial"/>
          <w:sz w:val="16"/>
          <w:szCs w:val="16"/>
          <w:color w:val="auto"/>
        </w:rPr>
        <w:t xml:space="preserve">Indebtedness of any Restricted Subsidiary that is not a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principal amount of Indebtedness of which the primary obligor or a guarantor is a Restricted Subsidiary that is not a Loan Party outstanding in reliance on this clause</w:t>
      </w:r>
    </w:p>
    <w:p>
      <w:pPr>
        <w:ind w:left="4" w:hanging="4"/>
        <w:spacing w:after="0" w:line="226" w:lineRule="auto"/>
        <w:tabs>
          <w:tab w:leader="none" w:pos="46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shall not exceed, at the time of incurrence thereof and after giving Pro Forma Effect thereto, the greater of $65,000,000 and 50% of Consolidated EBITDA for the most recently ended Test Period as of such time determined on a Pro Forma Basis;</w:t>
      </w:r>
    </w:p>
    <w:p>
      <w:pPr>
        <w:spacing w:after="0" w:line="161" w:lineRule="exact"/>
        <w:rPr>
          <w:rFonts w:ascii="Arial" w:cs="Arial" w:eastAsia="Arial" w:hAnsi="Arial"/>
          <w:sz w:val="18"/>
          <w:szCs w:val="18"/>
          <w:color w:val="auto"/>
        </w:rPr>
      </w:pPr>
    </w:p>
    <w:p>
      <w:pPr>
        <w:jc w:val="both"/>
        <w:ind w:left="4" w:firstLine="903"/>
        <w:spacing w:after="0" w:line="236" w:lineRule="auto"/>
        <w:tabs>
          <w:tab w:leader="none" w:pos="1687" w:val="left"/>
        </w:tabs>
        <w:numPr>
          <w:ilvl w:val="1"/>
          <w:numId w:val="174"/>
        </w:numPr>
        <w:rPr>
          <w:rFonts w:ascii="Arial" w:cs="Arial" w:eastAsia="Arial" w:hAnsi="Arial"/>
          <w:sz w:val="17"/>
          <w:szCs w:val="17"/>
          <w:color w:val="010000"/>
        </w:rPr>
      </w:pPr>
      <w:r>
        <w:rPr>
          <w:rFonts w:ascii="Arial" w:cs="Arial" w:eastAsia="Arial" w:hAnsi="Arial"/>
          <w:sz w:val="17"/>
          <w:szCs w:val="17"/>
          <w:color w:val="auto"/>
        </w:rPr>
        <w:t xml:space="preserve">(A) Indebtedness of the Borrower or any Restricted Subsidiary incurred to finance a Permitted Acquisition or other Investment (or assumed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principal amount of such Indebtedness at an time outstanding shall not exceed the greater of $46,000,000 and 35.0% of Consolidated EBITDA for the most recently ended Test Period as of such time determined on a Pro Forma Basis and (B) any Permitted Refinancing of Indebtedness incurred pursuant to the foregoing clause (A);</w:t>
      </w:r>
    </w:p>
    <w:p>
      <w:pPr>
        <w:spacing w:after="0" w:line="176" w:lineRule="exact"/>
        <w:rPr>
          <w:rFonts w:ascii="Arial" w:cs="Arial" w:eastAsia="Arial" w:hAnsi="Arial"/>
          <w:sz w:val="17"/>
          <w:szCs w:val="17"/>
          <w:color w:val="010000"/>
        </w:rPr>
      </w:pPr>
    </w:p>
    <w:p>
      <w:pPr>
        <w:ind w:left="1644" w:hanging="737"/>
        <w:spacing w:after="0"/>
        <w:tabs>
          <w:tab w:leader="none" w:pos="1644" w:val="left"/>
        </w:tabs>
        <w:numPr>
          <w:ilvl w:val="1"/>
          <w:numId w:val="174"/>
        </w:numPr>
        <w:rPr>
          <w:rFonts w:ascii="Arial" w:cs="Arial" w:eastAsia="Arial" w:hAnsi="Arial"/>
          <w:sz w:val="16"/>
          <w:szCs w:val="16"/>
          <w:color w:val="010000"/>
        </w:rPr>
      </w:pPr>
      <w:r>
        <w:rPr>
          <w:rFonts w:ascii="Arial" w:cs="Arial" w:eastAsia="Arial" w:hAnsi="Arial"/>
          <w:sz w:val="16"/>
          <w:szCs w:val="16"/>
          <w:color w:val="auto"/>
        </w:rPr>
        <w:t>Indebtedness in the form of Capital Lease Obligations arising out of any Sale Leaseback and any Permitted Refinancing</w:t>
      </w:r>
    </w:p>
    <w:p>
      <w:pPr>
        <w:spacing w:after="0" w:line="7" w:lineRule="exact"/>
        <w:rPr>
          <w:rFonts w:ascii="Arial" w:cs="Arial" w:eastAsia="Arial" w:hAnsi="Arial"/>
          <w:sz w:val="16"/>
          <w:szCs w:val="16"/>
          <w:color w:val="010000"/>
        </w:rPr>
      </w:pPr>
    </w:p>
    <w:p>
      <w:pPr>
        <w:ind w:left="4"/>
        <w:spacing w:after="0"/>
        <w:rPr>
          <w:rFonts w:ascii="Arial" w:cs="Arial" w:eastAsia="Arial" w:hAnsi="Arial"/>
          <w:sz w:val="16"/>
          <w:szCs w:val="16"/>
          <w:color w:val="010000"/>
        </w:rPr>
      </w:pPr>
      <w:r>
        <w:rPr>
          <w:rFonts w:ascii="Arial" w:cs="Arial" w:eastAsia="Arial" w:hAnsi="Arial"/>
          <w:sz w:val="18"/>
          <w:szCs w:val="18"/>
          <w:color w:val="auto"/>
        </w:rPr>
        <w:t>thereof;</w:t>
      </w:r>
    </w:p>
    <w:p>
      <w:pPr>
        <w:spacing w:after="0" w:line="168" w:lineRule="exact"/>
        <w:rPr>
          <w:rFonts w:ascii="Arial" w:cs="Arial" w:eastAsia="Arial" w:hAnsi="Arial"/>
          <w:sz w:val="16"/>
          <w:szCs w:val="16"/>
          <w:color w:val="010000"/>
        </w:rPr>
      </w:pPr>
    </w:p>
    <w:p>
      <w:pPr>
        <w:ind w:left="1624" w:hanging="717"/>
        <w:spacing w:after="0"/>
        <w:tabs>
          <w:tab w:leader="none" w:pos="1624" w:val="left"/>
        </w:tabs>
        <w:numPr>
          <w:ilvl w:val="1"/>
          <w:numId w:val="174"/>
        </w:numPr>
        <w:rPr>
          <w:rFonts w:ascii="Arial" w:cs="Arial" w:eastAsia="Arial" w:hAnsi="Arial"/>
          <w:sz w:val="18"/>
          <w:szCs w:val="18"/>
          <w:color w:val="010000"/>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010000"/>
        </w:rPr>
      </w:pPr>
    </w:p>
    <w:p>
      <w:pPr>
        <w:ind w:left="4" w:firstLine="903"/>
        <w:spacing w:after="0" w:line="235" w:lineRule="auto"/>
        <w:tabs>
          <w:tab w:leader="none" w:pos="1557" w:val="left"/>
        </w:tabs>
        <w:numPr>
          <w:ilvl w:val="1"/>
          <w:numId w:val="174"/>
        </w:numPr>
        <w:rPr>
          <w:rFonts w:ascii="Arial" w:cs="Arial" w:eastAsia="Arial" w:hAnsi="Arial"/>
          <w:sz w:val="18"/>
          <w:szCs w:val="18"/>
          <w:color w:val="010000"/>
        </w:rPr>
      </w:pPr>
      <w:r>
        <w:rPr>
          <w:rFonts w:ascii="Arial" w:cs="Arial" w:eastAsia="Arial" w:hAnsi="Arial"/>
          <w:sz w:val="18"/>
          <w:szCs w:val="18"/>
          <w:color w:val="auto"/>
        </w:rPr>
        <w:t>(A) Indebtedness of the Borrower or any Restricted Subsidiary in an aggregate amount at the time of incurrence thereof and after giving Pro Forma Effect thereto not to exceed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804"/>
        <w:spacing w:after="0"/>
        <w:rPr>
          <w:sz w:val="20"/>
          <w:szCs w:val="20"/>
          <w:color w:val="auto"/>
        </w:rPr>
      </w:pPr>
      <w:r>
        <w:rPr>
          <w:rFonts w:ascii="Arial" w:cs="Arial" w:eastAsia="Arial" w:hAnsi="Arial"/>
          <w:sz w:val="22"/>
          <w:szCs w:val="22"/>
          <w:u w:val="single" w:color="auto"/>
          <w:color w:val="0000FF"/>
          <w:highlight w:val="lightGray"/>
        </w:rPr>
        <w:t>109</w:t>
      </w:r>
    </w:p>
    <w:p>
      <w:pPr>
        <w:sectPr>
          <w:pgSz w:w="11900" w:h="16838" w:orient="portrait"/>
          <w:cols w:equalWidth="0" w:num="1">
            <w:col w:w="10584"/>
          </w:cols>
          <w:pgMar w:left="976" w:top="1440" w:right="339" w:bottom="1440" w:gutter="0" w:footer="0" w:header="0"/>
        </w:sectPr>
      </w:pPr>
    </w:p>
    <w:bookmarkStart w:id="167" w:name="page168"/>
    <w:bookmarkEnd w:id="167"/>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Available RP Capacity Amount and (B) any Permitted Refinancing of Indebtedness incurred pursuant to the foregoing clause (A);</w:t>
      </w:r>
    </w:p>
    <w:p>
      <w:pPr>
        <w:spacing w:after="0" w:line="185" w:lineRule="exact"/>
        <w:rPr>
          <w:sz w:val="20"/>
          <w:szCs w:val="20"/>
          <w:color w:val="auto"/>
        </w:rPr>
      </w:pPr>
    </w:p>
    <w:p>
      <w:pPr>
        <w:ind w:left="660" w:firstLine="903"/>
        <w:spacing w:after="0" w:line="235" w:lineRule="auto"/>
        <w:tabs>
          <w:tab w:leader="none" w:pos="2215"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unfunded pension fund and other employee benefit plan obligations and liabilities to the extent that they are permitted to remain unfunded under applicable law; and</w:t>
      </w:r>
    </w:p>
    <w:p>
      <w:pPr>
        <w:spacing w:after="0" w:line="175" w:lineRule="exact"/>
        <w:rPr>
          <w:rFonts w:ascii="Arial" w:cs="Arial" w:eastAsia="Arial" w:hAnsi="Arial"/>
          <w:sz w:val="18"/>
          <w:szCs w:val="18"/>
          <w:color w:val="010000"/>
        </w:rPr>
      </w:pPr>
    </w:p>
    <w:p>
      <w:pPr>
        <w:ind w:left="660" w:firstLine="903"/>
        <w:spacing w:after="0" w:line="235" w:lineRule="auto"/>
        <w:tabs>
          <w:tab w:leader="none" w:pos="2326"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all premiums (if any), interest (including post-petition interest and interest paid in kind), fees, expenses, charges and additional or contingent interest on obligations described in clauses (i) through (xxx) above.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Accrual of interest or dividends, the accretion of accreted value, the accretion or amortization of original issue discount and the payment of</w:t>
      </w:r>
    </w:p>
    <w:p>
      <w:pPr>
        <w:spacing w:after="0" w:line="10"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interest or dividends in the form of additional Indebtedness or Disqualified Equity Interests will not be deemed to be an incurrence of Indebtedness or Disqualified Equity Interests for purposes of this covenant.</w:t>
      </w:r>
    </w:p>
    <w:p>
      <w:pPr>
        <w:spacing w:after="0" w:line="161"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SECTION 6.02 Liens. The Borrower will not, and will not permit any Restricted Subsidiary to, create, incur, assume or permit to exist any Lien on any Collateral securing debt for borrowed money,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1129665</wp:posOffset>
            </wp:positionH>
            <wp:positionV relativeFrom="paragraph">
              <wp:posOffset>-147955</wp:posOffset>
            </wp:positionV>
            <wp:extent cx="3771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136" w:lineRule="exact"/>
        <w:rPr>
          <w:sz w:val="20"/>
          <w:szCs w:val="20"/>
          <w:color w:val="auto"/>
        </w:rPr>
      </w:pPr>
    </w:p>
    <w:p>
      <w:pPr>
        <w:ind w:left="1920" w:hanging="357"/>
        <w:spacing w:after="0"/>
        <w:tabs>
          <w:tab w:leader="none" w:pos="1920" w:val="left"/>
        </w:tabs>
        <w:numPr>
          <w:ilvl w:val="0"/>
          <w:numId w:val="176"/>
        </w:numPr>
        <w:rPr>
          <w:rFonts w:ascii="Arial" w:cs="Arial" w:eastAsia="Arial" w:hAnsi="Arial"/>
          <w:sz w:val="18"/>
          <w:szCs w:val="18"/>
          <w:color w:val="010000"/>
        </w:rPr>
      </w:pPr>
      <w:r>
        <w:rPr>
          <w:rFonts w:ascii="Arial" w:cs="Arial" w:eastAsia="Arial" w:hAnsi="Arial"/>
          <w:sz w:val="18"/>
          <w:szCs w:val="18"/>
          <w:color w:val="auto"/>
        </w:rPr>
        <w:t>Liens created under the Loan Documents;</w:t>
      </w:r>
    </w:p>
    <w:p>
      <w:pPr>
        <w:spacing w:after="0" w:line="184" w:lineRule="exact"/>
        <w:rPr>
          <w:rFonts w:ascii="Arial" w:cs="Arial" w:eastAsia="Arial" w:hAnsi="Arial"/>
          <w:sz w:val="18"/>
          <w:szCs w:val="18"/>
          <w:color w:val="010000"/>
        </w:rPr>
      </w:pPr>
    </w:p>
    <w:p>
      <w:pPr>
        <w:ind w:left="1960" w:hanging="397"/>
        <w:spacing w:after="0"/>
        <w:tabs>
          <w:tab w:leader="none" w:pos="1960" w:val="left"/>
        </w:tabs>
        <w:numPr>
          <w:ilvl w:val="0"/>
          <w:numId w:val="176"/>
        </w:numPr>
        <w:rPr>
          <w:rFonts w:ascii="Arial" w:cs="Arial" w:eastAsia="Arial" w:hAnsi="Arial"/>
          <w:sz w:val="18"/>
          <w:szCs w:val="18"/>
          <w:color w:val="010000"/>
        </w:rPr>
      </w:pPr>
      <w:r>
        <w:rPr>
          <w:rFonts w:ascii="Arial" w:cs="Arial" w:eastAsia="Arial" w:hAnsi="Arial"/>
          <w:sz w:val="18"/>
          <w:szCs w:val="18"/>
          <w:color w:val="auto"/>
        </w:rPr>
        <w:t>Permitted Encumbrances;</w:t>
      </w:r>
    </w:p>
    <w:p>
      <w:pPr>
        <w:spacing w:after="0" w:line="198" w:lineRule="exact"/>
        <w:rPr>
          <w:rFonts w:ascii="Arial" w:cs="Arial" w:eastAsia="Arial" w:hAnsi="Arial"/>
          <w:sz w:val="18"/>
          <w:szCs w:val="18"/>
          <w:color w:val="010000"/>
        </w:rPr>
      </w:pPr>
    </w:p>
    <w:p>
      <w:pPr>
        <w:jc w:val="both"/>
        <w:ind w:left="660" w:firstLine="903"/>
        <w:spacing w:after="0" w:line="232" w:lineRule="auto"/>
        <w:tabs>
          <w:tab w:leader="none" w:pos="2192" w:val="left"/>
        </w:tabs>
        <w:numPr>
          <w:ilvl w:val="0"/>
          <w:numId w:val="176"/>
        </w:numPr>
        <w:rPr>
          <w:rFonts w:ascii="Arial" w:cs="Arial" w:eastAsia="Arial" w:hAnsi="Arial"/>
          <w:sz w:val="17"/>
          <w:szCs w:val="17"/>
          <w:color w:val="010000"/>
        </w:rPr>
      </w:pPr>
      <w:r>
        <w:rPr>
          <w:rFonts w:ascii="Arial" w:cs="Arial" w:eastAsia="Arial" w:hAnsi="Arial"/>
          <w:sz w:val="17"/>
          <w:szCs w:val="17"/>
          <w:color w:val="auto"/>
        </w:rPr>
        <w:t xml:space="preserve">Liens existing on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Lien securing Indebtedness or other obligations in excess of $10,000,000 individually shall only be permitted if set forth on </w:t>
      </w:r>
      <w:r>
        <w:rPr>
          <w:rFonts w:ascii="Arial" w:cs="Arial" w:eastAsia="Arial" w:hAnsi="Arial"/>
          <w:sz w:val="17"/>
          <w:szCs w:val="17"/>
          <w:u w:val="single" w:color="auto"/>
          <w:color w:val="auto"/>
        </w:rPr>
        <w:t>Schedule 6.02</w:t>
      </w:r>
      <w:r>
        <w:rPr>
          <w:rFonts w:ascii="Arial" w:cs="Arial" w:eastAsia="Arial" w:hAnsi="Arial"/>
          <w:sz w:val="17"/>
          <w:szCs w:val="17"/>
          <w:color w:val="auto"/>
        </w:rPr>
        <w:t xml:space="preserve">, and any modifications, replacements, renewals or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modified, replacement, renewal or extension Lien does not extend to any additional property other than (i) after-acquired property that is affixed or incorporated into the property covered by such Lien and (ii) proceeds and products thereof, and (B) the obligations secured or benefited by such modified, replacement, renewal or extension Lien are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62" w:lineRule="exact"/>
        <w:rPr>
          <w:rFonts w:ascii="Arial" w:cs="Arial" w:eastAsia="Arial" w:hAnsi="Arial"/>
          <w:sz w:val="17"/>
          <w:szCs w:val="17"/>
          <w:color w:val="010000"/>
        </w:rPr>
      </w:pPr>
    </w:p>
    <w:p>
      <w:pPr>
        <w:jc w:val="both"/>
        <w:ind w:left="660" w:firstLine="903"/>
        <w:spacing w:after="0" w:line="244" w:lineRule="auto"/>
        <w:tabs>
          <w:tab w:leader="none" w:pos="2077" w:val="left"/>
        </w:tabs>
        <w:numPr>
          <w:ilvl w:val="0"/>
          <w:numId w:val="176"/>
        </w:numPr>
        <w:rPr>
          <w:rFonts w:ascii="Arial" w:cs="Arial" w:eastAsia="Arial" w:hAnsi="Arial"/>
          <w:sz w:val="16"/>
          <w:szCs w:val="16"/>
          <w:color w:val="010000"/>
        </w:rPr>
      </w:pPr>
      <w:r>
        <w:rPr>
          <w:rFonts w:ascii="Arial" w:cs="Arial" w:eastAsia="Arial" w:hAnsi="Arial"/>
          <w:sz w:val="16"/>
          <w:szCs w:val="16"/>
          <w:color w:val="auto"/>
        </w:rPr>
        <w:t xml:space="preserve">Liens securing Indebtedness permitted under </w:t>
      </w:r>
      <w:r>
        <w:rPr>
          <w:rFonts w:ascii="Arial" w:cs="Arial" w:eastAsia="Arial" w:hAnsi="Arial"/>
          <w:sz w:val="16"/>
          <w:szCs w:val="16"/>
          <w:u w:val="single" w:color="auto"/>
          <w:color w:val="auto"/>
        </w:rPr>
        <w:t>Section 6.01(a)(v)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(xxvii)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accessions to such property and the proceeds and the products thereof, and any lease of such property (including accessions thereto) and the proceeds and products thereof and (C) with respect to Capital Lease Obligations, such Liens do not at any time extend to or cover any assets (except for accessions to or proceeds of such assets) other than the assets subject to such Capital Lease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individual financings of equipment provided by one lender may be cross collateralized to other financings of equipment provided by such lender;</w:t>
      </w:r>
    </w:p>
    <w:p>
      <w:pPr>
        <w:spacing w:after="0" w:line="175" w:lineRule="exact"/>
        <w:rPr>
          <w:rFonts w:ascii="Arial" w:cs="Arial" w:eastAsia="Arial" w:hAnsi="Arial"/>
          <w:sz w:val="16"/>
          <w:szCs w:val="16"/>
          <w:color w:val="010000"/>
        </w:rPr>
      </w:pPr>
    </w:p>
    <w:p>
      <w:pPr>
        <w:jc w:val="both"/>
        <w:ind w:left="660" w:firstLine="903"/>
        <w:spacing w:after="0" w:line="224" w:lineRule="auto"/>
        <w:tabs>
          <w:tab w:leader="none" w:pos="2074" w:val="left"/>
        </w:tabs>
        <w:numPr>
          <w:ilvl w:val="0"/>
          <w:numId w:val="176"/>
        </w:numPr>
        <w:rPr>
          <w:rFonts w:ascii="Arial" w:cs="Arial" w:eastAsia="Arial" w:hAnsi="Arial"/>
          <w:sz w:val="18"/>
          <w:szCs w:val="18"/>
          <w:color w:val="010000"/>
        </w:rPr>
      </w:pPr>
      <w:r>
        <w:rPr>
          <w:rFonts w:ascii="Arial" w:cs="Arial" w:eastAsia="Arial" w:hAnsi="Arial"/>
          <w:sz w:val="18"/>
          <w:szCs w:val="18"/>
          <w:color w:val="auto"/>
        </w:rPr>
        <w:t>leases, licenses, subleases, sublicenses or covenants not to sue granted to others (whether or not on an exclusive or non-exclusive basis) that are entered into in the ordinary course of business or that do not (A) interfere in any material respect with the business of the Borrower and the Restricted Subsidiaries, taken as a whole or (B) secure any Indebtedness;</w:t>
      </w:r>
    </w:p>
    <w:p>
      <w:pPr>
        <w:spacing w:after="0" w:line="176" w:lineRule="exact"/>
        <w:rPr>
          <w:rFonts w:ascii="Arial" w:cs="Arial" w:eastAsia="Arial" w:hAnsi="Arial"/>
          <w:sz w:val="18"/>
          <w:szCs w:val="18"/>
          <w:color w:val="010000"/>
        </w:rPr>
      </w:pPr>
    </w:p>
    <w:p>
      <w:pPr>
        <w:ind w:left="660" w:firstLine="903"/>
        <w:spacing w:after="0" w:line="235" w:lineRule="auto"/>
        <w:tabs>
          <w:tab w:leader="none" w:pos="2029" w:val="left"/>
        </w:tabs>
        <w:numPr>
          <w:ilvl w:val="0"/>
          <w:numId w:val="176"/>
        </w:numPr>
        <w:rPr>
          <w:rFonts w:ascii="Arial" w:cs="Arial" w:eastAsia="Arial" w:hAnsi="Arial"/>
          <w:sz w:val="18"/>
          <w:szCs w:val="18"/>
          <w:color w:val="010000"/>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Arial" w:cs="Arial" w:eastAsia="Arial" w:hAnsi="Arial"/>
          <w:sz w:val="18"/>
          <w:szCs w:val="18"/>
          <w:color w:val="010000"/>
        </w:rPr>
      </w:pPr>
    </w:p>
    <w:p>
      <w:pPr>
        <w:jc w:val="both"/>
        <w:ind w:left="660" w:firstLine="903"/>
        <w:spacing w:after="0" w:line="229" w:lineRule="auto"/>
        <w:tabs>
          <w:tab w:leader="none" w:pos="2171" w:val="left"/>
        </w:tabs>
        <w:numPr>
          <w:ilvl w:val="0"/>
          <w:numId w:val="176"/>
        </w:numPr>
        <w:rPr>
          <w:rFonts w:ascii="Arial" w:cs="Arial" w:eastAsia="Arial" w:hAnsi="Arial"/>
          <w:sz w:val="18"/>
          <w:szCs w:val="18"/>
          <w:color w:val="010000"/>
        </w:rPr>
      </w:pPr>
      <w:r>
        <w:rPr>
          <w:rFonts w:ascii="Arial" w:cs="Arial" w:eastAsia="Arial" w:hAnsi="Arial"/>
          <w:sz w:val="18"/>
          <w:szCs w:val="18"/>
          <w:color w:val="auto"/>
        </w:rPr>
        <w:t>Liens (A) of a collection bank arising under Section 4-210 of the Uniform Commercial Code on items in the course of collection and (B) in favor of a banking institution arising as a matter of law encumbering deposits (including the right of setoff) and that are within the general parameters customary in the banking industry;</w:t>
      </w:r>
    </w:p>
    <w:p>
      <w:pPr>
        <w:spacing w:after="0" w:line="163" w:lineRule="exact"/>
        <w:rPr>
          <w:rFonts w:ascii="Arial" w:cs="Arial" w:eastAsia="Arial" w:hAnsi="Arial"/>
          <w:sz w:val="18"/>
          <w:szCs w:val="18"/>
          <w:color w:val="010000"/>
        </w:rPr>
      </w:pPr>
    </w:p>
    <w:p>
      <w:pPr>
        <w:jc w:val="both"/>
        <w:ind w:left="660" w:firstLine="903"/>
        <w:spacing w:after="0" w:line="222" w:lineRule="auto"/>
        <w:tabs>
          <w:tab w:leader="none" w:pos="2117" w:val="left"/>
        </w:tabs>
        <w:numPr>
          <w:ilvl w:val="0"/>
          <w:numId w:val="176"/>
        </w:numPr>
        <w:rPr>
          <w:rFonts w:ascii="Arial" w:cs="Arial" w:eastAsia="Arial" w:hAnsi="Arial"/>
          <w:sz w:val="18"/>
          <w:szCs w:val="18"/>
          <w:color w:val="010000"/>
        </w:rPr>
      </w:pPr>
      <w:r>
        <w:rPr>
          <w:rFonts w:ascii="Arial" w:cs="Arial" w:eastAsia="Arial" w:hAnsi="Arial"/>
          <w:sz w:val="18"/>
          <w:szCs w:val="18"/>
          <w:color w:val="auto"/>
        </w:rPr>
        <w:t xml:space="preserve">Liens (A) on cash advances or escrow deposits in favor of the seller of any property to be acquired in an Investment permitted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to be applied against the purchase price for such Investment or otherwise in connection with any escrow arrangements with respect to any such Investment or any Disposition permitted under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(including any letter of intent or purchase agreement with respect to such Investment or Disposition) or (B) consisting of an agreement to dispose of any property in a Disposition permitted under </w:t>
      </w:r>
      <w:r>
        <w:rPr>
          <w:rFonts w:ascii="Arial" w:cs="Arial" w:eastAsia="Arial" w:hAnsi="Arial"/>
          <w:sz w:val="18"/>
          <w:szCs w:val="18"/>
          <w:u w:val="single" w:color="auto"/>
          <w:color w:val="auto"/>
        </w:rPr>
        <w:t>Section 6.05</w:t>
      </w:r>
      <w:r>
        <w:rPr>
          <w:rFonts w:ascii="Arial" w:cs="Arial" w:eastAsia="Arial" w:hAnsi="Arial"/>
          <w:sz w:val="18"/>
          <w:szCs w:val="18"/>
          <w:color w:val="auto"/>
        </w:rPr>
        <w:t>, in each case, solely to the extent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110</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Investment or Disposition, as the case may be, would have been permitted on the date of the creation of such Lien;</w:t>
      </w:r>
    </w:p>
    <w:p>
      <w:pPr>
        <w:spacing w:after="0" w:line="185" w:lineRule="exact"/>
        <w:rPr>
          <w:sz w:val="20"/>
          <w:szCs w:val="20"/>
          <w:color w:val="auto"/>
        </w:rPr>
      </w:pPr>
    </w:p>
    <w:p>
      <w:pPr>
        <w:jc w:val="both"/>
        <w:ind w:firstLine="903"/>
        <w:spacing w:after="0" w:line="229" w:lineRule="auto"/>
        <w:tabs>
          <w:tab w:leader="none" w:pos="1355"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 xml:space="preserve">Liens on property of any Restricted Subsidiary that is not a Loan Party, which Liens secure Indebtedness or other obligations of such Restricted Subsidiary or another Restricted Subsidiary that is not a Loan Party, in each case in the case of Indebtedness permitted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w:t>
      </w:r>
    </w:p>
    <w:p>
      <w:pPr>
        <w:spacing w:after="0" w:line="163" w:lineRule="exact"/>
        <w:rPr>
          <w:rFonts w:ascii="Arial" w:cs="Arial" w:eastAsia="Arial" w:hAnsi="Arial"/>
          <w:sz w:val="18"/>
          <w:szCs w:val="18"/>
          <w:color w:val="010000"/>
        </w:rPr>
      </w:pPr>
    </w:p>
    <w:p>
      <w:pPr>
        <w:jc w:val="both"/>
        <w:ind w:firstLine="903"/>
        <w:spacing w:after="0" w:line="229" w:lineRule="auto"/>
        <w:tabs>
          <w:tab w:leader="none" w:pos="1375"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Liens granted by a Restricted Subsidiary that is not a Loan Party in favor of any Loan Party, Liens granted by a Restricted Subsidiary that is not a Loan Party in favor of Restricted Subsidiary that is not a Loan Party and Liens granted by a Loan Party in favor of any other Loan Party;</w:t>
      </w:r>
    </w:p>
    <w:p>
      <w:pPr>
        <w:spacing w:after="0" w:line="163" w:lineRule="exact"/>
        <w:rPr>
          <w:rFonts w:ascii="Arial" w:cs="Arial" w:eastAsia="Arial" w:hAnsi="Arial"/>
          <w:sz w:val="18"/>
          <w:szCs w:val="18"/>
          <w:color w:val="010000"/>
        </w:rPr>
      </w:pPr>
    </w:p>
    <w:p>
      <w:pPr>
        <w:jc w:val="both"/>
        <w:ind w:firstLine="903"/>
        <w:spacing w:after="0" w:line="227" w:lineRule="auto"/>
        <w:tabs>
          <w:tab w:leader="none" w:pos="1438" w:val="left"/>
        </w:tabs>
        <w:numPr>
          <w:ilvl w:val="0"/>
          <w:numId w:val="177"/>
        </w:numPr>
        <w:rPr>
          <w:rFonts w:ascii="Arial" w:cs="Arial" w:eastAsia="Arial" w:hAnsi="Arial"/>
          <w:sz w:val="17"/>
          <w:szCs w:val="17"/>
          <w:color w:val="010000"/>
        </w:rPr>
      </w:pPr>
      <w:r>
        <w:rPr>
          <w:rFonts w:ascii="Arial" w:cs="Arial" w:eastAsia="Arial" w:hAnsi="Arial"/>
          <w:sz w:val="17"/>
          <w:szCs w:val="17"/>
          <w:color w:val="auto"/>
        </w:rPr>
        <w:t xml:space="preserve">Liens existing on property at the time of its acquisition or existing on the property of any Person at the time such Person becomes a Restricted Subsidiary (including by the designation of an Unrestricted Subsidiary as a Restricted Subsidiary), in each case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Lien was not created in contemplation of such acquisition or such Person becoming a Restricted Subsidiary and (B) such Lien does not extend to or cover any other assets or property (other than, with respect to such Person, any replacements of such property or assets and additions and accessions, proceeds and products thereto, after-acquired property subject to a Lien securing Indebtedness and other obligations incurred prior to such time and which Indebtedness and other obligations are permitted hereunder that require or include, pursuant to their terms at such time, a pledge of after-acquired property of such Person,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162" w:lineRule="exact"/>
        <w:rPr>
          <w:rFonts w:ascii="Arial" w:cs="Arial" w:eastAsia="Arial" w:hAnsi="Arial"/>
          <w:sz w:val="17"/>
          <w:szCs w:val="17"/>
          <w:color w:val="010000"/>
        </w:rPr>
      </w:pPr>
    </w:p>
    <w:p>
      <w:pPr>
        <w:ind w:firstLine="903"/>
        <w:spacing w:after="0" w:line="246" w:lineRule="auto"/>
        <w:tabs>
          <w:tab w:leader="none" w:pos="1494"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any interest or title of a lessor under leases (other than leases constituting Capital Lease Obligations) entered into by the Borrower or any of the Restricted Subsidiaries in the ordinary course of business;</w:t>
      </w:r>
    </w:p>
    <w:p>
      <w:pPr>
        <w:spacing w:after="0" w:line="156" w:lineRule="exact"/>
        <w:rPr>
          <w:rFonts w:ascii="Arial" w:cs="Arial" w:eastAsia="Arial" w:hAnsi="Arial"/>
          <w:sz w:val="18"/>
          <w:szCs w:val="18"/>
          <w:color w:val="010000"/>
        </w:rPr>
      </w:pPr>
    </w:p>
    <w:p>
      <w:pPr>
        <w:ind w:firstLine="903"/>
        <w:spacing w:after="0" w:line="235" w:lineRule="auto"/>
        <w:tabs>
          <w:tab w:leader="none" w:pos="1467"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Liens arising out of conditional sale, title retention, consignment or similar arrangements for sale or purchase of goods by the Borrower or any of the Restricted Subsidiaries in the ordinary course of business;</w:t>
      </w:r>
    </w:p>
    <w:p>
      <w:pPr>
        <w:spacing w:after="0" w:line="175" w:lineRule="exact"/>
        <w:rPr>
          <w:rFonts w:ascii="Arial" w:cs="Arial" w:eastAsia="Arial" w:hAnsi="Arial"/>
          <w:sz w:val="18"/>
          <w:szCs w:val="18"/>
          <w:color w:val="010000"/>
        </w:rPr>
      </w:pPr>
    </w:p>
    <w:p>
      <w:pPr>
        <w:ind w:firstLine="903"/>
        <w:spacing w:after="0" w:line="235" w:lineRule="auto"/>
        <w:tabs>
          <w:tab w:leader="none" w:pos="1450"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Liens deemed to exist in connection with Investments in repurchase agreements permitted under clause (e) of the definition of the term “Permitted Investments”;</w:t>
      </w:r>
    </w:p>
    <w:p>
      <w:pPr>
        <w:spacing w:after="0" w:line="161" w:lineRule="exact"/>
        <w:rPr>
          <w:rFonts w:ascii="Arial" w:cs="Arial" w:eastAsia="Arial" w:hAnsi="Arial"/>
          <w:sz w:val="18"/>
          <w:szCs w:val="18"/>
          <w:color w:val="010000"/>
        </w:rPr>
      </w:pPr>
    </w:p>
    <w:p>
      <w:pPr>
        <w:ind w:firstLine="903"/>
        <w:spacing w:after="0" w:line="274" w:lineRule="auto"/>
        <w:tabs>
          <w:tab w:leader="none" w:pos="1389" w:val="left"/>
        </w:tabs>
        <w:numPr>
          <w:ilvl w:val="0"/>
          <w:numId w:val="177"/>
        </w:numPr>
        <w:rPr>
          <w:rFonts w:ascii="Arial" w:cs="Arial" w:eastAsia="Arial" w:hAnsi="Arial"/>
          <w:sz w:val="17"/>
          <w:szCs w:val="17"/>
          <w:color w:val="010000"/>
        </w:rPr>
      </w:pPr>
      <w:r>
        <w:rPr>
          <w:rFonts w:ascii="Arial" w:cs="Arial" w:eastAsia="Arial" w:hAnsi="Arial"/>
          <w:sz w:val="17"/>
          <w:szCs w:val="17"/>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34" w:lineRule="exact"/>
        <w:rPr>
          <w:rFonts w:ascii="Arial" w:cs="Arial" w:eastAsia="Arial" w:hAnsi="Arial"/>
          <w:sz w:val="17"/>
          <w:szCs w:val="17"/>
          <w:color w:val="010000"/>
        </w:rPr>
      </w:pPr>
    </w:p>
    <w:p>
      <w:pPr>
        <w:jc w:val="both"/>
        <w:ind w:firstLine="903"/>
        <w:spacing w:after="0" w:line="236" w:lineRule="auto"/>
        <w:tabs>
          <w:tab w:leader="none" w:pos="1515" w:val="left"/>
        </w:tabs>
        <w:numPr>
          <w:ilvl w:val="0"/>
          <w:numId w:val="177"/>
        </w:numPr>
        <w:rPr>
          <w:rFonts w:ascii="Arial" w:cs="Arial" w:eastAsia="Arial" w:hAnsi="Arial"/>
          <w:sz w:val="17"/>
          <w:szCs w:val="17"/>
          <w:color w:val="010000"/>
        </w:rPr>
      </w:pPr>
      <w:r>
        <w:rPr>
          <w:rFonts w:ascii="Arial" w:cs="Arial" w:eastAsia="Arial" w:hAnsi="Arial"/>
          <w:sz w:val="17"/>
          <w:szCs w:val="17"/>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the Borrower and the Restricted Subsidiaries or (C) relating to purchase orders and other agreements entered into with customers of the Borrower or any Restricted Subsidiary in the ordinary course of business;</w:t>
      </w:r>
    </w:p>
    <w:p>
      <w:pPr>
        <w:spacing w:after="0" w:line="162" w:lineRule="exact"/>
        <w:rPr>
          <w:rFonts w:ascii="Arial" w:cs="Arial" w:eastAsia="Arial" w:hAnsi="Arial"/>
          <w:sz w:val="17"/>
          <w:szCs w:val="17"/>
          <w:color w:val="010000"/>
        </w:rPr>
      </w:pPr>
    </w:p>
    <w:p>
      <w:pPr>
        <w:ind w:firstLine="903"/>
        <w:spacing w:after="0" w:line="246" w:lineRule="auto"/>
        <w:tabs>
          <w:tab w:leader="none" w:pos="1597"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ground leases in respect of real property on which facilities owned or leased by the Borrower or any of the Restricted Subsidiaries are located;</w:t>
      </w:r>
    </w:p>
    <w:p>
      <w:pPr>
        <w:spacing w:after="0" w:line="156" w:lineRule="exact"/>
        <w:rPr>
          <w:rFonts w:ascii="Arial" w:cs="Arial" w:eastAsia="Arial" w:hAnsi="Arial"/>
          <w:sz w:val="18"/>
          <w:szCs w:val="18"/>
          <w:color w:val="010000"/>
        </w:rPr>
      </w:pPr>
    </w:p>
    <w:p>
      <w:pPr>
        <w:ind w:left="1540" w:hanging="637"/>
        <w:spacing w:after="0"/>
        <w:tabs>
          <w:tab w:leader="none" w:pos="1540"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Liens on insurance policies and the proceeds thereof securing the financing of the premiums with respect thereto;</w:t>
      </w:r>
    </w:p>
    <w:p>
      <w:pPr>
        <w:spacing w:after="0" w:line="184" w:lineRule="exact"/>
        <w:rPr>
          <w:rFonts w:ascii="Arial" w:cs="Arial" w:eastAsia="Arial" w:hAnsi="Arial"/>
          <w:sz w:val="18"/>
          <w:szCs w:val="18"/>
          <w:color w:val="010000"/>
        </w:rPr>
      </w:pPr>
    </w:p>
    <w:p>
      <w:pPr>
        <w:jc w:val="both"/>
        <w:ind w:firstLine="903"/>
        <w:spacing w:after="0" w:line="222" w:lineRule="auto"/>
        <w:tabs>
          <w:tab w:leader="none" w:pos="1568"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 xml:space="preserve">Liens on the Collateral (A) securing Permitted First Priority Refinancing Debt, (B) securing Permitted Second Priority Refinancing Debt, (C) securing Incremental Equivalent Debt and (D) securing Indebtedness permitted pursuant to </w:t>
      </w:r>
      <w:r>
        <w:rPr>
          <w:rFonts w:ascii="Arial" w:cs="Arial" w:eastAsia="Arial" w:hAnsi="Arial"/>
          <w:sz w:val="18"/>
          <w:szCs w:val="18"/>
          <w:u w:val="single" w:color="auto"/>
          <w:color w:val="auto"/>
        </w:rPr>
        <w:t>Section 6.01(a)(xxvi)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in the case of clause (B), such Liens do not secure Consolidated First Lien Debt and (y) in the case of clauses (B), (C) and (D), if such Liens are consensual Liens that are secured by the Collateral, such Indebtedness shall be subject to a First Lien Intercreditor Agreement or a Second Lien Intercreditor Agreement,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20"/>
        <w:spacing w:after="0"/>
        <w:rPr>
          <w:sz w:val="20"/>
          <w:szCs w:val="20"/>
          <w:color w:val="auto"/>
        </w:rPr>
      </w:pPr>
      <w:r>
        <w:rPr>
          <w:rFonts w:ascii="Arial" w:cs="Arial" w:eastAsia="Arial" w:hAnsi="Arial"/>
          <w:sz w:val="22"/>
          <w:szCs w:val="22"/>
          <w:u w:val="single" w:color="auto"/>
          <w:color w:val="0000FF"/>
          <w:highlight w:val="lightGray"/>
        </w:rPr>
        <w:t>111</w:t>
      </w:r>
    </w:p>
    <w:p>
      <w:pPr>
        <w:sectPr>
          <w:pgSz w:w="11900" w:h="16838" w:orient="portrait"/>
          <w:cols w:equalWidth="0" w:num="1">
            <w:col w:w="10580"/>
          </w:cols>
          <w:pgMar w:left="980" w:top="1440" w:right="339" w:bottom="1440" w:gutter="0" w:footer="0" w:header="0"/>
        </w:sectPr>
      </w:pPr>
    </w:p>
    <w:bookmarkStart w:id="169" w:name="page170"/>
    <w:bookmarkEnd w:id="169"/>
    <w:p>
      <w:pPr>
        <w:spacing w:after="0" w:line="63" w:lineRule="exact"/>
        <w:rPr>
          <w:sz w:val="20"/>
          <w:szCs w:val="20"/>
          <w:color w:val="auto"/>
        </w:rPr>
      </w:pPr>
    </w:p>
    <w:p>
      <w:pPr>
        <w:jc w:val="both"/>
        <w:ind w:left="-460" w:firstLine="903"/>
        <w:spacing w:after="0" w:line="223" w:lineRule="auto"/>
        <w:tabs>
          <w:tab w:leader="none" w:pos="981"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 xml:space="preserve">other Liens;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incurrence of the obligations secured thereby (after giving Pro Forma Effect to any such obligations) the aggregate outstanding face amount of obligations secured by Liens existing in reliance on this clause (xx) shall not exceed the greater of $65,000,000 and 50% of Consolidated EBITDA for the most recently ended Test Period as of such time determined on a Pro Forma Basis;</w:t>
      </w:r>
    </w:p>
    <w:p>
      <w:pPr>
        <w:spacing w:after="0" w:line="162" w:lineRule="exact"/>
        <w:rPr>
          <w:rFonts w:ascii="Arial" w:cs="Arial" w:eastAsia="Arial" w:hAnsi="Arial"/>
          <w:sz w:val="18"/>
          <w:szCs w:val="18"/>
          <w:color w:val="010000"/>
        </w:rPr>
      </w:pPr>
    </w:p>
    <w:p>
      <w:pPr>
        <w:ind w:left="-460" w:firstLine="903"/>
        <w:spacing w:after="0" w:line="235" w:lineRule="auto"/>
        <w:tabs>
          <w:tab w:leader="none" w:pos="1004"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 xml:space="preserve">Liens on cash and Permitted Investments used to satisfy or discharge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satisfaction or discharge is permitted hereunder;</w:t>
      </w:r>
    </w:p>
    <w:p>
      <w:pPr>
        <w:spacing w:after="0" w:line="175" w:lineRule="exact"/>
        <w:rPr>
          <w:rFonts w:ascii="Arial" w:cs="Arial" w:eastAsia="Arial" w:hAnsi="Arial"/>
          <w:sz w:val="18"/>
          <w:szCs w:val="18"/>
          <w:color w:val="010000"/>
        </w:rPr>
      </w:pPr>
    </w:p>
    <w:p>
      <w:pPr>
        <w:ind w:left="1020" w:hanging="577"/>
        <w:spacing w:after="0"/>
        <w:tabs>
          <w:tab w:leader="none" w:pos="1020"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Liens on receivables and related assets incurred in connection with Permitted Receivables Financings;</w:t>
      </w:r>
    </w:p>
    <w:p>
      <w:pPr>
        <w:spacing w:after="0" w:line="184" w:lineRule="exact"/>
        <w:rPr>
          <w:rFonts w:ascii="Arial" w:cs="Arial" w:eastAsia="Arial" w:hAnsi="Arial"/>
          <w:sz w:val="18"/>
          <w:szCs w:val="18"/>
          <w:color w:val="010000"/>
        </w:rPr>
      </w:pPr>
    </w:p>
    <w:p>
      <w:pPr>
        <w:jc w:val="both"/>
        <w:ind w:left="-460" w:firstLine="903"/>
        <w:spacing w:after="0" w:line="223" w:lineRule="auto"/>
        <w:tabs>
          <w:tab w:leader="none" w:pos="1150"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(A) receipt of progress payments and advances from customers in the ordinary course of business to the extent the same creates a Lien on the related inventory and proceeds thereof and (B) Liens on specific items of inventory or other goods and proceeds of any Person securing such Person’s obligations in respect of bankers’ acceptances issued or created for the account of such Person to facilitate the purchase, shipment, or storage of such inventory or other goods in the ordinary course of business;</w:t>
      </w:r>
    </w:p>
    <w:p>
      <w:pPr>
        <w:spacing w:after="0" w:line="162" w:lineRule="exact"/>
        <w:rPr>
          <w:rFonts w:ascii="Arial" w:cs="Arial" w:eastAsia="Arial" w:hAnsi="Arial"/>
          <w:sz w:val="18"/>
          <w:szCs w:val="18"/>
          <w:color w:val="010000"/>
        </w:rPr>
      </w:pPr>
    </w:p>
    <w:p>
      <w:pPr>
        <w:ind w:left="-460" w:firstLine="903"/>
        <w:spacing w:after="0" w:line="246" w:lineRule="auto"/>
        <w:tabs>
          <w:tab w:leader="none" w:pos="1131"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Liens on cash or Permitted Investments securing Swap Agreements in the ordinary course of business in accordance with applicable Requirements of Law;</w:t>
      </w:r>
    </w:p>
    <w:p>
      <w:pPr>
        <w:spacing w:after="0" w:line="156" w:lineRule="exact"/>
        <w:rPr>
          <w:rFonts w:ascii="Arial" w:cs="Arial" w:eastAsia="Arial" w:hAnsi="Arial"/>
          <w:sz w:val="18"/>
          <w:szCs w:val="18"/>
          <w:color w:val="010000"/>
        </w:rPr>
      </w:pPr>
    </w:p>
    <w:p>
      <w:pPr>
        <w:ind w:left="-460" w:firstLine="903"/>
        <w:spacing w:after="0" w:line="235" w:lineRule="auto"/>
        <w:tabs>
          <w:tab w:leader="none" w:pos="1022"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Liens on equipment of the Borrower or any Restricted Subsidiary granted in the ordinary course of business to the Borrower’s or such Restricted Subsidiary’s client at which such equipment is located;</w:t>
      </w:r>
    </w:p>
    <w:p>
      <w:pPr>
        <w:spacing w:after="0" w:line="175" w:lineRule="exact"/>
        <w:rPr>
          <w:rFonts w:ascii="Arial" w:cs="Arial" w:eastAsia="Arial" w:hAnsi="Arial"/>
          <w:sz w:val="18"/>
          <w:szCs w:val="18"/>
          <w:color w:val="010000"/>
        </w:rPr>
      </w:pPr>
    </w:p>
    <w:p>
      <w:pPr>
        <w:ind w:left="-460" w:firstLine="903"/>
        <w:spacing w:after="0" w:line="235" w:lineRule="auto"/>
        <w:tabs>
          <w:tab w:leader="none" w:pos="1094"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security given to a public utility or any municipality or governmental authority when required by such utility or authority in connection with the operations of such Person in the ordinary course of business;</w:t>
      </w:r>
    </w:p>
    <w:p>
      <w:pPr>
        <w:spacing w:after="0" w:line="161" w:lineRule="exact"/>
        <w:rPr>
          <w:rFonts w:ascii="Arial" w:cs="Arial" w:eastAsia="Arial" w:hAnsi="Arial"/>
          <w:sz w:val="18"/>
          <w:szCs w:val="18"/>
          <w:color w:val="010000"/>
        </w:rPr>
      </w:pPr>
    </w:p>
    <w:p>
      <w:pPr>
        <w:jc w:val="both"/>
        <w:ind w:left="-460" w:firstLine="903"/>
        <w:spacing w:after="0" w:line="229" w:lineRule="auto"/>
        <w:tabs>
          <w:tab w:leader="none" w:pos="1189"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Liens on Escrowed Proceeds for the benefit of the related holders of Escrowed Obligations (or the underwriters, trustee, escrow agent or arrangers thereof) or on cash set aside at the time of the incurrence of any Escrowed Obligations to be used to pay accrued interest thereon and any redemption premiums and other amounts thereon;</w:t>
      </w:r>
    </w:p>
    <w:p>
      <w:pPr>
        <w:spacing w:after="0" w:line="163" w:lineRule="exact"/>
        <w:rPr>
          <w:rFonts w:ascii="Arial" w:cs="Arial" w:eastAsia="Arial" w:hAnsi="Arial"/>
          <w:sz w:val="18"/>
          <w:szCs w:val="18"/>
          <w:color w:val="010000"/>
        </w:rPr>
      </w:pPr>
    </w:p>
    <w:p>
      <w:pPr>
        <w:jc w:val="both"/>
        <w:ind w:left="-460" w:firstLine="903"/>
        <w:spacing w:after="0" w:line="245" w:lineRule="auto"/>
        <w:tabs>
          <w:tab w:leader="none" w:pos="1261" w:val="left"/>
        </w:tabs>
        <w:numPr>
          <w:ilvl w:val="0"/>
          <w:numId w:val="178"/>
        </w:numPr>
        <w:rPr>
          <w:rFonts w:ascii="Arial" w:cs="Arial" w:eastAsia="Arial" w:hAnsi="Arial"/>
          <w:sz w:val="17"/>
          <w:szCs w:val="17"/>
          <w:color w:val="010000"/>
        </w:rPr>
      </w:pPr>
      <w:r>
        <w:rPr>
          <w:rFonts w:ascii="Arial" w:cs="Arial" w:eastAsia="Arial" w:hAnsi="Arial"/>
          <w:sz w:val="17"/>
          <w:szCs w:val="17"/>
          <w:color w:val="auto"/>
        </w:rPr>
        <w:t xml:space="preserve">(A) Liens on Equity Interests in joint ventures;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Lien is in favor of a creditor of such joint venture and such creditor is not an Affiliate of any partner to such joint venture and (B) purchase options, call, and similar rights of, and restrictions for the benefit of, a third party with respect to Equity Interests held by Holdings, the Borrower or any Restricted Subsidiary in joint ventures;</w:t>
      </w:r>
    </w:p>
    <w:p>
      <w:pPr>
        <w:spacing w:after="0" w:line="157" w:lineRule="exact"/>
        <w:rPr>
          <w:rFonts w:ascii="Arial" w:cs="Arial" w:eastAsia="Arial" w:hAnsi="Arial"/>
          <w:sz w:val="17"/>
          <w:szCs w:val="17"/>
          <w:color w:val="010000"/>
        </w:rPr>
      </w:pPr>
    </w:p>
    <w:p>
      <w:pPr>
        <w:jc w:val="both"/>
        <w:ind w:left="-460" w:firstLine="903"/>
        <w:spacing w:after="0" w:line="267" w:lineRule="auto"/>
        <w:tabs>
          <w:tab w:leader="none" w:pos="1132" w:val="left"/>
        </w:tabs>
        <w:numPr>
          <w:ilvl w:val="0"/>
          <w:numId w:val="178"/>
        </w:numPr>
        <w:rPr>
          <w:rFonts w:ascii="Arial" w:cs="Arial" w:eastAsia="Arial" w:hAnsi="Arial"/>
          <w:sz w:val="16"/>
          <w:szCs w:val="16"/>
          <w:color w:val="010000"/>
        </w:rPr>
      </w:pPr>
      <w:r>
        <w:rPr>
          <w:rFonts w:ascii="Arial" w:cs="Arial" w:eastAsia="Arial" w:hAnsi="Arial"/>
          <w:sz w:val="16"/>
          <w:szCs w:val="16"/>
          <w:color w:val="auto"/>
        </w:rPr>
        <w:t xml:space="preserve">Liens securing (A) Indebtedness permitted pursuant to </w:t>
      </w:r>
      <w:r>
        <w:rPr>
          <w:rFonts w:ascii="Arial" w:cs="Arial" w:eastAsia="Arial" w:hAnsi="Arial"/>
          <w:sz w:val="16"/>
          <w:szCs w:val="16"/>
          <w:u w:val="single" w:color="auto"/>
          <w:color w:val="auto"/>
        </w:rPr>
        <w:t>Section 6.01(a)(vii)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6.01(a)(xxiv)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6.01(a)(xxix)</w:t>
      </w:r>
      <w:r>
        <w:rPr>
          <w:rFonts w:ascii="Arial" w:cs="Arial" w:eastAsia="Arial" w:hAnsi="Arial"/>
          <w:sz w:val="16"/>
          <w:szCs w:val="16"/>
          <w:color w:val="auto"/>
        </w:rPr>
        <w:t xml:space="preserve"> and (B) any Permitted Refinancing of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Liens are consensual Liens that are secured by the Collateral, such Indebtedness shall be subject to a First Lien Intercreditor Agreement or a Second Lien Intercreditor Agreement, as applicable;</w:t>
      </w:r>
    </w:p>
    <w:p>
      <w:pPr>
        <w:spacing w:after="0" w:line="141" w:lineRule="exact"/>
        <w:rPr>
          <w:rFonts w:ascii="Arial" w:cs="Arial" w:eastAsia="Arial" w:hAnsi="Arial"/>
          <w:sz w:val="16"/>
          <w:szCs w:val="16"/>
          <w:color w:val="010000"/>
        </w:rPr>
      </w:pPr>
    </w:p>
    <w:p>
      <w:pPr>
        <w:ind w:left="1020" w:hanging="577"/>
        <w:spacing w:after="0"/>
        <w:tabs>
          <w:tab w:leader="none" w:pos="1020"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grants of software, technology and other intellectual property licenses; and</w:t>
      </w:r>
    </w:p>
    <w:p>
      <w:pPr>
        <w:spacing w:after="0" w:line="198" w:lineRule="exact"/>
        <w:rPr>
          <w:rFonts w:ascii="Arial" w:cs="Arial" w:eastAsia="Arial" w:hAnsi="Arial"/>
          <w:sz w:val="18"/>
          <w:szCs w:val="18"/>
          <w:color w:val="010000"/>
        </w:rPr>
      </w:pPr>
    </w:p>
    <w:p>
      <w:pPr>
        <w:jc w:val="both"/>
        <w:ind w:left="-460" w:firstLine="903"/>
        <w:spacing w:after="0" w:line="225" w:lineRule="auto"/>
        <w:tabs>
          <w:tab w:leader="none" w:pos="1152" w:val="left"/>
        </w:tabs>
        <w:numPr>
          <w:ilvl w:val="0"/>
          <w:numId w:val="178"/>
        </w:numPr>
        <w:rPr>
          <w:rFonts w:ascii="Arial" w:cs="Arial" w:eastAsia="Arial" w:hAnsi="Arial"/>
          <w:sz w:val="17"/>
          <w:szCs w:val="17"/>
          <w:color w:val="010000"/>
        </w:rPr>
      </w:pPr>
      <w:r>
        <w:rPr>
          <w:rFonts w:ascii="Arial" w:cs="Arial" w:eastAsia="Arial" w:hAnsi="Arial"/>
          <w:sz w:val="17"/>
          <w:szCs w:val="17"/>
          <w:color w:val="auto"/>
        </w:rPr>
        <w:t xml:space="preserve">other Liens on assets securing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incurrence thereof and after giving Pro Forma Effect thereto and the use of the proceeds thereof, the aggregate amount of Indebtedness then outstanding and secured thereby shall not exceed an amount such that (A) in the case of any such Liens secured by the Collateral that rank equal in priority (but without regard to the control of remedies) with the Liens on the Collateral securing the Secured Obligations, the First Lien Leverage Ratio does not exceed either (x) 4.50 to 1.00 or (y) if incurred in connection with a Permitted Acquisition or other permitted Investment, the greater of (1) the First Lien Leverage Ratio in effect immediately prior to giving effect to the incurrence of such Liens, in each case, calculated on a Pro Forma Basis and (2) 4.50 to 1.00 and (B) in the case of any such Liens secured by the Collateral ranking junior in priority to the Liens securing the Secured Obligations, either (I) the Secured Leverage Ratio does not exceed either (x) 6.00 to 1.00 or (y) if incurred in connection with a Permitted Acquisition or other permitted Investment, the greater of (1) the Secured Leverage Ratio in effect immediately prior to giving effect to the incurrence of such Liens and (2) 6.00 to 1.00, in each case, calculated on a Pro Forma Basis or (II) the Interest Coverage Ratio is no less than either (x) 1.75 to 1.00 or (y) if incurred in connection with a Permitted Acquisition or other permitted Investment, lesser of (1) the Interest Coverage Ratio in effect immediately prior to giving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340"/>
        <w:spacing w:after="0"/>
        <w:rPr>
          <w:sz w:val="20"/>
          <w:szCs w:val="20"/>
          <w:color w:val="auto"/>
        </w:rPr>
      </w:pPr>
      <w:r>
        <w:rPr>
          <w:rFonts w:ascii="Arial" w:cs="Arial" w:eastAsia="Arial" w:hAnsi="Arial"/>
          <w:sz w:val="22"/>
          <w:szCs w:val="22"/>
          <w:u w:val="single" w:color="auto"/>
          <w:color w:val="0000FF"/>
          <w:highlight w:val="lightGray"/>
        </w:rPr>
        <w:t>112</w:t>
      </w:r>
    </w:p>
    <w:p>
      <w:pPr>
        <w:sectPr>
          <w:pgSz w:w="11900" w:h="16838" w:orient="portrait"/>
          <w:cols w:equalWidth="0" w:num="1">
            <w:col w:w="10120"/>
          </w:cols>
          <w:pgMar w:left="1440" w:top="1440" w:right="339" w:bottom="1440" w:gutter="0" w:footer="0" w:header="0"/>
        </w:sectPr>
      </w:pPr>
    </w:p>
    <w:bookmarkStart w:id="170" w:name="page171"/>
    <w:bookmarkEnd w:id="170"/>
    <w:p>
      <w:pPr>
        <w:spacing w:after="0" w:line="63" w:lineRule="exact"/>
        <w:rPr>
          <w:sz w:val="20"/>
          <w:szCs w:val="20"/>
          <w:color w:val="auto"/>
        </w:rPr>
      </w:pPr>
    </w:p>
    <w:p>
      <w:pPr>
        <w:jc w:val="both"/>
        <w:ind w:left="660"/>
        <w:spacing w:after="0" w:line="224" w:lineRule="auto"/>
        <w:rPr>
          <w:sz w:val="20"/>
          <w:szCs w:val="20"/>
          <w:color w:val="auto"/>
        </w:rPr>
      </w:pPr>
      <w:r>
        <w:rPr>
          <w:rFonts w:ascii="Arial" w:cs="Arial" w:eastAsia="Arial" w:hAnsi="Arial"/>
          <w:sz w:val="18"/>
          <w:szCs w:val="18"/>
          <w:color w:val="auto"/>
        </w:rPr>
        <w:t xml:space="preserve">to the incurrence of such Liens and (2) 1.75 to 1.00, in each case, calculated on a Pro Forma Basis (without “netting” the cash proceeds of the applicable incurrence);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Liens are consensual Liens that are secured by the Collateral, such Indebtedness shall be subject to a First Lien Intercreditor Agreement or a Second Lien Intercreditor Agreement, as applicable.</w:t>
      </w:r>
    </w:p>
    <w:p>
      <w:pPr>
        <w:spacing w:after="0" w:line="17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SECTION 6.03 Fundamental Changes. The Borrower will not, and will not permit any Restricted Subsidiary to, merge into or consolidate or amalgamate with any other Person, or permit any other Person to merge into or consolidate with it, or liquidate or dissolve (including, in each case, pursuant to a Division), except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-247015</wp:posOffset>
            </wp:positionV>
            <wp:extent cx="11772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spacing w:after="0" w:line="156" w:lineRule="exact"/>
        <w:rPr>
          <w:sz w:val="20"/>
          <w:szCs w:val="20"/>
          <w:color w:val="auto"/>
        </w:rPr>
      </w:pPr>
    </w:p>
    <w:p>
      <w:pPr>
        <w:jc w:val="both"/>
        <w:ind w:left="660" w:firstLine="644"/>
        <w:spacing w:after="0" w:line="219" w:lineRule="auto"/>
        <w:tabs>
          <w:tab w:leader="none" w:pos="174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consolidate or amalgamate with (x) the Borrower; provided that the Borrower shall be the continuing or surviving Person or (y) any one or more other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any Subsidiary Loan Party is merging, consolidating or amalgamating with another Restricted Subsidiary either (A) the continuing or surviving Person shall be a Subsidiary Loan Party or (B) if the continuing or surviving Person is not a Subsidiary Loan Party, the acquisition of such Subsidiary Loan Party by such surviving Restricted Subsidiary is permitted under Section 6.04;</w:t>
      </w:r>
    </w:p>
    <w:p>
      <w:pPr>
        <w:spacing w:after="0" w:line="162" w:lineRule="exact"/>
        <w:rPr>
          <w:rFonts w:ascii="Arial" w:cs="Arial" w:eastAsia="Arial" w:hAnsi="Arial"/>
          <w:sz w:val="18"/>
          <w:szCs w:val="18"/>
          <w:color w:val="auto"/>
        </w:rPr>
      </w:pPr>
    </w:p>
    <w:p>
      <w:pPr>
        <w:ind w:left="660" w:firstLine="644"/>
        <w:spacing w:after="0" w:line="274" w:lineRule="auto"/>
        <w:tabs>
          <w:tab w:leader="none" w:pos="1771"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any Restricted Subsidiary may liquidate or dissolve or change its legal form if the Borrower determines in good faith that such action is in the best interests of the Borrower and the Restricted Subsidiaries and is not materially disadvantageous to the Lenders;</w:t>
      </w:r>
    </w:p>
    <w:p>
      <w:pPr>
        <w:spacing w:after="0" w:line="134" w:lineRule="exact"/>
        <w:rPr>
          <w:rFonts w:ascii="Arial" w:cs="Arial" w:eastAsia="Arial" w:hAnsi="Arial"/>
          <w:sz w:val="17"/>
          <w:szCs w:val="17"/>
          <w:color w:val="auto"/>
        </w:rPr>
      </w:pPr>
    </w:p>
    <w:p>
      <w:pPr>
        <w:jc w:val="both"/>
        <w:ind w:left="660" w:firstLine="644"/>
        <w:spacing w:after="0" w:line="232" w:lineRule="auto"/>
        <w:tabs>
          <w:tab w:leader="none" w:pos="169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any Restricted Subsidiary may make a Disposition of all or substantially all of its assets (upon voluntary liquidation or otherwise) to the Borrower or another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transferor in such a transaction is a Loan Party, then either (A) the transferee must be a Loan Party, (B) to the extent constituting an Investment, such Investment must be an Investment in a Restricted Subsidiary that is not a Loan Party permitted by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or (C) to the extent constituting a Disposition to a Restricted Subsidiary that is not a Loan Party, such Disposition is for Fair Market Value and any promissory note or other non-cash consideration received in respect thereof is an Investment in a Restricted Subsidiary that is not a Loan Party permitted by </w:t>
      </w:r>
      <w:r>
        <w:rPr>
          <w:rFonts w:ascii="Arial" w:cs="Arial" w:eastAsia="Arial" w:hAnsi="Arial"/>
          <w:sz w:val="17"/>
          <w:szCs w:val="17"/>
          <w:u w:val="single" w:color="auto"/>
          <w:color w:val="auto"/>
        </w:rPr>
        <w:t>Section 6.04</w:t>
      </w:r>
      <w:r>
        <w:rPr>
          <w:rFonts w:ascii="Arial" w:cs="Arial" w:eastAsia="Arial" w:hAnsi="Arial"/>
          <w:sz w:val="17"/>
          <w:szCs w:val="17"/>
          <w:color w:val="auto"/>
        </w:rPr>
        <w:t>;</w:t>
      </w:r>
    </w:p>
    <w:p>
      <w:pPr>
        <w:spacing w:after="0" w:line="162" w:lineRule="exact"/>
        <w:rPr>
          <w:rFonts w:ascii="Arial" w:cs="Arial" w:eastAsia="Arial" w:hAnsi="Arial"/>
          <w:sz w:val="17"/>
          <w:szCs w:val="17"/>
          <w:color w:val="auto"/>
        </w:rPr>
      </w:pPr>
    </w:p>
    <w:p>
      <w:pPr>
        <w:jc w:val="both"/>
        <w:ind w:left="660" w:firstLine="644"/>
        <w:spacing w:after="0" w:line="238" w:lineRule="auto"/>
        <w:tabs>
          <w:tab w:leader="none" w:pos="1713"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the Borrower may merge, amalgamate or consolidate with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be the continuing or surviving Person or (B) if the Person formed by or surviving any such merger, amalgamation or consolidation is not the Borrower (any such Person, the “</w:t>
      </w:r>
      <w:r>
        <w:rPr>
          <w:rFonts w:ascii="Arial" w:cs="Arial" w:eastAsia="Arial" w:hAnsi="Arial"/>
          <w:sz w:val="16"/>
          <w:szCs w:val="16"/>
          <w:u w:val="single" w:color="auto"/>
          <w:color w:val="auto"/>
        </w:rPr>
        <w:t>Successor Borrower</w:t>
      </w:r>
      <w:r>
        <w:rPr>
          <w:rFonts w:ascii="Arial" w:cs="Arial" w:eastAsia="Arial" w:hAnsi="Arial"/>
          <w:sz w:val="16"/>
          <w:szCs w:val="16"/>
          <w:color w:val="auto"/>
        </w:rPr>
        <w:t xml:space="preserve">”), (1) a Successor Borrower shall be an entity organized or existing under the laws of the United States, any state thereof or the District of Columbia, (2) a Successor Borrower shall expressly assume all the obligations of the Borrower under this Agreement and the other Loan Documents to which the Borrower is a party pursuant to a supplement hereto or thereto in form and substance reasonably satisfactory to the Administrative Agent, (3) each Loan Party other than the Borrower, unless it is the other party to such merger or consolidation, amalgamation or consolidation, shall have reaffirmed, pursuant to an agreement in form and substance reasonably satisfactory to the Administrative Agent, that its Guarantee of, and grant of any Liens as security for, the Secured Obligations shall apply to a Successor Borrower’s obligations under this Agreement and (4) the Borrower shall have delivered to the Administrative Agent a certificate of a Responsible Officer and an opinion of counsel, each stating that such merger, amalgamation or consolidation complies with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(x) if such Person is not a Loan Party, no Event of Default exists after giving effect to such merger, amalgamation or consolidation and (y) if the foregoing requirements are satisfied, a Successor Borrower will succeed to, and be substituted for, the Borrower under this Agreement and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Borrower agrees to use commercially reasonable efforts to provide any documentation and other information about such Successor Borrower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USA Patriot Act and the Beneficial Ownership Regulation;</w:t>
      </w:r>
    </w:p>
    <w:p>
      <w:pPr>
        <w:spacing w:after="0" w:line="172" w:lineRule="exact"/>
        <w:rPr>
          <w:rFonts w:ascii="Arial" w:cs="Arial" w:eastAsia="Arial" w:hAnsi="Arial"/>
          <w:sz w:val="16"/>
          <w:szCs w:val="16"/>
          <w:color w:val="auto"/>
        </w:rPr>
      </w:pPr>
    </w:p>
    <w:p>
      <w:pPr>
        <w:jc w:val="both"/>
        <w:ind w:left="660" w:firstLine="644"/>
        <w:spacing w:after="0" w:line="229" w:lineRule="auto"/>
        <w:tabs>
          <w:tab w:leader="none" w:pos="172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consolidate or amalgamate with any other Person in order to effect an Investment permitted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continuing or surviving Person shall be a Restricted Subsidiary, which together with each of the Restricted Subsidiaries, shall have complied with the requirements of </w:t>
      </w:r>
      <w:r>
        <w:rPr>
          <w:rFonts w:ascii="Arial" w:cs="Arial" w:eastAsia="Arial" w:hAnsi="Arial"/>
          <w:sz w:val="18"/>
          <w:szCs w:val="18"/>
          <w:u w:val="single" w:color="auto"/>
          <w:color w:val="auto"/>
        </w:rPr>
        <w:t>Sections 5.11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w:t>
      </w:r>
      <w:r>
        <w:rPr>
          <w:rFonts w:ascii="Arial" w:cs="Arial" w:eastAsia="Arial" w:hAnsi="Arial"/>
          <w:sz w:val="18"/>
          <w:szCs w:val="18"/>
          <w:color w:val="auto"/>
        </w:rPr>
        <w:t>; and</w:t>
      </w:r>
    </w:p>
    <w:p>
      <w:pPr>
        <w:spacing w:after="0" w:line="163" w:lineRule="exact"/>
        <w:rPr>
          <w:rFonts w:ascii="Arial" w:cs="Arial" w:eastAsia="Arial" w:hAnsi="Arial"/>
          <w:sz w:val="18"/>
          <w:szCs w:val="18"/>
          <w:color w:val="auto"/>
        </w:rPr>
      </w:pPr>
    </w:p>
    <w:p>
      <w:pPr>
        <w:ind w:left="660" w:firstLine="644"/>
        <w:spacing w:after="0" w:line="246" w:lineRule="auto"/>
        <w:tabs>
          <w:tab w:leader="none" w:pos="179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any Restricted Subsidiary may effect a merger, dissolution, liquidation consolidation or amalgamation to effect a Disposition permitted pursuant to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113</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63"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SECTION 6.04 Investments, Loans, Advances, Guarantees and Acquisitions. The Borrower will not, and will not permit any Restricted Subsidiary to, make or hold any Investment,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-136525</wp:posOffset>
            </wp:positionV>
            <wp:extent cx="30695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3069590" cy="8255"/>
                    </a:xfrm>
                    <a:prstGeom prst="rect">
                      <a:avLst/>
                    </a:prstGeom>
                    <a:noFill/>
                  </pic:spPr>
                </pic:pic>
              </a:graphicData>
            </a:graphic>
          </wp:anchor>
        </w:drawing>
      </w:r>
    </w:p>
    <w:p>
      <w:pPr>
        <w:spacing w:after="0" w:line="142" w:lineRule="exact"/>
        <w:rPr>
          <w:sz w:val="20"/>
          <w:szCs w:val="20"/>
          <w:color w:val="auto"/>
        </w:rPr>
      </w:pPr>
    </w:p>
    <w:p>
      <w:pPr>
        <w:ind w:left="1680" w:hanging="376"/>
        <w:spacing w:after="0"/>
        <w:tabs>
          <w:tab w:leader="none" w:pos="16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Permitted Investments at the time such Permitted Investment is made;</w:t>
      </w:r>
    </w:p>
    <w:p>
      <w:pPr>
        <w:spacing w:after="0" w:line="198" w:lineRule="exact"/>
        <w:rPr>
          <w:rFonts w:ascii="Arial" w:cs="Arial" w:eastAsia="Arial" w:hAnsi="Arial"/>
          <w:sz w:val="18"/>
          <w:szCs w:val="18"/>
          <w:color w:val="auto"/>
        </w:rPr>
      </w:pPr>
    </w:p>
    <w:p>
      <w:pPr>
        <w:ind w:left="1720" w:hanging="416"/>
        <w:spacing w:after="0"/>
        <w:tabs>
          <w:tab w:leader="none" w:pos="172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loans or advances to officers, directors and employees and other service providers of the Borrower and the Restricted Subsidiaries</w:t>
      </w:r>
    </w:p>
    <w:p>
      <w:pPr>
        <w:spacing w:after="0" w:line="7" w:lineRule="exact"/>
        <w:rPr>
          <w:rFonts w:ascii="Arial" w:cs="Arial" w:eastAsia="Arial" w:hAnsi="Arial"/>
          <w:sz w:val="16"/>
          <w:szCs w:val="16"/>
          <w:color w:val="auto"/>
        </w:rPr>
      </w:pPr>
    </w:p>
    <w:p>
      <w:pPr>
        <w:jc w:val="both"/>
        <w:ind w:left="660" w:hanging="4"/>
        <w:spacing w:after="0" w:line="228" w:lineRule="auto"/>
        <w:tabs>
          <w:tab w:leader="none" w:pos="893" w:val="left"/>
        </w:tabs>
        <w:numPr>
          <w:ilvl w:val="0"/>
          <w:numId w:val="181"/>
        </w:numPr>
        <w:rPr>
          <w:rFonts w:ascii="Arial" w:cs="Arial" w:eastAsia="Arial" w:hAnsi="Arial"/>
          <w:sz w:val="17"/>
          <w:szCs w:val="17"/>
          <w:color w:val="auto"/>
        </w:rPr>
      </w:pPr>
      <w:r>
        <w:rPr>
          <w:rFonts w:ascii="Arial" w:cs="Arial" w:eastAsia="Arial" w:hAnsi="Arial"/>
          <w:sz w:val="17"/>
          <w:szCs w:val="17"/>
          <w:color w:val="auto"/>
        </w:rPr>
        <w:t>for reasonable and customary business-related travel, entertainment, relocation and analogous ordinary business purposes, (ii) in connection with such Person’s purchase of Equity Interests in Holdings (or any direct or indirect parent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such loans and advances made in cash to such Person shall be contributed to the Borrower in cash as common equity or Qualified Equity Interests) and (iii) for purposes not described in the foregoing clauses (i) and (ii);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incurrence thereof and after giving Pro Forma Effect thereto, the aggregate principal amount outstanding in reliance on this clause (iii) shall not exceed the greater of $13,000,000 and 10% of Consolidated EBITDA for the most recently ended Test Period as of such time determined on a Pro Forma Basis;</w:t>
      </w:r>
    </w:p>
    <w:p>
      <w:pPr>
        <w:spacing w:after="0" w:line="165" w:lineRule="exact"/>
        <w:rPr>
          <w:rFonts w:ascii="Arial" w:cs="Arial" w:eastAsia="Arial" w:hAnsi="Arial"/>
          <w:sz w:val="17"/>
          <w:szCs w:val="17"/>
          <w:color w:val="auto"/>
        </w:rPr>
      </w:pPr>
    </w:p>
    <w:p>
      <w:pPr>
        <w:ind w:left="1680" w:hanging="376"/>
        <w:spacing w:after="0"/>
        <w:tabs>
          <w:tab w:leader="none" w:pos="16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Investments by the Borrower or any Restricted Subsidiary in the Borrower or any Restricted Subsidiary;</w:t>
      </w:r>
    </w:p>
    <w:p>
      <w:pPr>
        <w:spacing w:after="0" w:line="184" w:lineRule="exact"/>
        <w:rPr>
          <w:rFonts w:ascii="Arial" w:cs="Arial" w:eastAsia="Arial" w:hAnsi="Arial"/>
          <w:sz w:val="18"/>
          <w:szCs w:val="18"/>
          <w:color w:val="auto"/>
        </w:rPr>
      </w:pPr>
    </w:p>
    <w:p>
      <w:pPr>
        <w:ind w:left="1700" w:hanging="396"/>
        <w:spacing w:after="0"/>
        <w:tabs>
          <w:tab w:leader="none" w:pos="17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Investments consisting of prepayments to suppliers in the ordinary course of business;</w:t>
      </w:r>
    </w:p>
    <w:p>
      <w:pPr>
        <w:spacing w:after="0" w:line="198" w:lineRule="exact"/>
        <w:rPr>
          <w:rFonts w:ascii="Arial" w:cs="Arial" w:eastAsia="Arial" w:hAnsi="Arial"/>
          <w:sz w:val="18"/>
          <w:szCs w:val="18"/>
          <w:color w:val="auto"/>
        </w:rPr>
      </w:pPr>
    </w:p>
    <w:p>
      <w:pPr>
        <w:ind w:left="1680" w:hanging="376"/>
        <w:spacing w:after="0"/>
        <w:tabs>
          <w:tab w:leader="none" w:pos="16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Investments consisting of extensions of trade credit in the ordinary course of business;</w:t>
      </w:r>
    </w:p>
    <w:p>
      <w:pPr>
        <w:spacing w:after="0" w:line="184" w:lineRule="exact"/>
        <w:rPr>
          <w:rFonts w:ascii="Arial" w:cs="Arial" w:eastAsia="Arial" w:hAnsi="Arial"/>
          <w:sz w:val="18"/>
          <w:szCs w:val="18"/>
          <w:color w:val="auto"/>
        </w:rPr>
      </w:pPr>
    </w:p>
    <w:p>
      <w:pPr>
        <w:jc w:val="both"/>
        <w:ind w:left="660" w:firstLine="644"/>
        <w:spacing w:after="0" w:line="219" w:lineRule="auto"/>
        <w:tabs>
          <w:tab w:leader="none" w:pos="168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 xml:space="preserve">Investments (i) existing or contemplated on the Effective Date and set forth on </w:t>
      </w:r>
      <w:r>
        <w:rPr>
          <w:rFonts w:ascii="Arial" w:cs="Arial" w:eastAsia="Arial" w:hAnsi="Arial"/>
          <w:sz w:val="18"/>
          <w:szCs w:val="18"/>
          <w:u w:val="single" w:color="auto"/>
          <w:color w:val="auto"/>
        </w:rPr>
        <w:t>Schedule 6.04(f)</w:t>
      </w:r>
      <w:r>
        <w:rPr>
          <w:rFonts w:ascii="Arial" w:cs="Arial" w:eastAsia="Arial" w:hAnsi="Arial"/>
          <w:sz w:val="18"/>
          <w:szCs w:val="18"/>
          <w:color w:val="auto"/>
        </w:rPr>
        <w:t xml:space="preserve"> and any modification, replacement, renewal, reinvestment or extension thereof and (ii) Investments existing on the date hereof by the Borrower or any Restricted Subsidiary in Holdings, the Borrower or any Restricted Subsidiary and any modification, renewal or extension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the original Investment is not increased except by the terms of such Investment to the extent as set forth on </w:t>
      </w:r>
      <w:r>
        <w:rPr>
          <w:rFonts w:ascii="Arial" w:cs="Arial" w:eastAsia="Arial" w:hAnsi="Arial"/>
          <w:sz w:val="18"/>
          <w:szCs w:val="18"/>
          <w:u w:val="single" w:color="auto"/>
          <w:color w:val="auto"/>
        </w:rPr>
        <w:t>Schedule 6.04(f)</w:t>
      </w:r>
      <w:r>
        <w:rPr>
          <w:rFonts w:ascii="Arial" w:cs="Arial" w:eastAsia="Arial" w:hAnsi="Arial"/>
          <w:sz w:val="18"/>
          <w:szCs w:val="18"/>
          <w:color w:val="auto"/>
        </w:rPr>
        <w:t xml:space="preserve"> or as otherwise permitted by this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1700" w:hanging="396"/>
        <w:spacing w:after="0"/>
        <w:tabs>
          <w:tab w:leader="none" w:pos="17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 xml:space="preserve">Investments in Swap Agreements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700" w:hanging="396"/>
        <w:spacing w:after="0"/>
        <w:tabs>
          <w:tab w:leader="none" w:pos="17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 xml:space="preserve">promissory notes and other non-cash consideration received in connection with Dispositions permitted by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660" w:hanging="356"/>
        <w:spacing w:after="0"/>
        <w:tabs>
          <w:tab w:leader="none" w:pos="16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198" w:lineRule="exact"/>
        <w:rPr>
          <w:rFonts w:ascii="Arial" w:cs="Arial" w:eastAsia="Arial" w:hAnsi="Arial"/>
          <w:sz w:val="18"/>
          <w:szCs w:val="18"/>
          <w:color w:val="auto"/>
        </w:rPr>
      </w:pPr>
    </w:p>
    <w:p>
      <w:pPr>
        <w:ind w:left="1660" w:hanging="356"/>
        <w:spacing w:after="0"/>
        <w:tabs>
          <w:tab w:leader="none" w:pos="16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Transactions;</w:t>
      </w:r>
    </w:p>
    <w:p>
      <w:pPr>
        <w:spacing w:after="0" w:line="184" w:lineRule="exact"/>
        <w:rPr>
          <w:rFonts w:ascii="Arial" w:cs="Arial" w:eastAsia="Arial" w:hAnsi="Arial"/>
          <w:sz w:val="18"/>
          <w:szCs w:val="18"/>
          <w:color w:val="auto"/>
        </w:rPr>
      </w:pPr>
    </w:p>
    <w:p>
      <w:pPr>
        <w:ind w:left="660" w:firstLine="644"/>
        <w:spacing w:after="0" w:line="235" w:lineRule="auto"/>
        <w:tabs>
          <w:tab w:leader="none" w:pos="188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endorsements for collection or deposit and customary trade arrangements with customers consistent with past practices;</w:t>
      </w:r>
    </w:p>
    <w:p>
      <w:pPr>
        <w:spacing w:after="0" w:line="175" w:lineRule="exact"/>
        <w:rPr>
          <w:rFonts w:ascii="Arial" w:cs="Arial" w:eastAsia="Arial" w:hAnsi="Arial"/>
          <w:sz w:val="18"/>
          <w:szCs w:val="18"/>
          <w:color w:val="auto"/>
        </w:rPr>
      </w:pPr>
    </w:p>
    <w:p>
      <w:pPr>
        <w:jc w:val="both"/>
        <w:ind w:left="660" w:firstLine="644"/>
        <w:spacing w:after="0" w:line="259" w:lineRule="auto"/>
        <w:tabs>
          <w:tab w:leader="none" w:pos="1776" w:val="left"/>
        </w:tabs>
        <w:numPr>
          <w:ilvl w:val="1"/>
          <w:numId w:val="181"/>
        </w:numPr>
        <w:rPr>
          <w:rFonts w:ascii="Arial" w:cs="Arial" w:eastAsia="Arial" w:hAnsi="Arial"/>
          <w:sz w:val="16"/>
          <w:szCs w:val="16"/>
          <w:color w:val="auto"/>
        </w:rPr>
      </w:pPr>
      <w:r>
        <w:rPr>
          <w:rFonts w:ascii="Arial" w:cs="Arial" w:eastAsia="Arial" w:hAnsi="Arial"/>
          <w:sz w:val="16"/>
          <w:szCs w:val="16"/>
          <w:color w:val="auto"/>
        </w:rPr>
        <w:t>Investments (including debt obligations and Equity Interests) received in connection with the bankruptcy or reorganization of suppliers and customers, from financially troubled account debtors or in settlement of delinquent obligations of, or other disputes with, customers and suppliers or upon the foreclosure with respect to any secured Investment or other transfer of title with respect to any secured Investment;</w:t>
      </w:r>
    </w:p>
    <w:p>
      <w:pPr>
        <w:spacing w:after="0" w:line="160" w:lineRule="exact"/>
        <w:rPr>
          <w:rFonts w:ascii="Arial" w:cs="Arial" w:eastAsia="Arial" w:hAnsi="Arial"/>
          <w:sz w:val="16"/>
          <w:szCs w:val="16"/>
          <w:color w:val="auto"/>
        </w:rPr>
      </w:pPr>
    </w:p>
    <w:p>
      <w:pPr>
        <w:jc w:val="both"/>
        <w:ind w:left="660" w:firstLine="644"/>
        <w:spacing w:after="0" w:line="224" w:lineRule="auto"/>
        <w:tabs>
          <w:tab w:leader="none" w:pos="1763" w:val="left"/>
        </w:tabs>
        <w:numPr>
          <w:ilvl w:val="1"/>
          <w:numId w:val="181"/>
        </w:numPr>
        <w:rPr>
          <w:rFonts w:ascii="Arial" w:cs="Arial" w:eastAsia="Arial" w:hAnsi="Arial"/>
          <w:sz w:val="18"/>
          <w:szCs w:val="18"/>
          <w:color w:val="auto"/>
        </w:rPr>
      </w:pPr>
      <w:r>
        <w:rPr>
          <w:rFonts w:ascii="Arial" w:cs="Arial" w:eastAsia="Arial" w:hAnsi="Arial"/>
          <w:sz w:val="18"/>
          <w:szCs w:val="18"/>
          <w:color w:val="auto"/>
        </w:rPr>
        <w:t xml:space="preserve">loans and advances to Holdings (or any direct or indirect parent thereof) in lieu of, and not in excess of the amount of (after giving effect to any other loans, advances or Restricted Payments in respect thereof), Restricted Payments to the extent permitted to be made to Holdings (or such parent) in accordance with </w:t>
      </w:r>
      <w:r>
        <w:rPr>
          <w:rFonts w:ascii="Arial" w:cs="Arial" w:eastAsia="Arial" w:hAnsi="Arial"/>
          <w:sz w:val="18"/>
          <w:szCs w:val="18"/>
          <w:u w:val="single" w:color="auto"/>
          <w:color w:val="auto"/>
        </w:rPr>
        <w:t>Section 6.08(a)</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jc w:val="both"/>
        <w:ind w:left="660" w:firstLine="644"/>
        <w:spacing w:after="0" w:line="244" w:lineRule="auto"/>
        <w:tabs>
          <w:tab w:leader="none" w:pos="1728" w:val="left"/>
        </w:tabs>
        <w:numPr>
          <w:ilvl w:val="1"/>
          <w:numId w:val="181"/>
        </w:numPr>
        <w:rPr>
          <w:rFonts w:ascii="Arial" w:cs="Arial" w:eastAsia="Arial" w:hAnsi="Arial"/>
          <w:sz w:val="16"/>
          <w:szCs w:val="16"/>
          <w:color w:val="auto"/>
        </w:rPr>
      </w:pPr>
      <w:r>
        <w:rPr>
          <w:rFonts w:ascii="Arial" w:cs="Arial" w:eastAsia="Arial" w:hAnsi="Arial"/>
          <w:sz w:val="16"/>
          <w:szCs w:val="16"/>
          <w:color w:val="auto"/>
        </w:rPr>
        <w:t>other Investments and other acquisitions (i) so long as, at the time any such Investment or other acquisition is made, the aggregate outstanding amount of all Investments made in reliance on this clause (n)(i) together with the aggregate amount of all consideration paid in connection with all other Investments and acquisitions made in reliance on this clause (n)(i) shall not exceed the greater of $65,000,000 and 50% of Consolidated EBITDA for the most recently ended Test Period as of such time determined on a Pro Forma Basis, (ii) in an amount not to exceed the Available Amount that is Not Otherwise Applied as in effect immediately prior to the time of making of such Investment, (iii) in an amount not to exceed the Available Equity Amount that is Not Otherwise Applied as in effect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114</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6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prior to the time of making of such Investment and (iv) in an amount not to exceed the Available RP Capacity Amount as in effect immediately prior to the time of making of such Investment;</w:t>
      </w:r>
    </w:p>
    <w:p>
      <w:pPr>
        <w:spacing w:after="0" w:line="162" w:lineRule="exact"/>
        <w:rPr>
          <w:sz w:val="20"/>
          <w:szCs w:val="20"/>
          <w:color w:val="auto"/>
        </w:rPr>
      </w:pPr>
    </w:p>
    <w:p>
      <w:pPr>
        <w:ind w:left="1040" w:hanging="396"/>
        <w:spacing w:after="0"/>
        <w:tabs>
          <w:tab w:leader="none" w:pos="10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auto"/>
        </w:rPr>
      </w:pPr>
    </w:p>
    <w:p>
      <w:pPr>
        <w:ind w:left="1040" w:hanging="396"/>
        <w:spacing w:after="0"/>
        <w:tabs>
          <w:tab w:leader="none" w:pos="10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advances of payroll payments to employees and other service providers in the ordinary course of business;</w:t>
      </w:r>
    </w:p>
    <w:p>
      <w:pPr>
        <w:spacing w:after="0" w:line="184" w:lineRule="exact"/>
        <w:rPr>
          <w:rFonts w:ascii="Arial" w:cs="Arial" w:eastAsia="Arial" w:hAnsi="Arial"/>
          <w:sz w:val="18"/>
          <w:szCs w:val="18"/>
          <w:color w:val="auto"/>
        </w:rPr>
      </w:pPr>
    </w:p>
    <w:p>
      <w:pPr>
        <w:jc w:val="both"/>
        <w:ind w:firstLine="644"/>
        <w:spacing w:after="0" w:line="219" w:lineRule="auto"/>
        <w:tabs>
          <w:tab w:leader="none" w:pos="117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Investments and other acquisitions to the extent that payment for such Investments is made with Qualified Equity Interests (excluding Cure Amounts) of Holdings (or any direct or indirect parent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amounts used pursuant to this clause (q) shall not increase the Available Equity Amount or be applied to increase any other basket hereunder and (ii) any amounts used for such an Investment or other acquisition that are not Qualified Equity Interests of Holdings (or any direct or indirect parent thereof) shall otherwise be permitted pursuant to this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jc w:val="both"/>
        <w:ind w:firstLine="644"/>
        <w:spacing w:after="0" w:line="259" w:lineRule="auto"/>
        <w:tabs>
          <w:tab w:leader="none" w:pos="113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Investments of a Subsidiary acquired after the Effective Date or of a Person merged or consolidated with any Subsidiary in accordance with this Section and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after the Effective Date to the extent that such Investments were not made in contemplation of or in connection with such acquisition, merger or consolidation and were in existence on the date of such acquisition, merger or consolidation;</w:t>
      </w:r>
    </w:p>
    <w:p>
      <w:pPr>
        <w:spacing w:after="0" w:line="160" w:lineRule="exact"/>
        <w:rPr>
          <w:rFonts w:ascii="Arial" w:cs="Arial" w:eastAsia="Arial" w:hAnsi="Arial"/>
          <w:sz w:val="16"/>
          <w:szCs w:val="16"/>
          <w:color w:val="auto"/>
        </w:rPr>
      </w:pPr>
    </w:p>
    <w:p>
      <w:pPr>
        <w:ind w:firstLine="644"/>
        <w:spacing w:after="0" w:line="235" w:lineRule="auto"/>
        <w:tabs>
          <w:tab w:leader="none" w:pos="108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non-cash Investments in connection with tax planning and reorganization activities;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such activities, the security interests of the Lenders in the Collateral, taken as a whole, would not be materially impaired;</w:t>
      </w:r>
    </w:p>
    <w:p>
      <w:pPr>
        <w:spacing w:after="0" w:line="161" w:lineRule="exact"/>
        <w:rPr>
          <w:rFonts w:ascii="Arial" w:cs="Arial" w:eastAsia="Arial" w:hAnsi="Arial"/>
          <w:sz w:val="18"/>
          <w:szCs w:val="18"/>
          <w:color w:val="auto"/>
        </w:rPr>
      </w:pPr>
    </w:p>
    <w:p>
      <w:pPr>
        <w:jc w:val="both"/>
        <w:ind w:firstLine="644"/>
        <w:spacing w:after="0" w:line="229" w:lineRule="auto"/>
        <w:tabs>
          <w:tab w:leader="none" w:pos="100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Investments consisting of Liens, Indebtedness, fundamental changes, Dispositions, Restricted Payments and prepayments, purchases and redemptions of Indebtedness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6.08</w:t>
      </w:r>
      <w:r>
        <w:rPr>
          <w:rFonts w:ascii="Arial" w:cs="Arial" w:eastAsia="Arial" w:hAnsi="Arial"/>
          <w:sz w:val="18"/>
          <w:szCs w:val="18"/>
          <w:color w:val="auto"/>
        </w:rPr>
        <w:t>, respectively, in each case, other than by reference to this Section 6.04(t);</w:t>
      </w:r>
    </w:p>
    <w:p>
      <w:pPr>
        <w:spacing w:after="0" w:line="163" w:lineRule="exact"/>
        <w:rPr>
          <w:rFonts w:ascii="Arial" w:cs="Arial" w:eastAsia="Arial" w:hAnsi="Arial"/>
          <w:sz w:val="18"/>
          <w:szCs w:val="18"/>
          <w:color w:val="auto"/>
        </w:rPr>
      </w:pPr>
    </w:p>
    <w:p>
      <w:pPr>
        <w:ind w:firstLine="644"/>
        <w:spacing w:after="0" w:line="246" w:lineRule="auto"/>
        <w:tabs>
          <w:tab w:leader="none" w:pos="106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additional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Investment on a Pro Forma Basis, the Total Leverage Ratio is less than or equal to 4.00 to 1.00;</w:t>
      </w:r>
    </w:p>
    <w:p>
      <w:pPr>
        <w:spacing w:after="0" w:line="156" w:lineRule="exact"/>
        <w:rPr>
          <w:rFonts w:ascii="Arial" w:cs="Arial" w:eastAsia="Arial" w:hAnsi="Arial"/>
          <w:sz w:val="18"/>
          <w:szCs w:val="18"/>
          <w:color w:val="auto"/>
        </w:rPr>
      </w:pPr>
    </w:p>
    <w:p>
      <w:pPr>
        <w:ind w:firstLine="644"/>
        <w:spacing w:after="0" w:line="235" w:lineRule="auto"/>
        <w:tabs>
          <w:tab w:leader="none" w:pos="117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contributions to a “rabbi” trust for the benefit of employees, directors, consultants, independent contractors or other service providers or other grantor trust subject to claims of creditors in the case of a bankruptcy of the Borrower;</w:t>
      </w:r>
    </w:p>
    <w:p>
      <w:pPr>
        <w:spacing w:after="0" w:line="175" w:lineRule="exact"/>
        <w:rPr>
          <w:rFonts w:ascii="Arial" w:cs="Arial" w:eastAsia="Arial" w:hAnsi="Arial"/>
          <w:sz w:val="18"/>
          <w:szCs w:val="18"/>
          <w:color w:val="auto"/>
        </w:rPr>
      </w:pPr>
    </w:p>
    <w:p>
      <w:pPr>
        <w:ind w:firstLine="644"/>
        <w:spacing w:after="0" w:line="289" w:lineRule="auto"/>
        <w:tabs>
          <w:tab w:leader="none" w:pos="122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spacing w:after="0" w:line="123" w:lineRule="exact"/>
        <w:rPr>
          <w:rFonts w:ascii="Arial" w:cs="Arial" w:eastAsia="Arial" w:hAnsi="Arial"/>
          <w:sz w:val="16"/>
          <w:szCs w:val="16"/>
          <w:color w:val="auto"/>
        </w:rPr>
      </w:pPr>
    </w:p>
    <w:p>
      <w:pPr>
        <w:ind w:firstLine="644"/>
        <w:spacing w:after="0" w:line="246" w:lineRule="auto"/>
        <w:tabs>
          <w:tab w:leader="none" w:pos="105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Investments by an Unrestricted Subsidiary entered into prior to the day such Unrestricted Subsidiary is redesignated as a Restricted Subsidiary pursuant to the definition of “Unrestricted Subsidiary”;</w:t>
      </w:r>
    </w:p>
    <w:p>
      <w:pPr>
        <w:spacing w:after="0" w:line="156" w:lineRule="exact"/>
        <w:rPr>
          <w:rFonts w:ascii="Arial" w:cs="Arial" w:eastAsia="Arial" w:hAnsi="Arial"/>
          <w:sz w:val="18"/>
          <w:szCs w:val="18"/>
          <w:color w:val="auto"/>
        </w:rPr>
      </w:pPr>
    </w:p>
    <w:p>
      <w:pPr>
        <w:jc w:val="both"/>
        <w:ind w:firstLine="644"/>
        <w:spacing w:after="0" w:line="223" w:lineRule="auto"/>
        <w:tabs>
          <w:tab w:leader="none" w:pos="106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any Investment in a Similar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any such Investment is made, the aggregate outstanding amount of all Investments made in reliance on this clause (y) together with the aggregate amount of all consideration paid in connection with all other Investments made in reliance on this clause (y), shall not exceed the greater of (A) $72,000,000 and (B) 55% of Consolidated EBITDA for the most recently ended Test Period as of such time determined on a Pro Forma Basis;</w:t>
      </w:r>
    </w:p>
    <w:p>
      <w:pPr>
        <w:spacing w:after="0" w:line="162" w:lineRule="exact"/>
        <w:rPr>
          <w:rFonts w:ascii="Arial" w:cs="Arial" w:eastAsia="Arial" w:hAnsi="Arial"/>
          <w:sz w:val="18"/>
          <w:szCs w:val="18"/>
          <w:color w:val="auto"/>
        </w:rPr>
      </w:pPr>
    </w:p>
    <w:p>
      <w:pPr>
        <w:jc w:val="both"/>
        <w:ind w:firstLine="644"/>
        <w:spacing w:after="0" w:line="222" w:lineRule="auto"/>
        <w:tabs>
          <w:tab w:leader="none" w:pos="111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Investments in Unrestricted Subsidiaries and any Person of which the Borrower or any Restricted Subsidiary owns any Equity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any such Investment is made, the aggregate outstanding amount of all Investments made in reliance on this clause (z) together with the aggregate amount of all consideration paid in connection with all other Investments made in reliance on this clause (z), shall not exceed the greater of (A) $65,000,000 and (B) 50% of Consolidated EBITDA for the most recently ended Test Period as of such time determined on a Pro Forma Basis;</w:t>
      </w:r>
    </w:p>
    <w:p>
      <w:pPr>
        <w:spacing w:after="0" w:line="163" w:lineRule="exact"/>
        <w:rPr>
          <w:sz w:val="20"/>
          <w:szCs w:val="20"/>
          <w:color w:val="auto"/>
        </w:rPr>
      </w:pPr>
    </w:p>
    <w:p>
      <w:pPr>
        <w:ind w:firstLine="644"/>
        <w:spacing w:after="0" w:line="235" w:lineRule="auto"/>
        <w:tabs>
          <w:tab w:leader="none" w:pos="12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Investments in Subsidiaries in the form of receivables and related assets required in connection with a Permitted Receivables Financing (including the contribution or lending of cash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00"/>
        <w:spacing w:after="0"/>
        <w:rPr>
          <w:sz w:val="20"/>
          <w:szCs w:val="20"/>
          <w:color w:val="auto"/>
        </w:rPr>
      </w:pPr>
      <w:r>
        <w:rPr>
          <w:rFonts w:ascii="Arial" w:cs="Arial" w:eastAsia="Arial" w:hAnsi="Arial"/>
          <w:sz w:val="22"/>
          <w:szCs w:val="22"/>
          <w:u w:val="single" w:color="auto"/>
          <w:color w:val="0000FF"/>
          <w:highlight w:val="lightGray"/>
        </w:rPr>
        <w:t>115</w:t>
      </w:r>
    </w:p>
    <w:p>
      <w:pPr>
        <w:sectPr>
          <w:pgSz w:w="11900" w:h="16838" w:orient="portrait"/>
          <w:cols w:equalWidth="0" w:num="1">
            <w:col w:w="10580"/>
          </w:cols>
          <w:pgMar w:left="980" w:top="1440" w:right="339" w:bottom="1440" w:gutter="0" w:footer="0" w:header="0"/>
        </w:sectPr>
      </w:pPr>
    </w:p>
    <w:bookmarkStart w:id="173" w:name="page174"/>
    <w:bookmarkEnd w:id="173"/>
    <w:p>
      <w:pPr>
        <w:spacing w:after="0" w:line="63"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color w:val="auto"/>
        </w:rPr>
        <w:t>equivalents to Subsidiaries to finance the purchase of such assets from Holdings, the Borrower or other Restricted Subsidiaries or to otherwise fund required reserves);</w:t>
      </w:r>
    </w:p>
    <w:p>
      <w:pPr>
        <w:spacing w:after="0" w:line="162" w:lineRule="exact"/>
        <w:rPr>
          <w:sz w:val="20"/>
          <w:szCs w:val="20"/>
          <w:color w:val="auto"/>
        </w:rPr>
      </w:pPr>
    </w:p>
    <w:p>
      <w:pPr>
        <w:ind w:left="1780" w:hanging="476"/>
        <w:spacing w:after="0"/>
        <w:tabs>
          <w:tab w:leader="none" w:pos="17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Investments by a captive insurance subsidiary in accordance with any investment policy or any insurance statutes or regulations</w:t>
      </w:r>
    </w:p>
    <w:p>
      <w:pPr>
        <w:spacing w:after="0" w:line="2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applicable to it;</w:t>
      </w:r>
    </w:p>
    <w:p>
      <w:pPr>
        <w:spacing w:after="0" w:line="168" w:lineRule="exact"/>
        <w:rPr>
          <w:rFonts w:ascii="Arial" w:cs="Arial" w:eastAsia="Arial" w:hAnsi="Arial"/>
          <w:sz w:val="16"/>
          <w:szCs w:val="16"/>
          <w:color w:val="auto"/>
        </w:rPr>
      </w:pPr>
    </w:p>
    <w:p>
      <w:pPr>
        <w:ind w:left="1760" w:hanging="456"/>
        <w:spacing w:after="0"/>
        <w:tabs>
          <w:tab w:leader="none" w:pos="17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Investments in connection with the Transactions;</w:t>
      </w:r>
    </w:p>
    <w:p>
      <w:pPr>
        <w:spacing w:after="0" w:line="184" w:lineRule="exact"/>
        <w:rPr>
          <w:rFonts w:ascii="Arial" w:cs="Arial" w:eastAsia="Arial" w:hAnsi="Arial"/>
          <w:sz w:val="18"/>
          <w:szCs w:val="18"/>
          <w:color w:val="auto"/>
        </w:rPr>
      </w:pPr>
    </w:p>
    <w:p>
      <w:pPr>
        <w:jc w:val="both"/>
        <w:ind w:left="660" w:firstLine="644"/>
        <w:spacing w:after="0" w:line="229" w:lineRule="auto"/>
        <w:tabs>
          <w:tab w:leader="none" w:pos="18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guarantees by the Borrower or any of the Restricted Subsidiaries of leases (other than Capitalized Leases), contracts or of other obligations of the Borrower or any Restricted Subsidiary that do not constitute Indebtedness, in each case entered into in the ordinary course of business; and</w:t>
      </w:r>
    </w:p>
    <w:p>
      <w:pPr>
        <w:spacing w:after="0" w:line="163" w:lineRule="exact"/>
        <w:rPr>
          <w:rFonts w:ascii="Arial" w:cs="Arial" w:eastAsia="Arial" w:hAnsi="Arial"/>
          <w:sz w:val="18"/>
          <w:szCs w:val="18"/>
          <w:color w:val="auto"/>
        </w:rPr>
      </w:pPr>
    </w:p>
    <w:p>
      <w:pPr>
        <w:ind w:left="660" w:firstLine="644"/>
        <w:spacing w:after="0" w:line="246" w:lineRule="auto"/>
        <w:tabs>
          <w:tab w:leader="none" w:pos="183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the extent constituting an Investment, advances in respect of transfer pricing and cost-sharing arrangements (i.e., “cost-plus” arrangements) that are in the ordinary course of business.</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SECTION 6.05 Asset Sales. The Borrower will not, and will not permit any Restricted Subsidiary to, sell, transfer, lease, license or otherwise dispose of any asset (in one transaction or in a series of related transactions and whether effected pursuant to a Division or otherwise), including any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1134745</wp:posOffset>
            </wp:positionH>
            <wp:positionV relativeFrom="paragraph">
              <wp:posOffset>-120015</wp:posOffset>
            </wp:positionV>
            <wp:extent cx="6731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673100"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 xml:space="preserve">Interest owned by it, nor will the Borrower permit any Restricted Subsidiary to issue any additional Equity Interest in such Restricted Subsidiary (other than issuing directors’ qualifying shares, nominal shares issued to foreign nationals or other Persons to the extent required by applicable Requirements of Law and other than issuing Equity Interests to Holdings, the Borrower or a Restricted Subsidiary in compliance with </w:t>
      </w:r>
      <w:r>
        <w:rPr>
          <w:rFonts w:ascii="Arial" w:cs="Arial" w:eastAsia="Arial" w:hAnsi="Arial"/>
          <w:sz w:val="16"/>
          <w:szCs w:val="16"/>
          <w:u w:val="single" w:color="auto"/>
          <w:color w:val="auto"/>
        </w:rPr>
        <w:t>Section 6.04(c)</w:t>
      </w:r>
      <w:r>
        <w:rPr>
          <w:rFonts w:ascii="Arial" w:cs="Arial" w:eastAsia="Arial" w:hAnsi="Arial"/>
          <w:sz w:val="16"/>
          <w:szCs w:val="16"/>
          <w:color w:val="auto"/>
        </w:rPr>
        <w:t>) (each,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except:</w:t>
      </w:r>
    </w:p>
    <w:p>
      <w:pPr>
        <w:spacing w:after="0" w:line="169" w:lineRule="exact"/>
        <w:rPr>
          <w:sz w:val="20"/>
          <w:szCs w:val="20"/>
          <w:color w:val="auto"/>
        </w:rPr>
      </w:pPr>
    </w:p>
    <w:p>
      <w:pPr>
        <w:jc w:val="both"/>
        <w:ind w:firstLine="656"/>
        <w:spacing w:after="0" w:line="223" w:lineRule="auto"/>
        <w:tabs>
          <w:tab w:leader="none" w:pos="1041"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Dispositions of obsolete or worn out property, whether now owned or hereafter acquired, in the ordinary course of business and Dispositions of property no longer used or useful, or economically practicable to maintain, in the conduct of the business of the Borrower and the Restricted Subsidiaries (including allowing any Intellectual Property (and any related registration or application) that is no longer used or useful, or economically practicable to maintain, to lapse or go abandoned or be invalidated);</w:t>
      </w:r>
    </w:p>
    <w:p>
      <w:pPr>
        <w:spacing w:after="0" w:line="162" w:lineRule="exact"/>
        <w:rPr>
          <w:rFonts w:ascii="Arial" w:cs="Arial" w:eastAsia="Arial" w:hAnsi="Arial"/>
          <w:sz w:val="18"/>
          <w:szCs w:val="18"/>
          <w:color w:val="auto"/>
        </w:rPr>
      </w:pPr>
    </w:p>
    <w:p>
      <w:pPr>
        <w:ind w:left="1040" w:hanging="384"/>
        <w:spacing w:after="0"/>
        <w:tabs>
          <w:tab w:leader="none" w:pos="10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Dispositions of inventory and other assets in the ordinary course of business;</w:t>
      </w:r>
    </w:p>
    <w:p>
      <w:pPr>
        <w:spacing w:after="0" w:line="198" w:lineRule="exact"/>
        <w:rPr>
          <w:rFonts w:ascii="Arial" w:cs="Arial" w:eastAsia="Arial" w:hAnsi="Arial"/>
          <w:sz w:val="18"/>
          <w:szCs w:val="18"/>
          <w:color w:val="auto"/>
        </w:rPr>
      </w:pPr>
    </w:p>
    <w:p>
      <w:pPr>
        <w:ind w:left="1040" w:hanging="384"/>
        <w:spacing w:after="0"/>
        <w:tabs>
          <w:tab w:leader="none" w:pos="104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Dispositions of property to the extent that (i) such property is exchanged for credit against the purchase price of similar replacement property,</w:t>
      </w:r>
    </w:p>
    <w:p>
      <w:pPr>
        <w:spacing w:after="0" w:line="7" w:lineRule="exact"/>
        <w:rPr>
          <w:rFonts w:ascii="Arial" w:cs="Arial" w:eastAsia="Arial" w:hAnsi="Arial"/>
          <w:sz w:val="16"/>
          <w:szCs w:val="16"/>
          <w:color w:val="auto"/>
        </w:rPr>
      </w:pPr>
    </w:p>
    <w:p>
      <w:pPr>
        <w:jc w:val="both"/>
        <w:ind w:firstLine="8"/>
        <w:spacing w:after="0" w:line="223" w:lineRule="auto"/>
        <w:tabs>
          <w:tab w:leader="none" w:pos="29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 amount equal to the Net Proceeds of such Disposition are promptly applied to the purchase price of such replacement property or (iii) such Disposition qualifies for non-recognition treatment under Section 1031 of the Code, or any comparable or successor provision for like-kind property (and any boot thereon) and for use in a Similar Business;</w:t>
      </w:r>
    </w:p>
    <w:p>
      <w:pPr>
        <w:spacing w:after="0" w:line="163" w:lineRule="exact"/>
        <w:rPr>
          <w:rFonts w:ascii="Arial" w:cs="Arial" w:eastAsia="Arial" w:hAnsi="Arial"/>
          <w:sz w:val="18"/>
          <w:szCs w:val="18"/>
          <w:color w:val="auto"/>
        </w:rPr>
      </w:pPr>
    </w:p>
    <w:p>
      <w:pPr>
        <w:jc w:val="both"/>
        <w:ind w:firstLine="656"/>
        <w:spacing w:after="0" w:line="219" w:lineRule="auto"/>
        <w:tabs>
          <w:tab w:leader="none" w:pos="1053"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Dispositions of property to the Borrower or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transferor in such a transaction is a Loan Party, then either (i) the transferee must be a Loan Party, (ii) to the extent constituting an Investment, such Investment must be an Investment in a Restricted Subsidiary that is not a Loan Party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or (iii) to the extent constituting a Disposition to a Restricted Subsidiary that is not a Loan Party, such Disposition is for Fair Market Value and any promissory note or other non-cash consideration received in respect thereof is an Investment in a Restricted Subsidiary that is not a Loan Party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firstLine="656"/>
        <w:spacing w:after="0" w:line="289" w:lineRule="auto"/>
        <w:tabs>
          <w:tab w:leader="none" w:pos="115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 xml:space="preserve">Dispositions permitted by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Investments permitted by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Restricted Payments and prepayments, purchases and redemptions of Indebtedness permitted by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Liens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in each case, other than by reference to this </w:t>
      </w:r>
      <w:r>
        <w:rPr>
          <w:rFonts w:ascii="Arial" w:cs="Arial" w:eastAsia="Arial" w:hAnsi="Arial"/>
          <w:sz w:val="16"/>
          <w:szCs w:val="16"/>
          <w:u w:val="single" w:color="auto"/>
          <w:color w:val="auto"/>
        </w:rPr>
        <w:t>Section 6.05(e)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020" w:hanging="364"/>
        <w:spacing w:after="0"/>
        <w:tabs>
          <w:tab w:leader="none" w:pos="10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issuance, sale or pledge of Equity Interests in, or Indebtedness, or other securities of, an Unrestricted Subsidiary;</w:t>
      </w:r>
    </w:p>
    <w:p>
      <w:pPr>
        <w:spacing w:after="0" w:line="198" w:lineRule="exact"/>
        <w:rPr>
          <w:rFonts w:ascii="Arial" w:cs="Arial" w:eastAsia="Arial" w:hAnsi="Arial"/>
          <w:sz w:val="18"/>
          <w:szCs w:val="18"/>
          <w:color w:val="auto"/>
        </w:rPr>
      </w:pPr>
    </w:p>
    <w:p>
      <w:pPr>
        <w:ind w:left="1040" w:hanging="384"/>
        <w:spacing w:after="0"/>
        <w:tabs>
          <w:tab w:leader="none" w:pos="10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Dispositions of Permitted Investments;</w:t>
      </w:r>
    </w:p>
    <w:p>
      <w:pPr>
        <w:spacing w:after="0" w:line="184" w:lineRule="exact"/>
        <w:rPr>
          <w:rFonts w:ascii="Arial" w:cs="Arial" w:eastAsia="Arial" w:hAnsi="Arial"/>
          <w:sz w:val="18"/>
          <w:szCs w:val="18"/>
          <w:color w:val="auto"/>
        </w:rPr>
      </w:pPr>
    </w:p>
    <w:p>
      <w:pPr>
        <w:ind w:firstLine="656"/>
        <w:spacing w:after="0" w:line="235" w:lineRule="auto"/>
        <w:tabs>
          <w:tab w:leader="none" w:pos="1101"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Dispositions of (A) accounts receivable in connection with the collection or compromise thereof (including sales to factors or other third parties) and (B) receivables and related assets pursuant to any Permitted Receivables Financing;</w:t>
      </w:r>
    </w:p>
    <w:p>
      <w:pPr>
        <w:spacing w:after="0" w:line="175" w:lineRule="exact"/>
        <w:rPr>
          <w:rFonts w:ascii="Arial" w:cs="Arial" w:eastAsia="Arial" w:hAnsi="Arial"/>
          <w:sz w:val="18"/>
          <w:szCs w:val="18"/>
          <w:color w:val="auto"/>
        </w:rPr>
      </w:pPr>
    </w:p>
    <w:p>
      <w:pPr>
        <w:jc w:val="both"/>
        <w:ind w:firstLine="656"/>
        <w:spacing w:after="0" w:line="224" w:lineRule="auto"/>
        <w:tabs>
          <w:tab w:leader="none" w:pos="101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leases, subleases, service agreements, covenants not to sue, licenses or sublicenses (including agreements involving the provision of software under an open source license, in copy or as a service, and related data and services), in each case that do not materially interfere with the business of the Borrower and the Restricted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116</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63" w:lineRule="exact"/>
        <w:rPr>
          <w:sz w:val="20"/>
          <w:szCs w:val="20"/>
          <w:color w:val="auto"/>
        </w:rPr>
      </w:pPr>
    </w:p>
    <w:p>
      <w:pPr>
        <w:ind w:left="1000" w:hanging="344"/>
        <w:spacing w:after="0"/>
        <w:tabs>
          <w:tab w:leader="none" w:pos="10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transfers of property subject to Casualty Events upon receipt of the Net Proceeds of such Casualty Event;</w:t>
      </w:r>
    </w:p>
    <w:p>
      <w:pPr>
        <w:spacing w:after="0" w:line="184" w:lineRule="exact"/>
        <w:rPr>
          <w:rFonts w:ascii="Arial" w:cs="Arial" w:eastAsia="Arial" w:hAnsi="Arial"/>
          <w:sz w:val="18"/>
          <w:szCs w:val="18"/>
          <w:color w:val="auto"/>
        </w:rPr>
      </w:pPr>
    </w:p>
    <w:p>
      <w:pPr>
        <w:jc w:val="both"/>
        <w:ind w:firstLine="656"/>
        <w:spacing w:after="0" w:line="237" w:lineRule="auto"/>
        <w:tabs>
          <w:tab w:leader="none" w:pos="10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other Dispositions;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Disposition is made for Fair Market Value and (ii) except in the case of a Permitted Asset Swap, with respect to any Disposition pursuant to this clause (k) for a purchase price in excess of the greater of (x) $13,000,000 and (y) 10% of Consolidated EBITDA for the most recently ended Test Period as of such time determined on a Pro Forma Basis for any transaction or series of related transactions, the Borrower or a Restricted Subsidiary shall receive not less than (I) 75% of such consideration in the form of cash or Permitted Investments for all transactions permitted pursuant to this clause (k) since the Effective Date or (II) 50% of such consideration for any individual transaction or series of related transactions in the form of cash or Permitted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the purposes of this clause (ii), (A) the greater of the principal amount and carrying value of any liabilities (as reflected on the most recent balance sheet of the Borrower (or a Parent Entity) provided hereunder or in the footnotes thereto), or if incurred, accrued or increased subsequent to the date of such balance sheet, such liabilities that would have been reflected on the balance sheet of the Borrower (or Parent Entity) or in the footnotes thereto if such incurrence, accrual or increase had taken place on or prior to the date of such balance sheet, as determined in good faith by the Borrower, of the Borrower or such Restricted Subsidiary, other than liabilities that are by their terms subordinated in right of payment to the Loan Document Obligations, that are assumed by the transferee of any such assets (or are otherwise extinguished in connection with the transactions relating to such Disposition) pursuant to a written agreement which releases the Borrower or such Restricted Subsidiary from such liabilities, (B) any securities received by the Borrower or such Restricted Subsidiary from such transferee that are converted by the Borrower or such Restricted Subsidiary into cash or Permitted Investments (to the extent of the cash or Permitted Investments received) within 180 days following the closing of the applicable Disposition, shall be deemed to be cash, (C) the amount of Indebtedness, other than liabilities that are by their terms subordinated to the Loan Document Obligations or any intercompany debt owed to the Borrower or any Restricted Subsidiary, that is of any Person, that is no longer a Restricted Subsidiary as a result of such Disposition, to the extent that the Borrower and all Restricted Subsidiaries have been validly released from any guarantee of payment of such Indebtedness in connection with such Disposition, (D) the amount of consideration consisting of Indebtedness of any Loan Party (other than Junior Financing) received after the Effective Date from Persons who are not the Borrower or any Restricted Subsidiary and (E) any Designated Non-Cash Consideration received by the Borrower or such Restricted Subsidiary in respect of such Disposition having an aggregate Fair Market Value, taken together with all other Designated Non-Cash Consideration received pursuant to this clause (k) that is at that time outstanding, not in excess (at the time of receipt of such Designated Non-Cash Consideration) of the greater of (x) $59,000,000 and (y) 45% of Consolidated EBITDA for the most recently ended Test Period as of such time determined on a Pro Forma Basis, with the Fair Market Value of each item of Designated Non-Cash Consideration being measured at the time received and without giving effect to subsequent changes in value, shall be deemed to be cash;</w:t>
      </w:r>
    </w:p>
    <w:p>
      <w:pPr>
        <w:spacing w:after="0" w:line="175" w:lineRule="exact"/>
        <w:rPr>
          <w:rFonts w:ascii="Arial" w:cs="Arial" w:eastAsia="Arial" w:hAnsi="Arial"/>
          <w:sz w:val="16"/>
          <w:szCs w:val="16"/>
          <w:color w:val="auto"/>
        </w:rPr>
      </w:pPr>
    </w:p>
    <w:p>
      <w:pPr>
        <w:ind w:firstLine="656"/>
        <w:spacing w:after="0" w:line="235" w:lineRule="auto"/>
        <w:tabs>
          <w:tab w:leader="none" w:pos="108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Dispositions of Investments in joint ventures, including to the extent required by, or made pursuant to customary buy/sell arrangements between, the joint venture parties set forth in joint venture arrangements and similar binding arrangements;</w:t>
      </w:r>
    </w:p>
    <w:p>
      <w:pPr>
        <w:spacing w:after="0" w:line="175" w:lineRule="exact"/>
        <w:rPr>
          <w:rFonts w:ascii="Arial" w:cs="Arial" w:eastAsia="Arial" w:hAnsi="Arial"/>
          <w:sz w:val="18"/>
          <w:szCs w:val="18"/>
          <w:color w:val="auto"/>
        </w:rPr>
      </w:pPr>
    </w:p>
    <w:p>
      <w:pPr>
        <w:jc w:val="both"/>
        <w:ind w:firstLine="656"/>
        <w:spacing w:after="0" w:line="224" w:lineRule="auto"/>
        <w:tabs>
          <w:tab w:leader="none" w:pos="119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Dispositions of any assets (including Equity Interests) (A) acquired in connection with any Permitted Acquisition or other Investment permitted hereunder, which assets are not used or useful to the core or principal business of the Borrower and the Restricted Subsidiaries or (B) made to obtain the approval of any applicable antitrust authority in connection with a Permitted Acquisition;</w:t>
      </w:r>
    </w:p>
    <w:p>
      <w:pPr>
        <w:spacing w:after="0" w:line="176" w:lineRule="exact"/>
        <w:rPr>
          <w:rFonts w:ascii="Arial" w:cs="Arial" w:eastAsia="Arial" w:hAnsi="Arial"/>
          <w:sz w:val="18"/>
          <w:szCs w:val="18"/>
          <w:color w:val="auto"/>
        </w:rPr>
      </w:pPr>
    </w:p>
    <w:p>
      <w:pPr>
        <w:jc w:val="both"/>
        <w:ind w:firstLine="656"/>
        <w:spacing w:after="0" w:line="259" w:lineRule="auto"/>
        <w:tabs>
          <w:tab w:leader="none" w:pos="1106"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transfers of condemned property as a result of the exercise of “eminent domain” or other similar powers to the respective Governmental Authority or agency that has condemned the same (whether by deed in lieu of condemnation or otherwise), and transfers of property arising from foreclosure or similar action or that have been subject to a casualty to the respective insurer of such real property as part of an insurance settlement;</w:t>
      </w:r>
    </w:p>
    <w:p>
      <w:pPr>
        <w:spacing w:after="0" w:line="160" w:lineRule="exact"/>
        <w:rPr>
          <w:rFonts w:ascii="Arial" w:cs="Arial" w:eastAsia="Arial" w:hAnsi="Arial"/>
          <w:sz w:val="16"/>
          <w:szCs w:val="16"/>
          <w:color w:val="auto"/>
        </w:rPr>
      </w:pPr>
    </w:p>
    <w:p>
      <w:pPr>
        <w:ind w:left="1040" w:hanging="384"/>
        <w:spacing w:after="0"/>
        <w:tabs>
          <w:tab w:leader="none" w:pos="10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Dispositions by a captive insurance subsidiary of Investments;</w:t>
      </w:r>
    </w:p>
    <w:p>
      <w:pPr>
        <w:spacing w:after="0" w:line="184" w:lineRule="exact"/>
        <w:rPr>
          <w:rFonts w:ascii="Arial" w:cs="Arial" w:eastAsia="Arial" w:hAnsi="Arial"/>
          <w:sz w:val="18"/>
          <w:szCs w:val="18"/>
          <w:color w:val="auto"/>
        </w:rPr>
      </w:pPr>
    </w:p>
    <w:p>
      <w:pPr>
        <w:jc w:val="both"/>
        <w:ind w:firstLine="656"/>
        <w:spacing w:after="0" w:line="229" w:lineRule="auto"/>
        <w:tabs>
          <w:tab w:leader="none" w:pos="109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Dispositions of property for Fair Market Value not otherwise permitted under this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having an aggregate purchase price not to exceed the greater of (A) $20,000,000 and (B) 15% of Consolidated EBITDA for the most recently ended Test Period as of such time determined on a Pro Forma Basis;</w:t>
      </w:r>
    </w:p>
    <w:p>
      <w:pPr>
        <w:spacing w:after="0" w:line="163" w:lineRule="exact"/>
        <w:rPr>
          <w:rFonts w:ascii="Arial" w:cs="Arial" w:eastAsia="Arial" w:hAnsi="Arial"/>
          <w:sz w:val="18"/>
          <w:szCs w:val="18"/>
          <w:color w:val="auto"/>
        </w:rPr>
      </w:pPr>
    </w:p>
    <w:p>
      <w:pPr>
        <w:ind w:firstLine="656"/>
        <w:spacing w:after="0" w:line="235" w:lineRule="auto"/>
        <w:tabs>
          <w:tab w:leader="none" w:pos="110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sale or discount (with or without recourse) (including by way of assignment or participation) of other receivables (including, without limitation, trade and lease receivables) and related assets in connection with a Permitted Receivables Financing; and</w:t>
      </w:r>
    </w:p>
    <w:p>
      <w:pPr>
        <w:spacing w:after="0" w:line="175" w:lineRule="exact"/>
        <w:rPr>
          <w:rFonts w:ascii="Arial" w:cs="Arial" w:eastAsia="Arial" w:hAnsi="Arial"/>
          <w:sz w:val="18"/>
          <w:szCs w:val="18"/>
          <w:color w:val="auto"/>
        </w:rPr>
      </w:pPr>
    </w:p>
    <w:p>
      <w:pPr>
        <w:ind w:left="1020" w:hanging="364"/>
        <w:spacing w:after="0"/>
        <w:tabs>
          <w:tab w:leader="none" w:pos="10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unwinding of any Swap Obligations or Cash Management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117</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6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6153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615315" cy="8255"/>
                    </a:xfrm>
                    <a:prstGeom prst="rect">
                      <a:avLst/>
                    </a:prstGeom>
                    <a:noFill/>
                  </pic:spPr>
                </pic:pic>
              </a:graphicData>
            </a:graphic>
          </wp:anchor>
        </w:drawing>
      </w:r>
    </w:p>
    <w:p>
      <w:pPr>
        <w:spacing w:after="0" w:line="165"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SECTION 6.07 Negative Pledge. The Borrower will not, and will not permit any Restricted Subsidiary to, enter into any agreement, instrument, deed or lease that prohibits or limits the ability of any Loan Party to create, incur, assume or suffer to exist any Lien upon any of their respective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1129665</wp:posOffset>
            </wp:positionH>
            <wp:positionV relativeFrom="paragraph">
              <wp:posOffset>-120015</wp:posOffset>
            </wp:positionV>
            <wp:extent cx="8769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876935" cy="8255"/>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8"/>
          <w:szCs w:val="18"/>
          <w:color w:val="auto"/>
        </w:rPr>
        <w:t xml:space="preserve">or revenues, whether now owned or hereafter acquired, for the benefit of the Secured Parties with respect to the Secured Obligations or under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restrictions and conditions imposed by:</w:t>
      </w:r>
    </w:p>
    <w:p>
      <w:pPr>
        <w:spacing w:after="0" w:line="161" w:lineRule="exact"/>
        <w:rPr>
          <w:sz w:val="20"/>
          <w:szCs w:val="20"/>
          <w:color w:val="auto"/>
        </w:rPr>
      </w:pPr>
    </w:p>
    <w:p>
      <w:pPr>
        <w:ind w:left="1700" w:hanging="396"/>
        <w:spacing w:after="0"/>
        <w:tabs>
          <w:tab w:leader="none" w:pos="170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(i) Requirements of Law, (ii) any Loan Document, (iii) [reserved], (iv) any documentation governing Incremental Equivalent Debt,</w:t>
      </w:r>
    </w:p>
    <w:p>
      <w:pPr>
        <w:spacing w:after="0" w:line="21" w:lineRule="exact"/>
        <w:rPr>
          <w:rFonts w:ascii="Arial" w:cs="Arial" w:eastAsia="Arial" w:hAnsi="Arial"/>
          <w:sz w:val="16"/>
          <w:szCs w:val="16"/>
          <w:color w:val="auto"/>
        </w:rPr>
      </w:pPr>
    </w:p>
    <w:p>
      <w:pPr>
        <w:jc w:val="both"/>
        <w:ind w:left="660" w:hanging="4"/>
        <w:spacing w:after="0" w:line="228" w:lineRule="auto"/>
        <w:tabs>
          <w:tab w:leader="none" w:pos="92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any documentation governing Permitted Unsecured Refinancing Debt, Permitted First Priority Refinancing Debt or Permitted Second Priority Refinancing Debt, (vi) any documentation governing Indebtedness incurred pursuant to </w:t>
      </w:r>
      <w:r>
        <w:rPr>
          <w:rFonts w:ascii="Arial" w:cs="Arial" w:eastAsia="Arial" w:hAnsi="Arial"/>
          <w:sz w:val="16"/>
          <w:szCs w:val="16"/>
          <w:u w:val="single" w:color="auto"/>
          <w:color w:val="auto"/>
        </w:rPr>
        <w:t>Sections 6.01(a)(v)</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6.01(a)(xxvii)</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jc w:val="both"/>
        <w:ind w:left="660" w:hanging="4"/>
        <w:spacing w:after="0" w:line="218" w:lineRule="auto"/>
        <w:tabs>
          <w:tab w:leader="none" w:pos="102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any documentation governing any Permitted Refinancing incurred to refinance any such Indebtedness referenced in clauses (i) through (vi) above;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Indebtedness (A) referred to in clauses (iv) and (v) above, such restrictions shall be no more restrictive in any material respect than the restrictions and conditions in the Loan Documents or, in the case of Junior Financing, are market terms at the time of issuance and (B) clause (v) above, such restrictions shall not expand the scope in any material respect of any such restriction or condition contained in the Indebtedness being refinanced;</w:t>
      </w:r>
    </w:p>
    <w:p>
      <w:pPr>
        <w:spacing w:after="0" w:line="164" w:lineRule="exact"/>
        <w:rPr>
          <w:rFonts w:ascii="Arial" w:cs="Arial" w:eastAsia="Arial" w:hAnsi="Arial"/>
          <w:sz w:val="18"/>
          <w:szCs w:val="18"/>
          <w:color w:val="auto"/>
        </w:rPr>
      </w:pPr>
    </w:p>
    <w:p>
      <w:pPr>
        <w:jc w:val="both"/>
        <w:ind w:left="660" w:firstLine="644"/>
        <w:spacing w:after="0" w:line="229" w:lineRule="auto"/>
        <w:tabs>
          <w:tab w:leader="none" w:pos="1808" w:val="left"/>
        </w:tabs>
        <w:numPr>
          <w:ilvl w:val="1"/>
          <w:numId w:val="190"/>
        </w:numPr>
        <w:rPr>
          <w:rFonts w:ascii="Arial" w:cs="Arial" w:eastAsia="Arial" w:hAnsi="Arial"/>
          <w:sz w:val="18"/>
          <w:szCs w:val="18"/>
          <w:color w:val="auto"/>
        </w:rPr>
      </w:pPr>
      <w:r>
        <w:rPr>
          <w:rFonts w:ascii="Arial" w:cs="Arial" w:eastAsia="Arial" w:hAnsi="Arial"/>
          <w:sz w:val="18"/>
          <w:szCs w:val="18"/>
          <w:color w:val="auto"/>
        </w:rPr>
        <w:t>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spacing w:after="0" w:line="163" w:lineRule="exact"/>
        <w:rPr>
          <w:rFonts w:ascii="Arial" w:cs="Arial" w:eastAsia="Arial" w:hAnsi="Arial"/>
          <w:sz w:val="18"/>
          <w:szCs w:val="18"/>
          <w:color w:val="auto"/>
        </w:rPr>
      </w:pPr>
    </w:p>
    <w:p>
      <w:pPr>
        <w:ind w:left="660" w:firstLine="644"/>
        <w:spacing w:after="0" w:line="289" w:lineRule="auto"/>
        <w:tabs>
          <w:tab w:leader="none" w:pos="1691" w:val="left"/>
        </w:tabs>
        <w:numPr>
          <w:ilvl w:val="1"/>
          <w:numId w:val="190"/>
        </w:numPr>
        <w:rPr>
          <w:rFonts w:ascii="Arial" w:cs="Arial" w:eastAsia="Arial" w:hAnsi="Arial"/>
          <w:sz w:val="16"/>
          <w:szCs w:val="16"/>
          <w:color w:val="auto"/>
        </w:rPr>
      </w:pPr>
      <w:r>
        <w:rPr>
          <w:rFonts w:ascii="Arial" w:cs="Arial" w:eastAsia="Arial" w:hAnsi="Arial"/>
          <w:sz w:val="16"/>
          <w:szCs w:val="16"/>
          <w:color w:val="auto"/>
        </w:rPr>
        <w:t xml:space="preserve">restrictions and conditions contained in agreements relating to the sale of a Subsidiary or any assets pending such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and conditions apply only to the Subsidiary or assets that is or are to be sold and such sale is permitted hereunder;</w:t>
      </w:r>
    </w:p>
    <w:p>
      <w:pPr>
        <w:spacing w:after="0" w:line="137" w:lineRule="exact"/>
        <w:rPr>
          <w:rFonts w:ascii="Arial" w:cs="Arial" w:eastAsia="Arial" w:hAnsi="Arial"/>
          <w:sz w:val="16"/>
          <w:szCs w:val="16"/>
          <w:color w:val="auto"/>
        </w:rPr>
      </w:pPr>
    </w:p>
    <w:p>
      <w:pPr>
        <w:ind w:left="660" w:firstLine="644"/>
        <w:spacing w:after="0" w:line="235" w:lineRule="auto"/>
        <w:tabs>
          <w:tab w:leader="none" w:pos="1758" w:val="left"/>
        </w:tabs>
        <w:numPr>
          <w:ilvl w:val="1"/>
          <w:numId w:val="190"/>
        </w:numPr>
        <w:rPr>
          <w:rFonts w:ascii="Arial" w:cs="Arial" w:eastAsia="Arial" w:hAnsi="Arial"/>
          <w:sz w:val="18"/>
          <w:szCs w:val="18"/>
          <w:color w:val="auto"/>
        </w:rPr>
      </w:pPr>
      <w:r>
        <w:rPr>
          <w:rFonts w:ascii="Arial" w:cs="Arial" w:eastAsia="Arial" w:hAnsi="Arial"/>
          <w:sz w:val="18"/>
          <w:szCs w:val="18"/>
          <w:color w:val="auto"/>
        </w:rPr>
        <w:t>customary provisions in leases, service agreements, licenses, sublicenses, covenants not to sue and other contracts restricting the assignment thereof;</w:t>
      </w:r>
    </w:p>
    <w:p>
      <w:pPr>
        <w:spacing w:after="0" w:line="161" w:lineRule="exact"/>
        <w:rPr>
          <w:rFonts w:ascii="Arial" w:cs="Arial" w:eastAsia="Arial" w:hAnsi="Arial"/>
          <w:sz w:val="18"/>
          <w:szCs w:val="18"/>
          <w:color w:val="auto"/>
        </w:rPr>
      </w:pPr>
    </w:p>
    <w:p>
      <w:pPr>
        <w:ind w:left="660" w:firstLine="644"/>
        <w:spacing w:after="0" w:line="246" w:lineRule="auto"/>
        <w:tabs>
          <w:tab w:leader="none" w:pos="173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restrictions imposed by any agreement relating to secured Indebtedness permitted by this Agreement to the extent such restriction applies only to the property securing such Indebtedness;</w:t>
      </w:r>
    </w:p>
    <w:p>
      <w:pPr>
        <w:spacing w:after="0" w:line="156" w:lineRule="exact"/>
        <w:rPr>
          <w:rFonts w:ascii="Arial" w:cs="Arial" w:eastAsia="Arial" w:hAnsi="Arial"/>
          <w:sz w:val="18"/>
          <w:szCs w:val="18"/>
          <w:color w:val="auto"/>
        </w:rPr>
      </w:pPr>
    </w:p>
    <w:p>
      <w:pPr>
        <w:jc w:val="both"/>
        <w:ind w:left="660" w:firstLine="644"/>
        <w:spacing w:after="0" w:line="223" w:lineRule="auto"/>
        <w:tabs>
          <w:tab w:leader="none" w:pos="170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was not entered into in contemplation of such Person becoming a Restricted Subsidiary and the restriction or condition set forth in such agreement does not apply to the Borrower or any Restricted Subsidiary;</w:t>
      </w:r>
    </w:p>
    <w:p>
      <w:pPr>
        <w:spacing w:after="0" w:line="162" w:lineRule="exact"/>
        <w:rPr>
          <w:rFonts w:ascii="Arial" w:cs="Arial" w:eastAsia="Arial" w:hAnsi="Arial"/>
          <w:sz w:val="18"/>
          <w:szCs w:val="18"/>
          <w:color w:val="auto"/>
        </w:rPr>
      </w:pPr>
    </w:p>
    <w:p>
      <w:pPr>
        <w:jc w:val="both"/>
        <w:ind w:left="660" w:firstLine="644"/>
        <w:spacing w:after="0" w:line="223" w:lineRule="auto"/>
        <w:tabs>
          <w:tab w:leader="none" w:pos="184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 xml:space="preserve">restrictions or conditions in any Indebtedness permitted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that is incurred or assumed by Restricted Subsidiaries that are not Loan Parties to the extent such restrictions or conditions are no more restrictive in any material respect than the restrictions and conditions in the Loan Documents or are market terms at the time of issuance and are imposed solely on such Restricted Subsidiary and its Subsidiaries;</w:t>
      </w:r>
    </w:p>
    <w:p>
      <w:pPr>
        <w:spacing w:after="0" w:line="175" w:lineRule="exact"/>
        <w:rPr>
          <w:rFonts w:ascii="Arial" w:cs="Arial" w:eastAsia="Arial" w:hAnsi="Arial"/>
          <w:sz w:val="18"/>
          <w:szCs w:val="18"/>
          <w:color w:val="auto"/>
        </w:rPr>
      </w:pPr>
    </w:p>
    <w:p>
      <w:pPr>
        <w:ind w:left="660" w:firstLine="644"/>
        <w:spacing w:after="0" w:line="235" w:lineRule="auto"/>
        <w:tabs>
          <w:tab w:leader="none" w:pos="178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restrictions on cash (or Permitted Investments) or other deposits imposed by agreements entered into in the ordinary course of business (or other restrictions on cash or deposits constituting Permitted Encumbrances);</w:t>
      </w:r>
    </w:p>
    <w:p>
      <w:pPr>
        <w:spacing w:after="0" w:line="161" w:lineRule="exact"/>
        <w:rPr>
          <w:rFonts w:ascii="Arial" w:cs="Arial" w:eastAsia="Arial" w:hAnsi="Arial"/>
          <w:sz w:val="18"/>
          <w:szCs w:val="18"/>
          <w:color w:val="auto"/>
        </w:rPr>
      </w:pPr>
    </w:p>
    <w:p>
      <w:pPr>
        <w:ind w:left="660" w:firstLine="644"/>
        <w:spacing w:after="0" w:line="246" w:lineRule="auto"/>
        <w:tabs>
          <w:tab w:leader="none" w:pos="1702" w:val="left"/>
        </w:tabs>
        <w:numPr>
          <w:ilvl w:val="1"/>
          <w:numId w:val="190"/>
        </w:numPr>
        <w:rPr>
          <w:rFonts w:ascii="Arial" w:cs="Arial" w:eastAsia="Arial" w:hAnsi="Arial"/>
          <w:sz w:val="18"/>
          <w:szCs w:val="18"/>
          <w:color w:val="auto"/>
        </w:rPr>
      </w:pPr>
      <w:r>
        <w:rPr>
          <w:rFonts w:ascii="Arial" w:cs="Arial" w:eastAsia="Arial" w:hAnsi="Arial"/>
          <w:sz w:val="18"/>
          <w:szCs w:val="18"/>
          <w:color w:val="auto"/>
        </w:rPr>
        <w:t xml:space="preserve">restrictions set forth on </w:t>
      </w:r>
      <w:r>
        <w:rPr>
          <w:rFonts w:ascii="Arial" w:cs="Arial" w:eastAsia="Arial" w:hAnsi="Arial"/>
          <w:sz w:val="18"/>
          <w:szCs w:val="18"/>
          <w:u w:val="single" w:color="auto"/>
          <w:color w:val="auto"/>
        </w:rPr>
        <w:t>Schedule 6.07</w:t>
      </w:r>
      <w:r>
        <w:rPr>
          <w:rFonts w:ascii="Arial" w:cs="Arial" w:eastAsia="Arial" w:hAnsi="Arial"/>
          <w:sz w:val="18"/>
          <w:szCs w:val="18"/>
          <w:color w:val="auto"/>
        </w:rPr>
        <w:t xml:space="preserve"> and any extension, renewal, amendment, modification or replacement thereof, except to the extent any such amendment, modification or replacement expands the scope of any such restriction or condition;</w:t>
      </w:r>
    </w:p>
    <w:p>
      <w:pPr>
        <w:spacing w:after="0" w:line="156" w:lineRule="exact"/>
        <w:rPr>
          <w:rFonts w:ascii="Arial" w:cs="Arial" w:eastAsia="Arial" w:hAnsi="Arial"/>
          <w:sz w:val="18"/>
          <w:szCs w:val="18"/>
          <w:color w:val="auto"/>
        </w:rPr>
      </w:pPr>
    </w:p>
    <w:p>
      <w:pPr>
        <w:ind w:left="660" w:firstLine="644"/>
        <w:spacing w:after="0" w:line="235" w:lineRule="auto"/>
        <w:tabs>
          <w:tab w:leader="none" w:pos="1658" w:val="left"/>
        </w:tabs>
        <w:numPr>
          <w:ilvl w:val="1"/>
          <w:numId w:val="190"/>
        </w:numPr>
        <w:rPr>
          <w:rFonts w:ascii="Arial" w:cs="Arial" w:eastAsia="Arial" w:hAnsi="Arial"/>
          <w:sz w:val="18"/>
          <w:szCs w:val="18"/>
          <w:color w:val="auto"/>
        </w:rPr>
      </w:pPr>
      <w:r>
        <w:rPr>
          <w:rFonts w:ascii="Arial" w:cs="Arial" w:eastAsia="Arial" w:hAnsi="Arial"/>
          <w:sz w:val="18"/>
          <w:szCs w:val="18"/>
          <w:color w:val="auto"/>
        </w:rPr>
        <w:t xml:space="preserve">customary provisions in joint venture agreements and other similar agreements applicable to joint ventures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and applicable solely to such joint venture; and</w:t>
      </w:r>
    </w:p>
    <w:p>
      <w:pPr>
        <w:spacing w:after="0" w:line="175" w:lineRule="exact"/>
        <w:rPr>
          <w:rFonts w:ascii="Arial" w:cs="Arial" w:eastAsia="Arial" w:hAnsi="Arial"/>
          <w:sz w:val="18"/>
          <w:szCs w:val="18"/>
          <w:color w:val="auto"/>
        </w:rPr>
      </w:pPr>
    </w:p>
    <w:p>
      <w:pPr>
        <w:jc w:val="both"/>
        <w:ind w:left="660" w:firstLine="644"/>
        <w:spacing w:after="0" w:line="224" w:lineRule="auto"/>
        <w:tabs>
          <w:tab w:leader="none" w:pos="183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customary net worth provisions contained in real property leases entered into by Subsidiaries, so long as the Borrower has determined in good faith that such net worth provisions could not reasonably be expected to impair the ability of the Borrower and its Subsidiaries to meet their ongoing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118</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63"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5"/>
          <w:szCs w:val="15"/>
          <w:color w:val="auto"/>
        </w:rPr>
        <w:t>Restricted Payments; Certain Payments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-10160</wp:posOffset>
            </wp:positionV>
            <wp:extent cx="266890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165" w:lineRule="exact"/>
        <w:rPr>
          <w:sz w:val="20"/>
          <w:szCs w:val="20"/>
          <w:color w:val="auto"/>
        </w:rPr>
      </w:pPr>
    </w:p>
    <w:p>
      <w:pPr>
        <w:ind w:left="384" w:hanging="384"/>
        <w:spacing w:after="0"/>
        <w:tabs>
          <w:tab w:leader="none" w:pos="38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Borrower will not, and will not permit any Restricted Subsidiary to, pay or make, directly or indirectly, any Restricted Payment, except:</w:t>
      </w:r>
    </w:p>
    <w:p>
      <w:pPr>
        <w:spacing w:after="0" w:line="207" w:lineRule="exact"/>
        <w:rPr>
          <w:rFonts w:ascii="Arial" w:cs="Arial" w:eastAsia="Arial" w:hAnsi="Arial"/>
          <w:sz w:val="16"/>
          <w:szCs w:val="16"/>
          <w:color w:val="auto"/>
        </w:rPr>
      </w:pPr>
    </w:p>
    <w:p>
      <w:pPr>
        <w:jc w:val="both"/>
        <w:ind w:left="4" w:firstLine="903"/>
        <w:spacing w:after="0" w:line="223" w:lineRule="auto"/>
        <w:tabs>
          <w:tab w:leader="none" w:pos="1295" w:val="left"/>
        </w:tabs>
        <w:numPr>
          <w:ilvl w:val="1"/>
          <w:numId w:val="191"/>
        </w:numPr>
        <w:rPr>
          <w:rFonts w:ascii="Arial" w:cs="Arial" w:eastAsia="Arial" w:hAnsi="Arial"/>
          <w:sz w:val="18"/>
          <w:szCs w:val="18"/>
          <w:color w:val="010000"/>
        </w:rPr>
      </w:pPr>
      <w:r>
        <w:rPr>
          <w:rFonts w:ascii="Arial" w:cs="Arial" w:eastAsia="Arial" w:hAnsi="Arial"/>
          <w:sz w:val="18"/>
          <w:szCs w:val="18"/>
          <w:color w:val="auto"/>
        </w:rPr>
        <w:t xml:space="preserve">each Restricted Subsidiary may make Restricted Payments to the Borrower or any 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such Restricted Payment by a Restricted Subsidiary that is not a wholly-owned Subsidiary of the Borrower, such Restricted Payment is made to the Borrower, any Restricted Subsidiary and to each other owner of Equity Interests of such Restricted Subsidiary based on their relative ownership interests of the relevant class of Equity Interests;</w:t>
      </w:r>
    </w:p>
    <w:p>
      <w:pPr>
        <w:spacing w:after="0" w:line="175" w:lineRule="exact"/>
        <w:rPr>
          <w:rFonts w:ascii="Arial" w:cs="Arial" w:eastAsia="Arial" w:hAnsi="Arial"/>
          <w:sz w:val="18"/>
          <w:szCs w:val="18"/>
          <w:color w:val="010000"/>
        </w:rPr>
      </w:pPr>
    </w:p>
    <w:p>
      <w:pPr>
        <w:ind w:left="4" w:firstLine="903"/>
        <w:spacing w:after="0" w:line="235" w:lineRule="auto"/>
        <w:tabs>
          <w:tab w:leader="none" w:pos="1488" w:val="left"/>
        </w:tabs>
        <w:numPr>
          <w:ilvl w:val="1"/>
          <w:numId w:val="191"/>
        </w:numPr>
        <w:rPr>
          <w:rFonts w:ascii="Arial" w:cs="Arial" w:eastAsia="Arial" w:hAnsi="Arial"/>
          <w:sz w:val="18"/>
          <w:szCs w:val="18"/>
          <w:color w:val="010000"/>
        </w:rPr>
      </w:pPr>
      <w:r>
        <w:rPr>
          <w:rFonts w:ascii="Arial" w:cs="Arial" w:eastAsia="Arial" w:hAnsi="Arial"/>
          <w:sz w:val="18"/>
          <w:szCs w:val="18"/>
          <w:color w:val="auto"/>
        </w:rPr>
        <w:t xml:space="preserve">Restricted Payments to satisfy appraisal or other dissenters’ rights, pursuant to or in connection with a consolidation, amalgamation, merger, transfer of assets or acquisition that complies with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61" w:lineRule="exact"/>
        <w:rPr>
          <w:rFonts w:ascii="Arial" w:cs="Arial" w:eastAsia="Arial" w:hAnsi="Arial"/>
          <w:sz w:val="18"/>
          <w:szCs w:val="18"/>
          <w:color w:val="010000"/>
        </w:rPr>
      </w:pPr>
    </w:p>
    <w:p>
      <w:pPr>
        <w:ind w:left="1444" w:hanging="537"/>
        <w:spacing w:after="0"/>
        <w:tabs>
          <w:tab w:leader="none" w:pos="1444" w:val="left"/>
        </w:tabs>
        <w:numPr>
          <w:ilvl w:val="1"/>
          <w:numId w:val="191"/>
        </w:numPr>
        <w:rPr>
          <w:rFonts w:ascii="Arial" w:cs="Arial" w:eastAsia="Arial" w:hAnsi="Arial"/>
          <w:sz w:val="17"/>
          <w:szCs w:val="17"/>
          <w:color w:val="010000"/>
        </w:rPr>
      </w:pPr>
      <w:r>
        <w:rPr>
          <w:rFonts w:ascii="Arial" w:cs="Arial" w:eastAsia="Arial" w:hAnsi="Arial"/>
          <w:sz w:val="17"/>
          <w:szCs w:val="17"/>
          <w:color w:val="auto"/>
        </w:rPr>
        <w:t>the Borrower may declare and make dividend payments or other distributions payable solely in the Equity Interests of the</w:t>
      </w:r>
    </w:p>
    <w:p>
      <w:pPr>
        <w:spacing w:after="0" w:line="9" w:lineRule="exact"/>
        <w:rPr>
          <w:rFonts w:ascii="Arial" w:cs="Arial" w:eastAsia="Arial" w:hAnsi="Arial"/>
          <w:sz w:val="17"/>
          <w:szCs w:val="17"/>
          <w:color w:val="010000"/>
        </w:rPr>
      </w:pPr>
    </w:p>
    <w:p>
      <w:pPr>
        <w:ind w:left="4"/>
        <w:spacing w:after="0"/>
        <w:rPr>
          <w:rFonts w:ascii="Arial" w:cs="Arial" w:eastAsia="Arial" w:hAnsi="Arial"/>
          <w:sz w:val="17"/>
          <w:szCs w:val="17"/>
          <w:color w:val="010000"/>
        </w:rPr>
      </w:pPr>
      <w:r>
        <w:rPr>
          <w:rFonts w:ascii="Arial" w:cs="Arial" w:eastAsia="Arial" w:hAnsi="Arial"/>
          <w:sz w:val="18"/>
          <w:szCs w:val="18"/>
          <w:color w:val="auto"/>
        </w:rPr>
        <w:t>Borrower;</w:t>
      </w:r>
    </w:p>
    <w:p>
      <w:pPr>
        <w:spacing w:after="0" w:line="168" w:lineRule="exact"/>
        <w:rPr>
          <w:rFonts w:ascii="Arial" w:cs="Arial" w:eastAsia="Arial" w:hAnsi="Arial"/>
          <w:sz w:val="17"/>
          <w:szCs w:val="17"/>
          <w:color w:val="010000"/>
        </w:rPr>
      </w:pPr>
    </w:p>
    <w:p>
      <w:pPr>
        <w:ind w:left="1344" w:hanging="437"/>
        <w:spacing w:after="0"/>
        <w:tabs>
          <w:tab w:leader="none" w:pos="1344" w:val="left"/>
        </w:tabs>
        <w:numPr>
          <w:ilvl w:val="1"/>
          <w:numId w:val="191"/>
        </w:numPr>
        <w:rPr>
          <w:rFonts w:ascii="Arial" w:cs="Arial" w:eastAsia="Arial" w:hAnsi="Arial"/>
          <w:sz w:val="18"/>
          <w:szCs w:val="18"/>
          <w:color w:val="010000"/>
        </w:rPr>
      </w:pPr>
      <w:r>
        <w:rPr>
          <w:rFonts w:ascii="Arial" w:cs="Arial" w:eastAsia="Arial" w:hAnsi="Arial"/>
          <w:sz w:val="18"/>
          <w:szCs w:val="18"/>
          <w:color w:val="auto"/>
        </w:rPr>
        <w:t>[reserved];</w:t>
      </w:r>
    </w:p>
    <w:p>
      <w:pPr>
        <w:spacing w:after="0" w:line="184" w:lineRule="exact"/>
        <w:rPr>
          <w:rFonts w:ascii="Arial" w:cs="Arial" w:eastAsia="Arial" w:hAnsi="Arial"/>
          <w:sz w:val="18"/>
          <w:szCs w:val="18"/>
          <w:color w:val="010000"/>
        </w:rPr>
      </w:pPr>
    </w:p>
    <w:p>
      <w:pPr>
        <w:jc w:val="both"/>
        <w:ind w:left="4" w:firstLine="903"/>
        <w:spacing w:after="0" w:line="223" w:lineRule="auto"/>
        <w:tabs>
          <w:tab w:leader="none" w:pos="1422" w:val="left"/>
        </w:tabs>
        <w:numPr>
          <w:ilvl w:val="1"/>
          <w:numId w:val="191"/>
        </w:numPr>
        <w:rPr>
          <w:rFonts w:ascii="Arial" w:cs="Arial" w:eastAsia="Arial" w:hAnsi="Arial"/>
          <w:sz w:val="18"/>
          <w:szCs w:val="18"/>
          <w:color w:val="010000"/>
        </w:rPr>
      </w:pPr>
      <w:r>
        <w:rPr>
          <w:rFonts w:ascii="Arial" w:cs="Arial" w:eastAsia="Arial" w:hAnsi="Arial"/>
          <w:sz w:val="18"/>
          <w:szCs w:val="18"/>
          <w:color w:val="auto"/>
        </w:rPr>
        <w:t>repurchases of Equity Interests in the Borrower (or Restricted Payments by the Borrower to allow repurchases of Equity Interests in Holdings or any direct or indirect parent of Holdings), or any Restricted Subsidiary deemed to occur upon exercise of equity options or warrants or other incentive interests if such Equity Interests represent a portion of the exercise price of such equity options or warrants or other incentive interests;</w:t>
      </w:r>
    </w:p>
    <w:p>
      <w:pPr>
        <w:spacing w:after="0" w:line="175" w:lineRule="exact"/>
        <w:rPr>
          <w:rFonts w:ascii="Arial" w:cs="Arial" w:eastAsia="Arial" w:hAnsi="Arial"/>
          <w:sz w:val="18"/>
          <w:szCs w:val="18"/>
          <w:color w:val="010000"/>
        </w:rPr>
      </w:pPr>
    </w:p>
    <w:p>
      <w:pPr>
        <w:jc w:val="both"/>
        <w:ind w:left="4" w:firstLine="903"/>
        <w:spacing w:after="0"/>
        <w:tabs>
          <w:tab w:leader="none" w:pos="1391" w:val="left"/>
        </w:tabs>
        <w:numPr>
          <w:ilvl w:val="1"/>
          <w:numId w:val="191"/>
        </w:numPr>
        <w:rPr>
          <w:rFonts w:ascii="Arial" w:cs="Arial" w:eastAsia="Arial" w:hAnsi="Arial"/>
          <w:sz w:val="16"/>
          <w:szCs w:val="16"/>
          <w:color w:val="010000"/>
        </w:rPr>
      </w:pPr>
      <w:r>
        <w:rPr>
          <w:rFonts w:ascii="Arial" w:cs="Arial" w:eastAsia="Arial" w:hAnsi="Arial"/>
          <w:sz w:val="16"/>
          <w:szCs w:val="16"/>
          <w:color w:val="auto"/>
        </w:rPr>
        <w:t xml:space="preserve">Restricted Payments to Holdings which Holdings may use to redeem, acquire, retire or repurchase its Equity Interests (or any options, warrants, restricted stock units or stock appreciation rights or other equity-linked interests issued with respect to any of such Equity Interests) (or to make Restricted Payments to allow any of Holdings’ direct or indirect parent companies to so redeem, retire, acquire or repurchase their Equity Interests or other such interests) held by current or former officers, managers, consultants, directors and employees and other service providers (or their respective Affiliates, spouses, former spouses, other Permitted Transferees, successors, executors, administrators, heirs, legatees or distributees) of Holdings (or any direct or indirect parent thereof), the Borrower and the Restricted Subsidiaries, upon the death, disability, retirement or termination of employment or engagement of any such Person or otherwise in accordance with any equity option or equity appreciation rights plan, any management, director and/or employee equity ownership or incentive plan, equity subscription plan, profits interest, employment termination agreement or any other employment or service agreements with any director, officer or consultant or partnership or equity holders’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with respect to non-discretionary repurchases, the aggregate amount of Restricted Payments permitted by this clause (vi) after the Effective Date, together with the aggregate amount of loans and advances to Holdings (or any direct or indirect parent thereof) made pursuant to </w:t>
      </w:r>
      <w:r>
        <w:rPr>
          <w:rFonts w:ascii="Arial" w:cs="Arial" w:eastAsia="Arial" w:hAnsi="Arial"/>
          <w:sz w:val="16"/>
          <w:szCs w:val="16"/>
          <w:u w:val="single" w:color="auto"/>
          <w:color w:val="auto"/>
        </w:rPr>
        <w:t>Section 6.04(m)</w:t>
      </w:r>
      <w:r>
        <w:rPr>
          <w:rFonts w:ascii="Arial" w:cs="Arial" w:eastAsia="Arial" w:hAnsi="Arial"/>
          <w:sz w:val="16"/>
          <w:szCs w:val="16"/>
          <w:color w:val="auto"/>
        </w:rPr>
        <w:t xml:space="preserve"> in lieu thereof, shall not, in any fiscal year of the Borrower, exceed the sum of (a) the greater of $65,000,000 and 50.0% of Consolidated EBITDA for the most recently ended Test Period as of such time determined on a Pro Forma Basis (net of any proceeds from the reissuance or resale of such Equity Interests to another Person received by Holdings, the Borrower or any Restricted Subsidiary), (b) the amount equal to the cash proceeds of key man life insurance policies received by Holdings, the Borrower or the Restricted Subsidiaries after the Effective Date, and (c) the cash proceeds from the sale of Equity Interests (other than Disqualified Equity Interests) of Holdings (to the extent contributed to Holdings in the form of common Equity Interests or Qualified Equity Interests) and, to the extent contributed to Holdings, the cash proceeds from the sale of Equity Interests of any direct or indirect Parent Entity or management investment vehicle, in each case to any future, present or former employees, directors, managers or consultants of Holdings, any of its Subsidiaries or any direct or indirect Parent Entity or management investment vehicle that occurs after the Effective Date, to the extent the cash proceeds from the sale of such Equity Interests are contributed to Holdings in the form of common Equity Interests or Qualified Equity Interests and are not Cure Amounts and have not otherwise been applied to the payment of Restricted Payments by virtue of the Available Equity Amount or are otherwise applied to increase any other basket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unused portion of the preceding basket calculated pursuant to clauses (a) and (b) above for any fiscal year may be carried forward to succeeding fiscal years;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Indebtedness Incurred or Investments or payments made in reliance upon the Available RP Capacity Amount utilizing the unused amounts available pursuant to this </w:t>
      </w:r>
      <w:r>
        <w:rPr>
          <w:rFonts w:ascii="Arial" w:cs="Arial" w:eastAsia="Arial" w:hAnsi="Arial"/>
          <w:sz w:val="16"/>
          <w:szCs w:val="16"/>
          <w:u w:val="single" w:color="auto"/>
          <w:color w:val="auto"/>
        </w:rPr>
        <w:t>Section 6.08(a)(vi)</w:t>
      </w:r>
      <w:r>
        <w:rPr>
          <w:rFonts w:ascii="Arial" w:cs="Arial" w:eastAsia="Arial" w:hAnsi="Arial"/>
          <w:sz w:val="16"/>
          <w:szCs w:val="16"/>
          <w:color w:val="auto"/>
        </w:rPr>
        <w:t xml:space="preserve"> shall reduce the amounts available pursuant to this </w:t>
      </w:r>
      <w:r>
        <w:rPr>
          <w:rFonts w:ascii="Arial" w:cs="Arial" w:eastAsia="Arial" w:hAnsi="Arial"/>
          <w:sz w:val="16"/>
          <w:szCs w:val="16"/>
          <w:u w:val="single" w:color="auto"/>
          <w:color w:val="auto"/>
        </w:rPr>
        <w:t>Section 6.08(a)(vi)</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04"/>
        <w:spacing w:after="0"/>
        <w:rPr>
          <w:sz w:val="20"/>
          <w:szCs w:val="20"/>
          <w:color w:val="auto"/>
        </w:rPr>
      </w:pPr>
      <w:r>
        <w:rPr>
          <w:rFonts w:ascii="Arial" w:cs="Arial" w:eastAsia="Arial" w:hAnsi="Arial"/>
          <w:sz w:val="22"/>
          <w:szCs w:val="22"/>
          <w:u w:val="single" w:color="auto"/>
          <w:color w:val="0000FF"/>
          <w:highlight w:val="lightGray"/>
        </w:rPr>
        <w:t>119</w:t>
      </w:r>
    </w:p>
    <w:p>
      <w:pPr>
        <w:sectPr>
          <w:pgSz w:w="11900" w:h="16838" w:orient="portrait"/>
          <w:cols w:equalWidth="0" w:num="1">
            <w:col w:w="10584"/>
          </w:cols>
          <w:pgMar w:left="976" w:top="1440" w:right="339" w:bottom="1440" w:gutter="0" w:footer="0" w:header="0"/>
        </w:sectPr>
      </w:pPr>
    </w:p>
    <w:bookmarkStart w:id="177" w:name="page178"/>
    <w:bookmarkEnd w:id="177"/>
    <w:p>
      <w:pPr>
        <w:spacing w:after="0" w:line="63" w:lineRule="exact"/>
        <w:rPr>
          <w:sz w:val="20"/>
          <w:szCs w:val="20"/>
          <w:color w:val="auto"/>
        </w:rPr>
      </w:pPr>
    </w:p>
    <w:p>
      <w:pPr>
        <w:ind w:left="940" w:hanging="497"/>
        <w:spacing w:after="0"/>
        <w:tabs>
          <w:tab w:leader="none" w:pos="940" w:val="left"/>
        </w:tabs>
        <w:numPr>
          <w:ilvl w:val="0"/>
          <w:numId w:val="192"/>
        </w:numPr>
        <w:rPr>
          <w:rFonts w:ascii="Arial" w:cs="Arial" w:eastAsia="Arial" w:hAnsi="Arial"/>
          <w:sz w:val="18"/>
          <w:szCs w:val="18"/>
          <w:color w:val="010000"/>
        </w:rPr>
      </w:pPr>
      <w:r>
        <w:rPr>
          <w:rFonts w:ascii="Arial" w:cs="Arial" w:eastAsia="Arial" w:hAnsi="Arial"/>
          <w:sz w:val="18"/>
          <w:szCs w:val="18"/>
          <w:color w:val="auto"/>
        </w:rPr>
        <w:t>the Borrower and the Restricted Subsidiaries may make Restricted Payments to Holdings and any Parent Entity:</w:t>
      </w:r>
    </w:p>
    <w:p>
      <w:pPr>
        <w:spacing w:after="0" w:line="184" w:lineRule="exact"/>
        <w:rPr>
          <w:rFonts w:ascii="Arial" w:cs="Arial" w:eastAsia="Arial" w:hAnsi="Arial"/>
          <w:sz w:val="18"/>
          <w:szCs w:val="18"/>
          <w:color w:val="010000"/>
        </w:rPr>
      </w:pPr>
    </w:p>
    <w:p>
      <w:pPr>
        <w:jc w:val="both"/>
        <w:ind w:left="180" w:firstLine="652"/>
        <w:spacing w:after="0" w:line="215" w:lineRule="auto"/>
        <w:tabs>
          <w:tab w:leader="none" w:pos="130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the proceeds of which shall be used by Holdings to pay (or to make Restricted Payments to allow any direct or indirect parent of Holdings to pay) (1) its operating expenses incurred in the ordinary course of business and other corporate overhead costs and expenses (including administrative, legal, accounting, tax reporting and similar expenses payable to third parties) that are reasonable and customary and incurred in the ordinary course of business, (2) any reasonable and customary indemnification claims made by directors or officers of Holdings (or any parent thereof) attributable to the ownership or operations of Holdings, the Borrower and the Restricted Subsidiaries, (3) fees and expenses (x) due and payable by any of Holdings, the Borrower and the Restricted Subsidiaries and (y) otherwise not prohibited to be paid by Holdings, the Borrower and the Restricted Subsidiaries under this Agreement and (4) payments that would otherwise be permitted to be paid directly by Holdings, the Borrower or the Restricted Subsidiaries pursuant to </w:t>
      </w:r>
      <w:r>
        <w:rPr>
          <w:rFonts w:ascii="Arial" w:cs="Arial" w:eastAsia="Arial" w:hAnsi="Arial"/>
          <w:sz w:val="18"/>
          <w:szCs w:val="18"/>
          <w:u w:val="single" w:color="auto"/>
          <w:color w:val="auto"/>
        </w:rPr>
        <w:t>Section 6.09(iii)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ind w:left="180" w:firstLine="652"/>
        <w:spacing w:after="0" w:line="289" w:lineRule="auto"/>
        <w:tabs>
          <w:tab w:leader="none" w:pos="1299"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proceeds of which shall be used by Holdings to pay (or to make Restricted Payments to allow any direct or indirect parent of Holdings to pay) franchise and similar Taxes, and other fees and expenses, required to maintain its organizational existence;</w:t>
      </w:r>
    </w:p>
    <w:p>
      <w:pPr>
        <w:spacing w:after="0" w:line="137" w:lineRule="exact"/>
        <w:rPr>
          <w:rFonts w:ascii="Arial" w:cs="Arial" w:eastAsia="Arial" w:hAnsi="Arial"/>
          <w:sz w:val="16"/>
          <w:szCs w:val="16"/>
          <w:color w:val="auto"/>
        </w:rPr>
      </w:pPr>
    </w:p>
    <w:p>
      <w:pPr>
        <w:ind w:left="180" w:firstLine="652"/>
        <w:spacing w:after="0" w:line="235" w:lineRule="auto"/>
        <w:tabs>
          <w:tab w:leader="none" w:pos="136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the proceeds of which shall be used by Holdings (or any other direct or indirect parent thereof) to make Restricted Payments of the type permitted by </w:t>
      </w:r>
      <w:r>
        <w:rPr>
          <w:rFonts w:ascii="Arial" w:cs="Arial" w:eastAsia="Arial" w:hAnsi="Arial"/>
          <w:sz w:val="18"/>
          <w:szCs w:val="18"/>
          <w:u w:val="single" w:color="auto"/>
          <w:color w:val="auto"/>
        </w:rPr>
        <w:t>Section 6.08(a)(iv)</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6.08(a)(vi)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6.08(a)(xi)</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180" w:firstLine="652"/>
        <w:spacing w:after="0" w:line="217" w:lineRule="auto"/>
        <w:tabs>
          <w:tab w:leader="none" w:pos="132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to finance any Investment permitted to be made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6.04(m)</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such Restricted Payment shall be made substantially concurrently with the closing of such Investment and (2) Holdings or any Parent Entity shall, immediately following the closing thereof, cause (x) all property acquired (whether assets or Equity Interests but not including any loans or advances made pursuant to </w:t>
      </w:r>
      <w:r>
        <w:rPr>
          <w:rFonts w:ascii="Arial" w:cs="Arial" w:eastAsia="Arial" w:hAnsi="Arial"/>
          <w:sz w:val="18"/>
          <w:szCs w:val="18"/>
          <w:u w:val="single" w:color="auto"/>
          <w:color w:val="auto"/>
        </w:rPr>
        <w:t>Section 6.04(b)</w:t>
      </w:r>
      <w:r>
        <w:rPr>
          <w:rFonts w:ascii="Arial" w:cs="Arial" w:eastAsia="Arial" w:hAnsi="Arial"/>
          <w:sz w:val="18"/>
          <w:szCs w:val="18"/>
          <w:color w:val="auto"/>
        </w:rPr>
        <w:t xml:space="preserve">) to be contributed to the Borrower or the Restricted Subsidiaries or (y) the Person formed or acquired to merge into or consolidate with the Borrower or any of the Restricted Subsidiaries to the extent such merger, amalgamation or consolidation is permitted in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in order to consummate such Investment, in each case in accordance with the requirements of </w:t>
      </w:r>
      <w:r>
        <w:rPr>
          <w:rFonts w:ascii="Arial" w:cs="Arial" w:eastAsia="Arial" w:hAnsi="Arial"/>
          <w:sz w:val="18"/>
          <w:szCs w:val="18"/>
          <w:u w:val="single" w:color="auto"/>
          <w:color w:val="auto"/>
        </w:rPr>
        <w:t>Sections 5.11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jc w:val="both"/>
        <w:ind w:left="180" w:firstLine="652"/>
        <w:spacing w:after="0" w:line="259" w:lineRule="auto"/>
        <w:tabs>
          <w:tab w:leader="none" w:pos="1268"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proceeds of which shall be used to pay customary salary, bonus and other benefits payable to officers, employees and other service providers of Holdings or any direct or indirect parent company of Holdings to the extent such salaries, bonuses and other benefits are attributable to the ownership or operation of Holdings, the Borrower and the Restricted Subsidiaries; and</w:t>
      </w:r>
    </w:p>
    <w:p>
      <w:pPr>
        <w:spacing w:after="0" w:line="160" w:lineRule="exact"/>
        <w:rPr>
          <w:rFonts w:ascii="Arial" w:cs="Arial" w:eastAsia="Arial" w:hAnsi="Arial"/>
          <w:sz w:val="16"/>
          <w:szCs w:val="16"/>
          <w:color w:val="auto"/>
        </w:rPr>
      </w:pPr>
    </w:p>
    <w:p>
      <w:pPr>
        <w:jc w:val="both"/>
        <w:ind w:left="180" w:firstLine="652"/>
        <w:spacing w:after="0" w:line="224" w:lineRule="auto"/>
        <w:tabs>
          <w:tab w:leader="none" w:pos="128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proceeds of which shall be used by Holdings to pay (or to make Restricted Payments to allow any direct or indirect parent thereof to pay) fees and expenses related to any equity offering, debt offering or other non-ordinary course transaction not prohibited by this Agreement (whether or not such offering or other transaction is successful);</w:t>
      </w:r>
    </w:p>
    <w:p>
      <w:pPr>
        <w:spacing w:after="0" w:line="176" w:lineRule="exact"/>
        <w:rPr>
          <w:rFonts w:ascii="Arial" w:cs="Arial" w:eastAsia="Arial" w:hAnsi="Arial"/>
          <w:sz w:val="18"/>
          <w:szCs w:val="18"/>
          <w:color w:val="auto"/>
        </w:rPr>
      </w:pPr>
    </w:p>
    <w:p>
      <w:pPr>
        <w:jc w:val="both"/>
        <w:ind w:left="-460" w:firstLine="903"/>
        <w:spacing w:after="0" w:line="241" w:lineRule="auto"/>
        <w:tabs>
          <w:tab w:leader="none" w:pos="1004" w:val="left"/>
        </w:tabs>
        <w:numPr>
          <w:ilvl w:val="0"/>
          <w:numId w:val="192"/>
        </w:numPr>
        <w:rPr>
          <w:rFonts w:ascii="Arial" w:cs="Arial" w:eastAsia="Arial" w:hAnsi="Arial"/>
          <w:sz w:val="16"/>
          <w:szCs w:val="16"/>
          <w:color w:val="010000"/>
        </w:rPr>
      </w:pPr>
      <w:r>
        <w:rPr>
          <w:rFonts w:ascii="Arial" w:cs="Arial" w:eastAsia="Arial" w:hAnsi="Arial"/>
          <w:sz w:val="16"/>
          <w:szCs w:val="16"/>
          <w:color w:val="auto"/>
        </w:rPr>
        <w:t xml:space="preserve">Restricted Payments (including Restricted Payments to Holdings, the proceeds of which may be utilized by Holdings to make additional Restricted Payments or by Holdings to make any payments in respect of any Indebtedness of Holdings) (A) in an aggregate amount not to exceed, at the time of making any such Restricted Payment and when taken together with the aggregate amount of loans and advances to Holdings (or any direct or indirect parent thereof) made pursuant to </w:t>
      </w:r>
      <w:r>
        <w:rPr>
          <w:rFonts w:ascii="Arial" w:cs="Arial" w:eastAsia="Arial" w:hAnsi="Arial"/>
          <w:sz w:val="16"/>
          <w:szCs w:val="16"/>
          <w:u w:val="single" w:color="auto"/>
          <w:color w:val="auto"/>
        </w:rPr>
        <w:t>Section 6.04(m)</w:t>
      </w:r>
      <w:r>
        <w:rPr>
          <w:rFonts w:ascii="Arial" w:cs="Arial" w:eastAsia="Arial" w:hAnsi="Arial"/>
          <w:sz w:val="16"/>
          <w:szCs w:val="16"/>
          <w:color w:val="auto"/>
        </w:rPr>
        <w:t xml:space="preserve"> in lieu of Restricted Payments permitted by this clause (viii), not to exceed the sum of (A) the greater of $39,000,000 and 30% of Consolidated EBITDA for the most recently ended Test Period as of such time determined on a Pro Forma Basis plus (B) the Available Amount that is Not Otherwise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Restricted Payment made in reliance on clause (b) of the definition of “Available Amount” pursuant to this clause (B), no Event of Default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shall be continuing or would result therefrom) plus (C) the Available Equity Amount that is Not Otherwise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Indebtedness Incurred or Investments or payments made in reliance upon the Available RP Capacity Amount utilizing the unused amounts available pursuant to this </w:t>
      </w:r>
      <w:r>
        <w:rPr>
          <w:rFonts w:ascii="Arial" w:cs="Arial" w:eastAsia="Arial" w:hAnsi="Arial"/>
          <w:sz w:val="16"/>
          <w:szCs w:val="16"/>
          <w:u w:val="single" w:color="auto"/>
          <w:color w:val="auto"/>
        </w:rPr>
        <w:t>Section 6.08(a)(viii)</w:t>
      </w:r>
      <w:r>
        <w:rPr>
          <w:rFonts w:ascii="Arial" w:cs="Arial" w:eastAsia="Arial" w:hAnsi="Arial"/>
          <w:sz w:val="16"/>
          <w:szCs w:val="16"/>
          <w:color w:val="auto"/>
        </w:rPr>
        <w:t xml:space="preserve"> shall reduce the amounts available pursuant to this </w:t>
      </w:r>
      <w:r>
        <w:rPr>
          <w:rFonts w:ascii="Arial" w:cs="Arial" w:eastAsia="Arial" w:hAnsi="Arial"/>
          <w:sz w:val="16"/>
          <w:szCs w:val="16"/>
          <w:u w:val="single" w:color="auto"/>
          <w:color w:val="auto"/>
        </w:rPr>
        <w:t>Section 6.08(a)(viii)</w:t>
      </w:r>
      <w:r>
        <w:rPr>
          <w:rFonts w:ascii="Arial" w:cs="Arial" w:eastAsia="Arial" w:hAnsi="Arial"/>
          <w:sz w:val="16"/>
          <w:szCs w:val="16"/>
          <w:color w:val="auto"/>
        </w:rPr>
        <w:t>;</w:t>
      </w:r>
    </w:p>
    <w:p>
      <w:pPr>
        <w:spacing w:after="0" w:line="163" w:lineRule="exact"/>
        <w:rPr>
          <w:rFonts w:ascii="Arial" w:cs="Arial" w:eastAsia="Arial" w:hAnsi="Arial"/>
          <w:sz w:val="16"/>
          <w:szCs w:val="16"/>
          <w:color w:val="010000"/>
        </w:rPr>
      </w:pPr>
    </w:p>
    <w:p>
      <w:pPr>
        <w:ind w:left="-460" w:firstLine="903"/>
        <w:spacing w:after="0" w:line="235" w:lineRule="auto"/>
        <w:tabs>
          <w:tab w:leader="none" w:pos="952" w:val="left"/>
        </w:tabs>
        <w:numPr>
          <w:ilvl w:val="0"/>
          <w:numId w:val="192"/>
        </w:numPr>
        <w:rPr>
          <w:rFonts w:ascii="Arial" w:cs="Arial" w:eastAsia="Arial" w:hAnsi="Arial"/>
          <w:sz w:val="18"/>
          <w:szCs w:val="18"/>
          <w:color w:val="010000"/>
        </w:rPr>
      </w:pPr>
      <w:r>
        <w:rPr>
          <w:rFonts w:ascii="Arial" w:cs="Arial" w:eastAsia="Arial" w:hAnsi="Arial"/>
          <w:sz w:val="18"/>
          <w:szCs w:val="18"/>
          <w:color w:val="auto"/>
        </w:rPr>
        <w:t>redemptions in whole or in part of any of its Equity Interests for another class of its Equity Interests or with proceeds from substantially concurrent equity contributions or issuances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40"/>
        <w:spacing w:after="0"/>
        <w:rPr>
          <w:sz w:val="20"/>
          <w:szCs w:val="20"/>
          <w:color w:val="auto"/>
        </w:rPr>
      </w:pPr>
      <w:r>
        <w:rPr>
          <w:rFonts w:ascii="Arial" w:cs="Arial" w:eastAsia="Arial" w:hAnsi="Arial"/>
          <w:sz w:val="22"/>
          <w:szCs w:val="22"/>
          <w:u w:val="single" w:color="auto"/>
          <w:color w:val="0000FF"/>
          <w:highlight w:val="lightGray"/>
        </w:rPr>
        <w:t>120</w:t>
      </w:r>
    </w:p>
    <w:p>
      <w:pPr>
        <w:sectPr>
          <w:pgSz w:w="11900" w:h="16838" w:orient="portrait"/>
          <w:cols w:equalWidth="0" w:num="1">
            <w:col w:w="10120"/>
          </w:cols>
          <w:pgMar w:left="1440" w:top="1440" w:right="339" w:bottom="1440" w:gutter="0" w:footer="0" w:header="0"/>
        </w:sectPr>
      </w:pPr>
    </w:p>
    <w:bookmarkStart w:id="178" w:name="page179"/>
    <w:bookmarkEnd w:id="178"/>
    <w:p>
      <w:pPr>
        <w:spacing w:after="0" w:line="6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Equity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new Equity Interests contain terms and provisions at least as advantageous to the Lenders in all respects material to their interests as those contained in the Equity Interests redeemed thereby;</w:t>
      </w:r>
    </w:p>
    <w:p>
      <w:pPr>
        <w:spacing w:after="0" w:line="162" w:lineRule="exact"/>
        <w:rPr>
          <w:sz w:val="20"/>
          <w:szCs w:val="20"/>
          <w:color w:val="auto"/>
        </w:rPr>
      </w:pPr>
    </w:p>
    <w:p>
      <w:pPr>
        <w:jc w:val="both"/>
        <w:ind w:firstLine="903"/>
        <w:spacing w:after="0" w:line="235" w:lineRule="auto"/>
        <w:tabs>
          <w:tab w:leader="none" w:pos="1330" w:val="left"/>
        </w:tabs>
        <w:numPr>
          <w:ilvl w:val="0"/>
          <w:numId w:val="193"/>
        </w:numPr>
        <w:rPr>
          <w:rFonts w:ascii="Arial" w:cs="Arial" w:eastAsia="Arial" w:hAnsi="Arial"/>
          <w:sz w:val="17"/>
          <w:szCs w:val="17"/>
          <w:color w:val="010000"/>
        </w:rPr>
      </w:pPr>
      <w:r>
        <w:rPr>
          <w:rFonts w:ascii="Arial" w:cs="Arial" w:eastAsia="Arial" w:hAnsi="Arial"/>
          <w:sz w:val="17"/>
          <w:szCs w:val="17"/>
          <w:color w:val="auto"/>
        </w:rPr>
        <w:t>(a) payments made or expected to be made in respect of withholding or similar Taxes payable by any future, present or former employee, director, manager, consultant or other service provider and any repurchases of Equity Interests in consideration of such payments including deemed repurchases, in each case, in connection with the exercise of equity options and the vesting of restricted equity and restricted equity units and (b) payments or other adjustments to outstanding Equity Interests in accordance with any management equity plan, equity option plan or any other similar employee benefit plan, agreement or arrangement in connection with any Restricted Payment;</w:t>
      </w:r>
    </w:p>
    <w:p>
      <w:pPr>
        <w:spacing w:after="0" w:line="163" w:lineRule="exact"/>
        <w:rPr>
          <w:rFonts w:ascii="Arial" w:cs="Arial" w:eastAsia="Arial" w:hAnsi="Arial"/>
          <w:sz w:val="17"/>
          <w:szCs w:val="17"/>
          <w:color w:val="010000"/>
        </w:rPr>
      </w:pPr>
    </w:p>
    <w:p>
      <w:pPr>
        <w:jc w:val="both"/>
        <w:ind w:firstLine="903"/>
        <w:spacing w:after="0" w:line="223" w:lineRule="auto"/>
        <w:tabs>
          <w:tab w:leader="none" w:pos="1456" w:val="left"/>
        </w:tabs>
        <w:numPr>
          <w:ilvl w:val="0"/>
          <w:numId w:val="193"/>
        </w:numPr>
        <w:rPr>
          <w:rFonts w:ascii="Arial" w:cs="Arial" w:eastAsia="Arial" w:hAnsi="Arial"/>
          <w:sz w:val="18"/>
          <w:szCs w:val="18"/>
          <w:color w:val="010000"/>
        </w:rPr>
      </w:pPr>
      <w:r>
        <w:rPr>
          <w:rFonts w:ascii="Arial" w:cs="Arial" w:eastAsia="Arial" w:hAnsi="Arial"/>
          <w:sz w:val="18"/>
          <w:szCs w:val="18"/>
          <w:color w:val="auto"/>
        </w:rPr>
        <w:t>the Borrower or any Restricted Subsidiary may (a) pay cash in lieu of fractional Equity Interests in connection with any dividend, split or combination thereof or any Permitted Acquisition (or other similar Investment) and (b) honor any conversion request by a holder of convertible Indebtedness and make cash payments in lieu of fractional shares in connection with any such conversion and may make payments on convertible Indebtedness in accordance with its terms;</w:t>
      </w:r>
    </w:p>
    <w:p>
      <w:pPr>
        <w:spacing w:after="0" w:line="162" w:lineRule="exact"/>
        <w:rPr>
          <w:rFonts w:ascii="Arial" w:cs="Arial" w:eastAsia="Arial" w:hAnsi="Arial"/>
          <w:sz w:val="18"/>
          <w:szCs w:val="18"/>
          <w:color w:val="010000"/>
        </w:rPr>
      </w:pPr>
    </w:p>
    <w:p>
      <w:pPr>
        <w:jc w:val="both"/>
        <w:ind w:firstLine="903"/>
        <w:spacing w:after="0" w:line="222" w:lineRule="auto"/>
        <w:tabs>
          <w:tab w:leader="none" w:pos="1463" w:val="left"/>
        </w:tabs>
        <w:numPr>
          <w:ilvl w:val="0"/>
          <w:numId w:val="193"/>
        </w:numPr>
        <w:rPr>
          <w:rFonts w:ascii="Arial" w:cs="Arial" w:eastAsia="Arial" w:hAnsi="Arial"/>
          <w:sz w:val="18"/>
          <w:szCs w:val="18"/>
          <w:color w:val="010000"/>
        </w:rPr>
      </w:pPr>
      <w:r>
        <w:rPr>
          <w:rFonts w:ascii="Arial" w:cs="Arial" w:eastAsia="Arial" w:hAnsi="Arial"/>
          <w:sz w:val="18"/>
          <w:szCs w:val="18"/>
          <w:color w:val="auto"/>
        </w:rPr>
        <w:t xml:space="preserve">Restricted Payments in an annual amount not to exceed the sum of (a) $50,000,000 plus (b) 7.0% of the net cash proceeds received by or contributed to the Borrower from the IPO and any follow on offerings plus (c) 7.0% of the market capitalization of Parent on the date of the declaration of a Restricted Payment in reliance on this clause (xii);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Indebtedness Incurred or Investments or payments made in reliance upon the Available RP Capacity Amount utilizing the unused amounts available pursuant to this </w:t>
      </w:r>
      <w:r>
        <w:rPr>
          <w:rFonts w:ascii="Arial" w:cs="Arial" w:eastAsia="Arial" w:hAnsi="Arial"/>
          <w:sz w:val="18"/>
          <w:szCs w:val="18"/>
          <w:u w:val="single" w:color="auto"/>
          <w:color w:val="auto"/>
        </w:rPr>
        <w:t>Section 6.08(a)(xii)</w:t>
      </w:r>
      <w:r>
        <w:rPr>
          <w:rFonts w:ascii="Arial" w:cs="Arial" w:eastAsia="Arial" w:hAnsi="Arial"/>
          <w:sz w:val="18"/>
          <w:szCs w:val="18"/>
          <w:color w:val="auto"/>
        </w:rPr>
        <w:t xml:space="preserve"> shall reduce the amounts available pursuant to this </w:t>
      </w:r>
      <w:r>
        <w:rPr>
          <w:rFonts w:ascii="Arial" w:cs="Arial" w:eastAsia="Arial" w:hAnsi="Arial"/>
          <w:sz w:val="18"/>
          <w:szCs w:val="18"/>
          <w:u w:val="single" w:color="auto"/>
          <w:color w:val="auto"/>
        </w:rPr>
        <w:t>Section 6.08(a)(xii)</w:t>
      </w:r>
      <w:r>
        <w:rPr>
          <w:rFonts w:ascii="Arial" w:cs="Arial" w:eastAsia="Arial" w:hAnsi="Arial"/>
          <w:sz w:val="18"/>
          <w:szCs w:val="18"/>
          <w:color w:val="auto"/>
        </w:rPr>
        <w:t>;</w:t>
      </w:r>
    </w:p>
    <w:p>
      <w:pPr>
        <w:spacing w:after="0" w:line="163" w:lineRule="exact"/>
        <w:rPr>
          <w:rFonts w:ascii="Arial" w:cs="Arial" w:eastAsia="Arial" w:hAnsi="Arial"/>
          <w:sz w:val="18"/>
          <w:szCs w:val="18"/>
          <w:color w:val="010000"/>
        </w:rPr>
      </w:pPr>
    </w:p>
    <w:p>
      <w:pPr>
        <w:jc w:val="both"/>
        <w:ind w:firstLine="903"/>
        <w:spacing w:after="0" w:line="219" w:lineRule="auto"/>
        <w:tabs>
          <w:tab w:leader="none" w:pos="1480" w:val="left"/>
        </w:tabs>
        <w:numPr>
          <w:ilvl w:val="0"/>
          <w:numId w:val="193"/>
        </w:numPr>
        <w:rPr>
          <w:rFonts w:ascii="Arial" w:cs="Arial" w:eastAsia="Arial" w:hAnsi="Arial"/>
          <w:sz w:val="18"/>
          <w:szCs w:val="18"/>
          <w:color w:val="010000"/>
        </w:rPr>
      </w:pPr>
      <w:r>
        <w:rPr>
          <w:rFonts w:ascii="Arial" w:cs="Arial" w:eastAsia="Arial" w:hAnsi="Arial"/>
          <w:sz w:val="18"/>
          <w:szCs w:val="18"/>
          <w:color w:val="auto"/>
        </w:rPr>
        <w:t>payments made or expected to be made by Holdings, the Borrower or any Restricted Subsidiary in respect of withholding or similar taxes payable upon exercise of Equity Interests by any future, present or former employee, director, officer, manager, consultant or other service provider (or their respective controlled Affiliates, Immediate Family Members or Permitted Transferees) and any repurchases of Equity Interests deemed to occur upon exercise of stock options or warrants if such Equity Interests represent a portion of the exercise price of such options or warrants or required withholding or similar taxes;</w:t>
      </w:r>
    </w:p>
    <w:p>
      <w:pPr>
        <w:spacing w:after="0" w:line="176" w:lineRule="exact"/>
        <w:rPr>
          <w:rFonts w:ascii="Arial" w:cs="Arial" w:eastAsia="Arial" w:hAnsi="Arial"/>
          <w:sz w:val="18"/>
          <w:szCs w:val="18"/>
          <w:color w:val="010000"/>
        </w:rPr>
      </w:pPr>
    </w:p>
    <w:p>
      <w:pPr>
        <w:ind w:firstLine="903"/>
        <w:spacing w:after="0" w:line="289" w:lineRule="auto"/>
        <w:tabs>
          <w:tab w:leader="none" w:pos="1495" w:val="left"/>
        </w:tabs>
        <w:numPr>
          <w:ilvl w:val="0"/>
          <w:numId w:val="193"/>
        </w:numPr>
        <w:rPr>
          <w:rFonts w:ascii="Arial" w:cs="Arial" w:eastAsia="Arial" w:hAnsi="Arial"/>
          <w:sz w:val="16"/>
          <w:szCs w:val="16"/>
          <w:color w:val="010000"/>
        </w:rPr>
      </w:pPr>
      <w:r>
        <w:rPr>
          <w:rFonts w:ascii="Arial" w:cs="Arial" w:eastAsia="Arial" w:hAnsi="Arial"/>
          <w:sz w:val="16"/>
          <w:szCs w:val="16"/>
          <w:color w:val="auto"/>
        </w:rPr>
        <w:t xml:space="preserve">additional Restricted Payments;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such Restricted Payment (A) on a Pro Forma Basis, the Total Leverage Ratio is less than or equal to 3.50 to 1.00 and (B) there is no continuing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w:t>
      </w:r>
    </w:p>
    <w:p>
      <w:pPr>
        <w:spacing w:after="0" w:line="123" w:lineRule="exact"/>
        <w:rPr>
          <w:rFonts w:ascii="Arial" w:cs="Arial" w:eastAsia="Arial" w:hAnsi="Arial"/>
          <w:sz w:val="16"/>
          <w:szCs w:val="16"/>
          <w:color w:val="010000"/>
        </w:rPr>
      </w:pPr>
    </w:p>
    <w:p>
      <w:pPr>
        <w:ind w:left="1380" w:hanging="477"/>
        <w:spacing w:after="0"/>
        <w:tabs>
          <w:tab w:leader="none" w:pos="1380" w:val="left"/>
        </w:tabs>
        <w:numPr>
          <w:ilvl w:val="0"/>
          <w:numId w:val="193"/>
        </w:numPr>
        <w:rPr>
          <w:rFonts w:ascii="Arial" w:cs="Arial" w:eastAsia="Arial" w:hAnsi="Arial"/>
          <w:sz w:val="18"/>
          <w:szCs w:val="18"/>
          <w:color w:val="010000"/>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010000"/>
        </w:rPr>
      </w:pPr>
    </w:p>
    <w:p>
      <w:pPr>
        <w:jc w:val="both"/>
        <w:ind w:firstLine="903"/>
        <w:spacing w:after="0" w:line="259" w:lineRule="auto"/>
        <w:tabs>
          <w:tab w:leader="none" w:pos="1450" w:val="left"/>
        </w:tabs>
        <w:numPr>
          <w:ilvl w:val="0"/>
          <w:numId w:val="193"/>
        </w:numPr>
        <w:rPr>
          <w:rFonts w:ascii="Arial" w:cs="Arial" w:eastAsia="Arial" w:hAnsi="Arial"/>
          <w:sz w:val="16"/>
          <w:szCs w:val="16"/>
          <w:color w:val="010000"/>
        </w:rPr>
      </w:pPr>
      <w:r>
        <w:rPr>
          <w:rFonts w:ascii="Arial" w:cs="Arial" w:eastAsia="Arial" w:hAnsi="Arial"/>
          <w:sz w:val="16"/>
          <w:szCs w:val="16"/>
          <w:color w:val="auto"/>
        </w:rPr>
        <w:t>the distribution, by dividend or otherwise, of shares of Equity Interests of, or Indebtedness owed to Holdings, the Borrower or a Restricted Subsidiary by, Unrestricted Subsidiaries (other than Unrestricted Subsidiaries the primary assets of which are Permitted Investments (except to the extent that such Permitted Investments constitute the proceeds of any sale of the assets or equity of any Unrestricted Subsidiary));</w:t>
      </w:r>
    </w:p>
    <w:p>
      <w:pPr>
        <w:spacing w:after="0" w:line="160" w:lineRule="exact"/>
        <w:rPr>
          <w:rFonts w:ascii="Arial" w:cs="Arial" w:eastAsia="Arial" w:hAnsi="Arial"/>
          <w:sz w:val="16"/>
          <w:szCs w:val="16"/>
          <w:color w:val="010000"/>
        </w:rPr>
      </w:pPr>
    </w:p>
    <w:p>
      <w:pPr>
        <w:ind w:left="1480" w:hanging="577"/>
        <w:spacing w:after="0"/>
        <w:tabs>
          <w:tab w:leader="none" w:pos="1480" w:val="left"/>
        </w:tabs>
        <w:numPr>
          <w:ilvl w:val="0"/>
          <w:numId w:val="193"/>
        </w:numPr>
        <w:rPr>
          <w:rFonts w:ascii="Arial" w:cs="Arial" w:eastAsia="Arial" w:hAnsi="Arial"/>
          <w:sz w:val="18"/>
          <w:szCs w:val="18"/>
          <w:color w:val="010000"/>
        </w:rPr>
      </w:pPr>
      <w:r>
        <w:rPr>
          <w:rFonts w:ascii="Arial" w:cs="Arial" w:eastAsia="Arial" w:hAnsi="Arial"/>
          <w:sz w:val="18"/>
          <w:szCs w:val="18"/>
          <w:color w:val="auto"/>
        </w:rPr>
        <w:t>[reserved]; and</w:t>
      </w:r>
    </w:p>
    <w:p>
      <w:pPr>
        <w:spacing w:after="0" w:line="184" w:lineRule="exact"/>
        <w:rPr>
          <w:rFonts w:ascii="Arial" w:cs="Arial" w:eastAsia="Arial" w:hAnsi="Arial"/>
          <w:sz w:val="18"/>
          <w:szCs w:val="18"/>
          <w:color w:val="010000"/>
        </w:rPr>
      </w:pPr>
    </w:p>
    <w:p>
      <w:pPr>
        <w:jc w:val="both"/>
        <w:ind w:firstLine="903"/>
        <w:spacing w:after="0" w:line="227" w:lineRule="auto"/>
        <w:tabs>
          <w:tab w:leader="none" w:pos="1584" w:val="left"/>
        </w:tabs>
        <w:numPr>
          <w:ilvl w:val="0"/>
          <w:numId w:val="193"/>
        </w:numPr>
        <w:rPr>
          <w:rFonts w:ascii="Arial" w:cs="Arial" w:eastAsia="Arial" w:hAnsi="Arial"/>
          <w:sz w:val="17"/>
          <w:szCs w:val="17"/>
          <w:color w:val="010000"/>
        </w:rPr>
      </w:pPr>
      <w:r>
        <w:rPr>
          <w:rFonts w:ascii="Arial" w:cs="Arial" w:eastAsia="Arial" w:hAnsi="Arial"/>
          <w:sz w:val="17"/>
          <w:szCs w:val="17"/>
          <w:color w:val="auto"/>
        </w:rPr>
        <w:t>the Borrower may make Restricted Payments in cash, the proceeds of which shall be used by Holdings to pay (or to make Restricted Payments to allow any direct or indirect parent of Holdings to pay), for any taxable period for which the Borrower and/or any of its Subsidiaries are members of a consolidated, combined or unitary tax group for U.S. federal and/or applicable state, local or foreign income Tax purposes (a “</w:t>
      </w:r>
      <w:r>
        <w:rPr>
          <w:rFonts w:ascii="Arial" w:cs="Arial" w:eastAsia="Arial" w:hAnsi="Arial"/>
          <w:sz w:val="17"/>
          <w:szCs w:val="17"/>
          <w:u w:val="single" w:color="auto"/>
          <w:color w:val="auto"/>
        </w:rPr>
        <w:t>Tax Group</w:t>
      </w:r>
      <w:r>
        <w:rPr>
          <w:rFonts w:ascii="Arial" w:cs="Arial" w:eastAsia="Arial" w:hAnsi="Arial"/>
          <w:sz w:val="17"/>
          <w:szCs w:val="17"/>
          <w:color w:val="auto"/>
        </w:rPr>
        <w:t xml:space="preserve">”) of which Holdings or a direct or indirect parent of Holdings is the common parent (or the Borrower is a disregarded entity or partnership directly or indirectly owned by a member or members of such a Tax Group), the portion of any U.S. federal, state, local or foreign Taxes (as applicable) of such Tax Group for such taxable period that are attributable to the income of the Borrower and/or its applicable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Restricted Payments made pursuant to this clause (a)(xviii) shall not exceed the Tax liability that the Borrower and/or its applicable Subsidiaries (as applicable) would have incurred were such Taxes determined as if such entity(ies) were a stand-alone taxpayer or a stand-alone group for all relevant taxable periods and (b) Restricted Payments under this clause (a)(xviii) in respect of any Taxes attributable to the income of any Unrestricted Subsidiaries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00"/>
        <w:spacing w:after="0"/>
        <w:rPr>
          <w:sz w:val="20"/>
          <w:szCs w:val="20"/>
          <w:color w:val="auto"/>
        </w:rPr>
      </w:pPr>
      <w:r>
        <w:rPr>
          <w:rFonts w:ascii="Arial" w:cs="Arial" w:eastAsia="Arial" w:hAnsi="Arial"/>
          <w:sz w:val="22"/>
          <w:szCs w:val="22"/>
          <w:u w:val="single" w:color="auto"/>
          <w:color w:val="0000FF"/>
          <w:highlight w:val="lightGray"/>
        </w:rPr>
        <w:t>121</w:t>
      </w:r>
    </w:p>
    <w:p>
      <w:pPr>
        <w:sectPr>
          <w:pgSz w:w="11900" w:h="16838" w:orient="portrait"/>
          <w:cols w:equalWidth="0" w:num="1">
            <w:col w:w="10580"/>
          </w:cols>
          <w:pgMar w:left="980" w:top="1440" w:right="339" w:bottom="1440" w:gutter="0" w:footer="0" w:header="0"/>
        </w:sectPr>
      </w:pPr>
    </w:p>
    <w:bookmarkStart w:id="179" w:name="page180"/>
    <w:bookmarkEnd w:id="179"/>
    <w:p>
      <w:pPr>
        <w:spacing w:after="0" w:line="63"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color w:val="auto"/>
        </w:rPr>
        <w:t>made only to the extent that such Unrestricted Subsidiaries have made cash payments for such purpose to the Borrower or its Restricted Subsidiaries.</w:t>
      </w:r>
    </w:p>
    <w:p>
      <w:pPr>
        <w:spacing w:after="0" w:line="162" w:lineRule="exact"/>
        <w:rPr>
          <w:sz w:val="20"/>
          <w:szCs w:val="20"/>
          <w:color w:val="auto"/>
        </w:rPr>
      </w:pPr>
    </w:p>
    <w:p>
      <w:pPr>
        <w:jc w:val="both"/>
        <w:ind w:firstLine="656"/>
        <w:spacing w:after="0" w:line="222" w:lineRule="auto"/>
        <w:tabs>
          <w:tab w:leader="none" w:pos="116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Borrower will not, and will not permit any Subsidiary Loan Party to, make or pay, directly or indirectly, any payment or other distribution (whether in cash, securities or other property) of principal of or interest on any Junior Financing, or any payment or other distribution (whether in cash, securities or other property), including any sinking fund or similar deposit, on account of the purchase, redemption, retirement, prepayment, defeasance, acquisition, cancellation or termination of any Junior Financing more than one year prior to the scheduled maturity date thereof (any such payment, a “</w:t>
      </w:r>
      <w:r>
        <w:rPr>
          <w:rFonts w:ascii="Arial" w:cs="Arial" w:eastAsia="Arial" w:hAnsi="Arial"/>
          <w:sz w:val="18"/>
          <w:szCs w:val="18"/>
          <w:u w:val="single" w:color="auto"/>
          <w:color w:val="auto"/>
        </w:rPr>
        <w:t>Restricted Debt Payment</w:t>
      </w:r>
      <w:r>
        <w:rPr>
          <w:rFonts w:ascii="Arial" w:cs="Arial" w:eastAsia="Arial" w:hAnsi="Arial"/>
          <w:sz w:val="18"/>
          <w:szCs w:val="18"/>
          <w:color w:val="auto"/>
        </w:rPr>
        <w:t>”), except:</w:t>
      </w:r>
    </w:p>
    <w:p>
      <w:pPr>
        <w:spacing w:after="0" w:line="163" w:lineRule="exact"/>
        <w:rPr>
          <w:rFonts w:ascii="Arial" w:cs="Arial" w:eastAsia="Arial" w:hAnsi="Arial"/>
          <w:sz w:val="18"/>
          <w:szCs w:val="18"/>
          <w:color w:val="auto"/>
        </w:rPr>
      </w:pPr>
    </w:p>
    <w:p>
      <w:pPr>
        <w:ind w:left="660" w:firstLine="903"/>
        <w:spacing w:after="0" w:line="235" w:lineRule="auto"/>
        <w:tabs>
          <w:tab w:leader="none" w:pos="2005" w:val="left"/>
        </w:tabs>
        <w:numPr>
          <w:ilvl w:val="1"/>
          <w:numId w:val="194"/>
        </w:numPr>
        <w:rPr>
          <w:rFonts w:ascii="Arial" w:cs="Arial" w:eastAsia="Arial" w:hAnsi="Arial"/>
          <w:sz w:val="18"/>
          <w:szCs w:val="18"/>
          <w:color w:val="010000"/>
        </w:rPr>
      </w:pPr>
      <w:r>
        <w:rPr>
          <w:rFonts w:ascii="Arial" w:cs="Arial" w:eastAsia="Arial" w:hAnsi="Arial"/>
          <w:sz w:val="18"/>
          <w:szCs w:val="18"/>
          <w:color w:val="auto"/>
        </w:rPr>
        <w:t>payment of regularly scheduled interest and principal payments as, in the form of payment and when due in respect of any Indebtedness, other than payments in respect of any Junior Financing prohibited by the subordination provisions thereof;</w:t>
      </w:r>
    </w:p>
    <w:p>
      <w:pPr>
        <w:spacing w:after="0" w:line="175" w:lineRule="exact"/>
        <w:rPr>
          <w:rFonts w:ascii="Arial" w:cs="Arial" w:eastAsia="Arial" w:hAnsi="Arial"/>
          <w:sz w:val="18"/>
          <w:szCs w:val="18"/>
          <w:color w:val="010000"/>
        </w:rPr>
      </w:pPr>
    </w:p>
    <w:p>
      <w:pPr>
        <w:ind w:left="660" w:firstLine="903"/>
        <w:spacing w:after="0" w:line="235" w:lineRule="auto"/>
        <w:tabs>
          <w:tab w:leader="none" w:pos="2094" w:val="left"/>
        </w:tabs>
        <w:numPr>
          <w:ilvl w:val="1"/>
          <w:numId w:val="194"/>
        </w:numPr>
        <w:rPr>
          <w:rFonts w:ascii="Arial" w:cs="Arial" w:eastAsia="Arial" w:hAnsi="Arial"/>
          <w:sz w:val="18"/>
          <w:szCs w:val="18"/>
          <w:color w:val="010000"/>
        </w:rPr>
      </w:pPr>
      <w:r>
        <w:rPr>
          <w:rFonts w:ascii="Arial" w:cs="Arial" w:eastAsia="Arial" w:hAnsi="Arial"/>
          <w:sz w:val="18"/>
          <w:szCs w:val="18"/>
          <w:color w:val="auto"/>
        </w:rPr>
        <w:t xml:space="preserve">refinancings of Junior Financing Indebtedness with proceeds of, or in exchange for, other Junior Financing Indebtedness permitted to be incurred under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61" w:lineRule="exact"/>
        <w:rPr>
          <w:rFonts w:ascii="Arial" w:cs="Arial" w:eastAsia="Arial" w:hAnsi="Arial"/>
          <w:sz w:val="18"/>
          <w:szCs w:val="18"/>
          <w:color w:val="010000"/>
        </w:rPr>
      </w:pPr>
    </w:p>
    <w:p>
      <w:pPr>
        <w:ind w:left="660" w:firstLine="903"/>
        <w:spacing w:after="0" w:line="246" w:lineRule="auto"/>
        <w:tabs>
          <w:tab w:leader="none" w:pos="2058" w:val="left"/>
        </w:tabs>
        <w:numPr>
          <w:ilvl w:val="1"/>
          <w:numId w:val="194"/>
        </w:numPr>
        <w:rPr>
          <w:rFonts w:ascii="Arial" w:cs="Arial" w:eastAsia="Arial" w:hAnsi="Arial"/>
          <w:sz w:val="18"/>
          <w:szCs w:val="18"/>
          <w:color w:val="010000"/>
        </w:rPr>
      </w:pPr>
      <w:r>
        <w:rPr>
          <w:rFonts w:ascii="Arial" w:cs="Arial" w:eastAsia="Arial" w:hAnsi="Arial"/>
          <w:sz w:val="18"/>
          <w:szCs w:val="18"/>
          <w:color w:val="auto"/>
        </w:rPr>
        <w:t>the conversion of any Junior Financing to Equity Interests (other than Disqualified Equity Interests) of Holdings or any of its direct or indirect parent companies;</w:t>
      </w:r>
    </w:p>
    <w:p>
      <w:pPr>
        <w:spacing w:after="0" w:line="156" w:lineRule="exact"/>
        <w:rPr>
          <w:rFonts w:ascii="Arial" w:cs="Arial" w:eastAsia="Arial" w:hAnsi="Arial"/>
          <w:sz w:val="18"/>
          <w:szCs w:val="18"/>
          <w:color w:val="010000"/>
        </w:rPr>
      </w:pPr>
    </w:p>
    <w:p>
      <w:pPr>
        <w:jc w:val="both"/>
        <w:ind w:left="660" w:firstLine="903"/>
        <w:spacing w:after="0" w:line="238" w:lineRule="auto"/>
        <w:tabs>
          <w:tab w:leader="none" w:pos="2080" w:val="left"/>
        </w:tabs>
        <w:numPr>
          <w:ilvl w:val="1"/>
          <w:numId w:val="194"/>
        </w:numPr>
        <w:rPr>
          <w:rFonts w:ascii="Arial" w:cs="Arial" w:eastAsia="Arial" w:hAnsi="Arial"/>
          <w:sz w:val="16"/>
          <w:szCs w:val="16"/>
          <w:color w:val="010000"/>
        </w:rPr>
      </w:pPr>
      <w:r>
        <w:rPr>
          <w:rFonts w:ascii="Arial" w:cs="Arial" w:eastAsia="Arial" w:hAnsi="Arial"/>
          <w:sz w:val="16"/>
          <w:szCs w:val="16"/>
          <w:color w:val="auto"/>
        </w:rPr>
        <w:t xml:space="preserve">Restricted Debt Payments in an aggregate amount not to exceed the sum of (A) an amount at the time of making any such Restricted Debt Payment and when taken together with the aggregate amount of loans and advances to Holdings (or any direct or indirect parent thereof) made pursuant to </w:t>
      </w:r>
      <w:r>
        <w:rPr>
          <w:rFonts w:ascii="Arial" w:cs="Arial" w:eastAsia="Arial" w:hAnsi="Arial"/>
          <w:sz w:val="16"/>
          <w:szCs w:val="16"/>
          <w:u w:val="single" w:color="auto"/>
          <w:color w:val="auto"/>
        </w:rPr>
        <w:t>Section 6.04(m)</w:t>
      </w:r>
      <w:r>
        <w:rPr>
          <w:rFonts w:ascii="Arial" w:cs="Arial" w:eastAsia="Arial" w:hAnsi="Arial"/>
          <w:sz w:val="16"/>
          <w:szCs w:val="16"/>
          <w:color w:val="auto"/>
        </w:rPr>
        <w:t xml:space="preserve"> in lieu of Restricted Debt Payments permitted by this clause (iv) and any other Restricted Debt Payments made utilizing this subclause (A), the greater of $33,000,000 and 25% of Consolidated EBITDA for the most recently ended Test Period as of such time determined on a Pro Forma Basis plus (B) the Available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Restricted Debt Payments made in reliance on clause (b) of the definition of “Available Amount” pursuant to this clause (B), no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 w:lineRule="exact"/>
        <w:rPr>
          <w:rFonts w:ascii="Arial" w:cs="Arial" w:eastAsia="Arial" w:hAnsi="Arial"/>
          <w:sz w:val="16"/>
          <w:szCs w:val="16"/>
          <w:color w:val="010000"/>
        </w:rPr>
      </w:pPr>
    </w:p>
    <w:p>
      <w:pPr>
        <w:ind w:left="660" w:hanging="4"/>
        <w:spacing w:after="0" w:line="226" w:lineRule="auto"/>
        <w:tabs>
          <w:tab w:leader="none" w:pos="917" w:val="left"/>
        </w:tabs>
        <w:numPr>
          <w:ilvl w:val="0"/>
          <w:numId w:val="195"/>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shall be continuing or would result therefrom) that is Not Otherwise Applied plus (C) the Available Equity Amount that is Not Otherwise Applied plus (D) the Available RP Capacity Amount; and</w:t>
      </w:r>
    </w:p>
    <w:p>
      <w:pPr>
        <w:spacing w:after="0" w:line="174" w:lineRule="exact"/>
        <w:rPr>
          <w:rFonts w:ascii="Arial" w:cs="Arial" w:eastAsia="Arial" w:hAnsi="Arial"/>
          <w:sz w:val="18"/>
          <w:szCs w:val="18"/>
          <w:u w:val="single" w:color="auto"/>
          <w:color w:val="auto"/>
        </w:rPr>
      </w:pPr>
    </w:p>
    <w:p>
      <w:pPr>
        <w:ind w:left="660" w:firstLine="903"/>
        <w:spacing w:after="0" w:line="235" w:lineRule="auto"/>
        <w:tabs>
          <w:tab w:leader="none" w:pos="1974" w:val="left"/>
        </w:tabs>
        <w:numPr>
          <w:ilvl w:val="1"/>
          <w:numId w:val="195"/>
        </w:numPr>
        <w:rPr>
          <w:rFonts w:ascii="Arial" w:cs="Arial" w:eastAsia="Arial" w:hAnsi="Arial"/>
          <w:sz w:val="18"/>
          <w:szCs w:val="18"/>
          <w:color w:val="010000"/>
        </w:rPr>
      </w:pPr>
      <w:r>
        <w:rPr>
          <w:rFonts w:ascii="Arial" w:cs="Arial" w:eastAsia="Arial" w:hAnsi="Arial"/>
          <w:sz w:val="18"/>
          <w:szCs w:val="18"/>
          <w:color w:val="auto"/>
        </w:rPr>
        <w:t xml:space="preserve">Restricted Debt Payments (including prior to their scheduled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Restricted Debt Payment on a Pro Forma Basis, the Total Leverage Ratio is less than or equal to 4.00 to 1.00.</w:t>
      </w:r>
    </w:p>
    <w:p>
      <w:pPr>
        <w:spacing w:after="0" w:line="161" w:lineRule="exact"/>
        <w:rPr>
          <w:rFonts w:ascii="Arial" w:cs="Arial" w:eastAsia="Arial" w:hAnsi="Arial"/>
          <w:sz w:val="18"/>
          <w:szCs w:val="18"/>
          <w:color w:val="010000"/>
        </w:rPr>
      </w:pPr>
    </w:p>
    <w:p>
      <w:pPr>
        <w:jc w:val="both"/>
        <w:ind w:firstLine="656"/>
        <w:spacing w:after="0" w:line="222" w:lineRule="auto"/>
        <w:tabs>
          <w:tab w:leader="none" w:pos="115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Borrower will not, and will not permit any Restricted Subsidiary to, amend or modify any documentation governing any Junior Financing, if the effect of such amendment or modification (when taken as a whole) is materially adverse to the Lenders, other than in connection with (i) a Permitted Refinancing of any such Junior Financing or (ii) in a manner expressly permitted by, or that does not contravene, the applicable intercreditor or subordination terms or agreement(s) governing the relationship between the Lenders, on the one hand, and the lenders or purchasers of the applicable Junior Financing, on the other hand.</w:t>
      </w:r>
    </w:p>
    <w:p>
      <w:pPr>
        <w:spacing w:after="0" w:line="163"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 xml:space="preserve">Notwithstanding anything herein to the contrary, the foregoing provisions of this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will not prohibit the payment of any Restricted Payment or Restricted Debt Payment within 60 days after the date of declaration thereof or the giving of such irrevocable notice, as applicable, if at the date</w:t>
      </w:r>
    </w:p>
    <w:p>
      <w:pPr>
        <w:spacing w:after="0"/>
        <w:rPr>
          <w:sz w:val="20"/>
          <w:szCs w:val="20"/>
          <w:color w:val="auto"/>
        </w:rPr>
      </w:pPr>
      <w:r>
        <w:rPr>
          <w:rFonts w:ascii="Arial" w:cs="Arial" w:eastAsia="Arial" w:hAnsi="Arial"/>
          <w:sz w:val="18"/>
          <w:szCs w:val="18"/>
          <w:color w:val="auto"/>
        </w:rPr>
        <w:t>of declaration or the giving of such notice such payment would have complied with the provisions of this Agreement.</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SECTION 6.09 Transactions with Affiliates. The Borrower will not, and will not permit any Restricted Subsidiary to, sell, lease or otherwise transfer any property or assets to, or purchase, lease or otherwise acquire any property or assets from, or otherwise engage in any other transactions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-120015</wp:posOffset>
            </wp:positionV>
            <wp:extent cx="14306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any of its Affiliates, except:</w:t>
      </w:r>
    </w:p>
    <w:p>
      <w:pPr>
        <w:spacing w:after="0" w:line="169" w:lineRule="exact"/>
        <w:rPr>
          <w:sz w:val="20"/>
          <w:szCs w:val="20"/>
          <w:color w:val="auto"/>
        </w:rPr>
      </w:pPr>
    </w:p>
    <w:p>
      <w:pPr>
        <w:jc w:val="both"/>
        <w:ind w:left="660" w:firstLine="903"/>
        <w:spacing w:after="0" w:line="229" w:lineRule="auto"/>
        <w:tabs>
          <w:tab w:leader="none" w:pos="1931" w:val="left"/>
        </w:tabs>
        <w:numPr>
          <w:ilvl w:val="0"/>
          <w:numId w:val="197"/>
        </w:numPr>
        <w:rPr>
          <w:rFonts w:ascii="Arial" w:cs="Arial" w:eastAsia="Arial" w:hAnsi="Arial"/>
          <w:sz w:val="18"/>
          <w:szCs w:val="18"/>
          <w:color w:val="010000"/>
        </w:rPr>
      </w:pPr>
      <w:r>
        <w:rPr>
          <w:rFonts w:ascii="Arial" w:cs="Arial" w:eastAsia="Arial" w:hAnsi="Arial"/>
          <w:sz w:val="18"/>
          <w:szCs w:val="18"/>
          <w:color w:val="auto"/>
        </w:rPr>
        <w:t>(A) transactions with Holdings, the Borrower or any Restricted Subsidiary and (B) transactions involving aggregate payments or consideration of less than the greater of $6,500,000 and 5% of Consolidated EBITDA for the most recently ended Test Period as of such time determined on a Pro Forma Basis;</w:t>
      </w:r>
    </w:p>
    <w:p>
      <w:pPr>
        <w:spacing w:after="0" w:line="163" w:lineRule="exact"/>
        <w:rPr>
          <w:rFonts w:ascii="Arial" w:cs="Arial" w:eastAsia="Arial" w:hAnsi="Arial"/>
          <w:sz w:val="18"/>
          <w:szCs w:val="18"/>
          <w:color w:val="010000"/>
        </w:rPr>
      </w:pPr>
    </w:p>
    <w:p>
      <w:pPr>
        <w:ind w:left="660" w:firstLine="903"/>
        <w:spacing w:after="0" w:line="235" w:lineRule="auto"/>
        <w:tabs>
          <w:tab w:leader="none" w:pos="1994" w:val="left"/>
        </w:tabs>
        <w:numPr>
          <w:ilvl w:val="0"/>
          <w:numId w:val="197"/>
        </w:numPr>
        <w:rPr>
          <w:rFonts w:ascii="Arial" w:cs="Arial" w:eastAsia="Arial" w:hAnsi="Arial"/>
          <w:sz w:val="18"/>
          <w:szCs w:val="18"/>
          <w:color w:val="010000"/>
        </w:rPr>
      </w:pPr>
      <w:r>
        <w:rPr>
          <w:rFonts w:ascii="Arial" w:cs="Arial" w:eastAsia="Arial" w:hAnsi="Arial"/>
          <w:sz w:val="18"/>
          <w:szCs w:val="18"/>
          <w:color w:val="auto"/>
        </w:rPr>
        <w:t>on terms substantially as favorable to the Borrower or such Restricted Subsidiary as would be obtainable by such Person at the time in a comparable arm’s-length transaction with a Person other than an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122</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63" w:lineRule="exact"/>
        <w:rPr>
          <w:sz w:val="20"/>
          <w:szCs w:val="20"/>
          <w:color w:val="auto"/>
        </w:rPr>
      </w:pPr>
    </w:p>
    <w:p>
      <w:pPr>
        <w:ind w:left="900" w:hanging="457"/>
        <w:spacing w:after="0"/>
        <w:tabs>
          <w:tab w:leader="none" w:pos="900"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the Transactions and the payment of fees and expenses related to the Transactions;</w:t>
      </w:r>
    </w:p>
    <w:p>
      <w:pPr>
        <w:spacing w:after="0" w:line="184" w:lineRule="exact"/>
        <w:rPr>
          <w:rFonts w:ascii="Arial" w:cs="Arial" w:eastAsia="Arial" w:hAnsi="Arial"/>
          <w:sz w:val="18"/>
          <w:szCs w:val="18"/>
          <w:color w:val="010000"/>
        </w:rPr>
      </w:pPr>
    </w:p>
    <w:p>
      <w:pPr>
        <w:ind w:left="880" w:hanging="437"/>
        <w:spacing w:after="0"/>
        <w:tabs>
          <w:tab w:leader="none" w:pos="880"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issuances of Equity Interests of Holdings or the Borrower to the extent otherwise permitted by this Agreement;</w:t>
      </w:r>
    </w:p>
    <w:p>
      <w:pPr>
        <w:spacing w:after="0" w:line="184" w:lineRule="exact"/>
        <w:rPr>
          <w:rFonts w:ascii="Arial" w:cs="Arial" w:eastAsia="Arial" w:hAnsi="Arial"/>
          <w:sz w:val="18"/>
          <w:szCs w:val="18"/>
          <w:color w:val="010000"/>
        </w:rPr>
      </w:pPr>
    </w:p>
    <w:p>
      <w:pPr>
        <w:jc w:val="both"/>
        <w:ind w:left="-460" w:firstLine="903"/>
        <w:spacing w:after="0" w:line="245" w:lineRule="auto"/>
        <w:tabs>
          <w:tab w:leader="none" w:pos="856" w:val="left"/>
        </w:tabs>
        <w:numPr>
          <w:ilvl w:val="0"/>
          <w:numId w:val="198"/>
        </w:numPr>
        <w:rPr>
          <w:rFonts w:ascii="Arial" w:cs="Arial" w:eastAsia="Arial" w:hAnsi="Arial"/>
          <w:sz w:val="17"/>
          <w:szCs w:val="17"/>
          <w:color w:val="010000"/>
        </w:rPr>
      </w:pPr>
      <w:r>
        <w:rPr>
          <w:rFonts w:ascii="Arial" w:cs="Arial" w:eastAsia="Arial" w:hAnsi="Arial"/>
          <w:sz w:val="17"/>
          <w:szCs w:val="17"/>
          <w:color w:val="auto"/>
        </w:rPr>
        <w:t xml:space="preserve">employment and severance arrangements (including salary or guaranteed payments and bonuses) between the Borrower and the Restricted Subsidiaries and their respective officers, managers, employees and other service providers in the ordinary course of business or otherwise in connection with the Transactions (including loans and advances pursuant to </w:t>
      </w:r>
      <w:r>
        <w:rPr>
          <w:rFonts w:ascii="Arial" w:cs="Arial" w:eastAsia="Arial" w:hAnsi="Arial"/>
          <w:sz w:val="17"/>
          <w:szCs w:val="17"/>
          <w:u w:val="single" w:color="auto"/>
          <w:color w:val="auto"/>
        </w:rPr>
        <w:t>Sections 6.04(b)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6.04(p)</w:t>
      </w:r>
      <w:r>
        <w:rPr>
          <w:rFonts w:ascii="Arial" w:cs="Arial" w:eastAsia="Arial" w:hAnsi="Arial"/>
          <w:sz w:val="17"/>
          <w:szCs w:val="17"/>
          <w:color w:val="auto"/>
        </w:rPr>
        <w:t>);</w:t>
      </w:r>
    </w:p>
    <w:p>
      <w:pPr>
        <w:spacing w:after="0" w:line="157" w:lineRule="exact"/>
        <w:rPr>
          <w:rFonts w:ascii="Arial" w:cs="Arial" w:eastAsia="Arial" w:hAnsi="Arial"/>
          <w:sz w:val="17"/>
          <w:szCs w:val="17"/>
          <w:color w:val="010000"/>
        </w:rPr>
      </w:pPr>
    </w:p>
    <w:p>
      <w:pPr>
        <w:jc w:val="both"/>
        <w:ind w:left="-460" w:firstLine="903"/>
        <w:spacing w:after="0" w:line="267" w:lineRule="auto"/>
        <w:tabs>
          <w:tab w:leader="none" w:pos="917" w:val="left"/>
        </w:tabs>
        <w:numPr>
          <w:ilvl w:val="0"/>
          <w:numId w:val="198"/>
        </w:numPr>
        <w:rPr>
          <w:rFonts w:ascii="Arial" w:cs="Arial" w:eastAsia="Arial" w:hAnsi="Arial"/>
          <w:sz w:val="16"/>
          <w:szCs w:val="16"/>
          <w:color w:val="010000"/>
        </w:rPr>
      </w:pPr>
      <w:r>
        <w:rPr>
          <w:rFonts w:ascii="Arial" w:cs="Arial" w:eastAsia="Arial" w:hAnsi="Arial"/>
          <w:sz w:val="16"/>
          <w:szCs w:val="16"/>
          <w:color w:val="auto"/>
        </w:rPr>
        <w:t xml:space="preserve">payments by Holdings (and any direct or indirect parent thereof), the Borrower and the Restricted Subsidiaries pursuant to tax sharing agreements among Holdings (and any such parent thereof), the Borrower and the Restricted Subsidiaries on customary terms to the extent attributable to the ownership or operation of the Borrower and the Restricted Subsidiaries, to the extent payments are permitted by </w:t>
      </w:r>
      <w:r>
        <w:rPr>
          <w:rFonts w:ascii="Arial" w:cs="Arial" w:eastAsia="Arial" w:hAnsi="Arial"/>
          <w:sz w:val="16"/>
          <w:szCs w:val="16"/>
          <w:u w:val="single" w:color="auto"/>
          <w:color w:val="auto"/>
        </w:rPr>
        <w:t>Section 6.08</w:t>
      </w:r>
      <w:r>
        <w:rPr>
          <w:rFonts w:ascii="Arial" w:cs="Arial" w:eastAsia="Arial" w:hAnsi="Arial"/>
          <w:sz w:val="16"/>
          <w:szCs w:val="16"/>
          <w:color w:val="auto"/>
        </w:rPr>
        <w:t>;</w:t>
      </w:r>
    </w:p>
    <w:p>
      <w:pPr>
        <w:spacing w:after="0" w:line="141" w:lineRule="exact"/>
        <w:rPr>
          <w:rFonts w:ascii="Arial" w:cs="Arial" w:eastAsia="Arial" w:hAnsi="Arial"/>
          <w:sz w:val="16"/>
          <w:szCs w:val="16"/>
          <w:color w:val="010000"/>
        </w:rPr>
      </w:pPr>
    </w:p>
    <w:p>
      <w:pPr>
        <w:jc w:val="both"/>
        <w:ind w:left="-460" w:firstLine="903"/>
        <w:spacing w:after="0" w:line="223" w:lineRule="auto"/>
        <w:tabs>
          <w:tab w:leader="none" w:pos="939"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the payment of customary fees and reasonable out-of-pocket costs to, and indemnities provided on behalf of, directors, officers, managers, employees and other service providers of Holdings (or any direct or indirect parent company thereof), the Borrower and the Restricted Subsidiaries in the ordinary course of business to the extent attributable to the ownership or operation of Holdings, the Borrower and the Restricted Subsidiaries;</w:t>
      </w:r>
    </w:p>
    <w:p>
      <w:pPr>
        <w:spacing w:after="0" w:line="175" w:lineRule="exact"/>
        <w:rPr>
          <w:rFonts w:ascii="Arial" w:cs="Arial" w:eastAsia="Arial" w:hAnsi="Arial"/>
          <w:sz w:val="18"/>
          <w:szCs w:val="18"/>
          <w:color w:val="010000"/>
        </w:rPr>
      </w:pPr>
    </w:p>
    <w:p>
      <w:pPr>
        <w:jc w:val="both"/>
        <w:ind w:left="-460" w:firstLine="903"/>
        <w:spacing w:after="0" w:line="223" w:lineRule="auto"/>
        <w:tabs>
          <w:tab w:leader="none" w:pos="992"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 xml:space="preserve">transactions pursuant to any agreement or arrangement in effect as of the Effective Date and set forth on </w:t>
      </w:r>
      <w:r>
        <w:rPr>
          <w:rFonts w:ascii="Arial" w:cs="Arial" w:eastAsia="Arial" w:hAnsi="Arial"/>
          <w:sz w:val="18"/>
          <w:szCs w:val="18"/>
          <w:u w:val="single" w:color="auto"/>
          <w:color w:val="auto"/>
        </w:rPr>
        <w:t>Schedule 6.09</w:t>
      </w:r>
      <w:r>
        <w:rPr>
          <w:rFonts w:ascii="Arial" w:cs="Arial" w:eastAsia="Arial" w:hAnsi="Arial"/>
          <w:sz w:val="18"/>
          <w:szCs w:val="18"/>
          <w:color w:val="auto"/>
        </w:rPr>
        <w:t>, or any amendment, modification, supplement or replacement thereto (so long as any such amendment, modification, supplement or replacement is not disadvantageous in any material respect to the Lenders when taken as a whole as compared to the applicable agreement or arrangement as in effect on the Effective Date as determined by the Borrower in good faith);</w:t>
      </w:r>
    </w:p>
    <w:p>
      <w:pPr>
        <w:spacing w:after="0" w:line="162" w:lineRule="exact"/>
        <w:rPr>
          <w:rFonts w:ascii="Arial" w:cs="Arial" w:eastAsia="Arial" w:hAnsi="Arial"/>
          <w:sz w:val="18"/>
          <w:szCs w:val="18"/>
          <w:color w:val="010000"/>
        </w:rPr>
      </w:pPr>
    </w:p>
    <w:p>
      <w:pPr>
        <w:ind w:left="880" w:hanging="437"/>
        <w:spacing w:after="0"/>
        <w:tabs>
          <w:tab w:leader="none" w:pos="880" w:val="left"/>
        </w:tabs>
        <w:numPr>
          <w:ilvl w:val="0"/>
          <w:numId w:val="198"/>
        </w:numPr>
        <w:rPr>
          <w:rFonts w:ascii="Arial" w:cs="Arial" w:eastAsia="Arial" w:hAnsi="Arial"/>
          <w:sz w:val="16"/>
          <w:szCs w:val="16"/>
          <w:color w:val="010000"/>
        </w:rPr>
      </w:pPr>
      <w:r>
        <w:rPr>
          <w:rFonts w:ascii="Arial" w:cs="Arial" w:eastAsia="Arial" w:hAnsi="Arial"/>
          <w:sz w:val="16"/>
          <w:szCs w:val="16"/>
          <w:color w:val="auto"/>
        </w:rPr>
        <w:t xml:space="preserve">Restricted Payments permitted under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(and loans and advances made in lieu thereof pursuant to </w:t>
      </w:r>
      <w:r>
        <w:rPr>
          <w:rFonts w:ascii="Arial" w:cs="Arial" w:eastAsia="Arial" w:hAnsi="Arial"/>
          <w:sz w:val="16"/>
          <w:szCs w:val="16"/>
          <w:u w:val="single" w:color="auto"/>
          <w:color w:val="auto"/>
        </w:rPr>
        <w:t>Section 6.04(m)</w:t>
      </w:r>
      <w:r>
        <w:rPr>
          <w:rFonts w:ascii="Arial" w:cs="Arial" w:eastAsia="Arial" w:hAnsi="Arial"/>
          <w:sz w:val="16"/>
          <w:szCs w:val="16"/>
          <w:color w:val="auto"/>
        </w:rPr>
        <w:t>);</w:t>
      </w:r>
    </w:p>
    <w:p>
      <w:pPr>
        <w:spacing w:after="0" w:line="207" w:lineRule="exact"/>
        <w:rPr>
          <w:rFonts w:ascii="Arial" w:cs="Arial" w:eastAsia="Arial" w:hAnsi="Arial"/>
          <w:sz w:val="16"/>
          <w:szCs w:val="16"/>
          <w:color w:val="010000"/>
        </w:rPr>
      </w:pPr>
    </w:p>
    <w:p>
      <w:pPr>
        <w:jc w:val="both"/>
        <w:ind w:left="-460" w:firstLine="903"/>
        <w:spacing w:after="0" w:line="236" w:lineRule="auto"/>
        <w:tabs>
          <w:tab w:leader="none" w:pos="976" w:val="left"/>
        </w:tabs>
        <w:numPr>
          <w:ilvl w:val="0"/>
          <w:numId w:val="198"/>
        </w:numPr>
        <w:rPr>
          <w:rFonts w:ascii="Arial" w:cs="Arial" w:eastAsia="Arial" w:hAnsi="Arial"/>
          <w:sz w:val="17"/>
          <w:szCs w:val="17"/>
          <w:color w:val="010000"/>
        </w:rPr>
      </w:pPr>
      <w:r>
        <w:rPr>
          <w:rFonts w:ascii="Arial" w:cs="Arial" w:eastAsia="Arial" w:hAnsi="Arial"/>
          <w:sz w:val="17"/>
          <w:szCs w:val="17"/>
          <w:color w:val="auto"/>
        </w:rPr>
        <w:t>customary payments by Holdings, the Borrower and any of the Restricted Subsidiaries made for any financial advisory, consulting, financing, underwriting or placement services or in respect of other investment banking activities (including in connection with acquisitions, divestitures or financings) and any subsequent transaction or exit fee, which payments are approved by the majority of the members of the Board of Directors or a majority of the disinterested members of the Board of Directors of such Person in good faith;</w:t>
      </w:r>
    </w:p>
    <w:p>
      <w:pPr>
        <w:spacing w:after="0" w:line="176" w:lineRule="exact"/>
        <w:rPr>
          <w:rFonts w:ascii="Arial" w:cs="Arial" w:eastAsia="Arial" w:hAnsi="Arial"/>
          <w:sz w:val="17"/>
          <w:szCs w:val="17"/>
          <w:color w:val="010000"/>
        </w:rPr>
      </w:pPr>
    </w:p>
    <w:p>
      <w:pPr>
        <w:jc w:val="both"/>
        <w:ind w:left="-460" w:firstLine="903"/>
        <w:spacing w:after="0" w:line="237" w:lineRule="auto"/>
        <w:tabs>
          <w:tab w:leader="none" w:pos="977" w:val="left"/>
        </w:tabs>
        <w:numPr>
          <w:ilvl w:val="0"/>
          <w:numId w:val="198"/>
        </w:numPr>
        <w:rPr>
          <w:rFonts w:ascii="Arial" w:cs="Arial" w:eastAsia="Arial" w:hAnsi="Arial"/>
          <w:sz w:val="17"/>
          <w:szCs w:val="17"/>
          <w:color w:val="010000"/>
        </w:rPr>
      </w:pPr>
      <w:r>
        <w:rPr>
          <w:rFonts w:ascii="Arial" w:cs="Arial" w:eastAsia="Arial" w:hAnsi="Arial"/>
          <w:sz w:val="17"/>
          <w:szCs w:val="17"/>
          <w:color w:val="auto"/>
        </w:rPr>
        <w:t>the issuance or transfer of Equity Interests (other than Disqualified Equity Interests) of Holdings (or any direct or indirect parent thereof) to any Permitted Holder or to any former, current or future director, manager, officer, employee, consultant or other service provider (or any Affiliate of any of the foregoing) of Holdings, the Borrower, any of the Subsidiaries or any direct or indirect parent thereof;</w:t>
      </w:r>
    </w:p>
    <w:p>
      <w:pPr>
        <w:spacing w:after="0" w:line="176" w:lineRule="exact"/>
        <w:rPr>
          <w:rFonts w:ascii="Arial" w:cs="Arial" w:eastAsia="Arial" w:hAnsi="Arial"/>
          <w:sz w:val="17"/>
          <w:szCs w:val="17"/>
          <w:color w:val="010000"/>
        </w:rPr>
      </w:pPr>
    </w:p>
    <w:p>
      <w:pPr>
        <w:ind w:left="-460" w:firstLine="903"/>
        <w:spacing w:after="0" w:line="258" w:lineRule="auto"/>
        <w:tabs>
          <w:tab w:leader="none" w:pos="1009" w:val="left"/>
        </w:tabs>
        <w:numPr>
          <w:ilvl w:val="0"/>
          <w:numId w:val="198"/>
        </w:numPr>
        <w:rPr>
          <w:rFonts w:ascii="Arial" w:cs="Arial" w:eastAsia="Arial" w:hAnsi="Arial"/>
          <w:sz w:val="17"/>
          <w:szCs w:val="17"/>
          <w:color w:val="010000"/>
        </w:rPr>
      </w:pPr>
      <w:r>
        <w:rPr>
          <w:rFonts w:ascii="Arial" w:cs="Arial" w:eastAsia="Arial" w:hAnsi="Arial"/>
          <w:sz w:val="17"/>
          <w:szCs w:val="17"/>
          <w:color w:val="auto"/>
        </w:rPr>
        <w:t>the payment of consulting, advisory and other fees (including transaction fees), indemnities and expenses (plus any unpaid consulting, advisory and other fees (including transaction fees), indemnities and expenses thereunder accrued in any prior year);</w:t>
      </w:r>
    </w:p>
    <w:p>
      <w:pPr>
        <w:spacing w:after="0" w:line="146" w:lineRule="exact"/>
        <w:rPr>
          <w:rFonts w:ascii="Arial" w:cs="Arial" w:eastAsia="Arial" w:hAnsi="Arial"/>
          <w:sz w:val="17"/>
          <w:szCs w:val="17"/>
          <w:color w:val="010000"/>
        </w:rPr>
      </w:pPr>
    </w:p>
    <w:p>
      <w:pPr>
        <w:ind w:left="-460" w:firstLine="903"/>
        <w:spacing w:after="0" w:line="246" w:lineRule="auto"/>
        <w:tabs>
          <w:tab w:leader="none" w:pos="1010"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Affiliate repurchases of the Loans and/or Commitments to the extent permitted hereunder, and the holding of such Loans and the payments and other related transactions in respect thereof;</w:t>
      </w:r>
    </w:p>
    <w:p>
      <w:pPr>
        <w:spacing w:after="0" w:line="156" w:lineRule="exact"/>
        <w:rPr>
          <w:rFonts w:ascii="Arial" w:cs="Arial" w:eastAsia="Arial" w:hAnsi="Arial"/>
          <w:sz w:val="18"/>
          <w:szCs w:val="18"/>
          <w:color w:val="010000"/>
        </w:rPr>
      </w:pPr>
    </w:p>
    <w:p>
      <w:pPr>
        <w:ind w:left="980" w:hanging="537"/>
        <w:spacing w:after="0"/>
        <w:tabs>
          <w:tab w:leader="none" w:pos="980"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transactions in connection with any Permitted Receivables Financing;</w:t>
      </w:r>
    </w:p>
    <w:p>
      <w:pPr>
        <w:spacing w:after="0" w:line="184" w:lineRule="exact"/>
        <w:rPr>
          <w:rFonts w:ascii="Arial" w:cs="Arial" w:eastAsia="Arial" w:hAnsi="Arial"/>
          <w:sz w:val="18"/>
          <w:szCs w:val="18"/>
          <w:color w:val="010000"/>
        </w:rPr>
      </w:pPr>
    </w:p>
    <w:p>
      <w:pPr>
        <w:jc w:val="both"/>
        <w:ind w:left="-460" w:firstLine="903"/>
        <w:spacing w:after="0" w:line="222" w:lineRule="auto"/>
        <w:tabs>
          <w:tab w:leader="none" w:pos="1036"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transactions with any Similar Business otherwise permitted under this Agreement, loans, advances and other transactions between or among Holdings, the Borrower, any Restricted Subsidiary or any joint venture (regardless of the form of legal entity) after the initial formation of, and investment in, such joint venture in which the Borrower or any Subsidiary has invested (and which Subsidiary or joint venture would not be an Affiliate of the Borrower but for the Borrower’s or a Subsidiary’s ownership of Equity Interests in such joint venture or Subsidiary) to the extent permitted under 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340"/>
        <w:spacing w:after="0"/>
        <w:rPr>
          <w:sz w:val="20"/>
          <w:szCs w:val="20"/>
          <w:color w:val="auto"/>
        </w:rPr>
      </w:pPr>
      <w:r>
        <w:rPr>
          <w:rFonts w:ascii="Arial" w:cs="Arial" w:eastAsia="Arial" w:hAnsi="Arial"/>
          <w:sz w:val="22"/>
          <w:szCs w:val="22"/>
          <w:u w:val="single" w:color="auto"/>
          <w:color w:val="0000FF"/>
          <w:highlight w:val="lightGray"/>
        </w:rPr>
        <w:t>123</w:t>
      </w:r>
    </w:p>
    <w:p>
      <w:pPr>
        <w:sectPr>
          <w:pgSz w:w="11900" w:h="16838" w:orient="portrait"/>
          <w:cols w:equalWidth="0" w:num="1">
            <w:col w:w="10120"/>
          </w:cols>
          <w:pgMar w:left="1440" w:top="1440" w:right="339" w:bottom="1440" w:gutter="0" w:footer="0" w:header="0"/>
        </w:sectPr>
      </w:pPr>
    </w:p>
    <w:bookmarkStart w:id="181" w:name="page182"/>
    <w:bookmarkEnd w:id="181"/>
    <w:p>
      <w:pPr>
        <w:spacing w:after="0" w:line="63" w:lineRule="exact"/>
        <w:rPr>
          <w:sz w:val="20"/>
          <w:szCs w:val="20"/>
          <w:color w:val="auto"/>
        </w:rPr>
      </w:pPr>
    </w:p>
    <w:p>
      <w:pPr>
        <w:jc w:val="both"/>
        <w:ind w:left="660" w:firstLine="903"/>
        <w:spacing w:after="0" w:line="219" w:lineRule="auto"/>
        <w:tabs>
          <w:tab w:leader="none" w:pos="2112" w:val="left"/>
        </w:tabs>
        <w:numPr>
          <w:ilvl w:val="0"/>
          <w:numId w:val="199"/>
        </w:numPr>
        <w:rPr>
          <w:rFonts w:ascii="Arial" w:cs="Arial" w:eastAsia="Arial" w:hAnsi="Arial"/>
          <w:sz w:val="18"/>
          <w:szCs w:val="18"/>
          <w:color w:val="010000"/>
        </w:rPr>
      </w:pPr>
      <w:r>
        <w:rPr>
          <w:rFonts w:ascii="Arial" w:cs="Arial" w:eastAsia="Arial" w:hAnsi="Arial"/>
          <w:sz w:val="18"/>
          <w:szCs w:val="18"/>
          <w:color w:val="auto"/>
        </w:rPr>
        <w:t xml:space="preserve">the existence and performance of agreements and transactions with any Unrestricted Subsidiary that were entered into prior to the designation of a Restricted 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transaction was not entered into in contemplation of such designation or redesignation, as applicable;</w:t>
      </w:r>
    </w:p>
    <w:p>
      <w:pPr>
        <w:spacing w:after="0" w:line="162" w:lineRule="exact"/>
        <w:rPr>
          <w:rFonts w:ascii="Arial" w:cs="Arial" w:eastAsia="Arial" w:hAnsi="Arial"/>
          <w:sz w:val="18"/>
          <w:szCs w:val="18"/>
          <w:color w:val="010000"/>
        </w:rPr>
      </w:pPr>
    </w:p>
    <w:p>
      <w:pPr>
        <w:ind w:left="2140" w:hanging="577"/>
        <w:spacing w:after="0"/>
        <w:tabs>
          <w:tab w:leader="none" w:pos="2140" w:val="left"/>
        </w:tabs>
        <w:numPr>
          <w:ilvl w:val="0"/>
          <w:numId w:val="199"/>
        </w:numPr>
        <w:rPr>
          <w:rFonts w:ascii="Arial" w:cs="Arial" w:eastAsia="Arial" w:hAnsi="Arial"/>
          <w:sz w:val="18"/>
          <w:szCs w:val="18"/>
          <w:color w:val="010000"/>
        </w:rPr>
      </w:pPr>
      <w:r>
        <w:rPr>
          <w:rFonts w:ascii="Arial" w:cs="Arial" w:eastAsia="Arial" w:hAnsi="Arial"/>
          <w:sz w:val="18"/>
          <w:szCs w:val="18"/>
          <w:color w:val="auto"/>
        </w:rPr>
        <w:t>transactions undertaken pursuant to membership in a purchasing consortium; and</w:t>
      </w:r>
    </w:p>
    <w:p>
      <w:pPr>
        <w:spacing w:after="0" w:line="198" w:lineRule="exact"/>
        <w:rPr>
          <w:rFonts w:ascii="Arial" w:cs="Arial" w:eastAsia="Arial" w:hAnsi="Arial"/>
          <w:sz w:val="18"/>
          <w:szCs w:val="18"/>
          <w:color w:val="010000"/>
        </w:rPr>
      </w:pPr>
    </w:p>
    <w:p>
      <w:pPr>
        <w:jc w:val="both"/>
        <w:ind w:left="660" w:firstLine="903"/>
        <w:spacing w:after="0" w:line="224" w:lineRule="auto"/>
        <w:tabs>
          <w:tab w:leader="none" w:pos="2322" w:val="left"/>
        </w:tabs>
        <w:numPr>
          <w:ilvl w:val="0"/>
          <w:numId w:val="199"/>
        </w:numPr>
        <w:rPr>
          <w:rFonts w:ascii="Arial" w:cs="Arial" w:eastAsia="Arial" w:hAnsi="Arial"/>
          <w:sz w:val="18"/>
          <w:szCs w:val="18"/>
          <w:color w:val="010000"/>
        </w:rPr>
      </w:pPr>
      <w:r>
        <w:rPr>
          <w:rFonts w:ascii="Arial" w:cs="Arial" w:eastAsia="Arial" w:hAnsi="Arial"/>
          <w:sz w:val="18"/>
          <w:szCs w:val="18"/>
          <w:color w:val="auto"/>
        </w:rPr>
        <w:t>the payment of fees and expenses to an Affiliate pursuant to any services agreement for the engagement of the chief executive officer, the chief financial officer or other member of management of Parent, Holdings, the Borrower and their Subsidiaries (or any parent thereof).</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SECTION 6.10 Financial Covenant. Solely with respect to the Revolving Credit Facility, if on the last day of any Test Period, beginning with the Test Period ending December 31, 2021, the aggregate principal amount of Revolving Loans then outstanding (excluding, for the avoidance of doubt, Letters of Credit whether drawn or not,) exceeds 35.0% (the “</w:t>
      </w:r>
      <w:r>
        <w:rPr>
          <w:rFonts w:ascii="Arial" w:cs="Arial" w:eastAsia="Arial" w:hAnsi="Arial"/>
          <w:sz w:val="16"/>
          <w:szCs w:val="16"/>
          <w:u w:val="single" w:color="auto"/>
          <w:color w:val="auto"/>
        </w:rPr>
        <w:t>Testing Threshold</w:t>
      </w:r>
      <w:r>
        <w:rPr>
          <w:rFonts w:ascii="Arial" w:cs="Arial" w:eastAsia="Arial" w:hAnsi="Arial"/>
          <w:sz w:val="16"/>
          <w:szCs w:val="16"/>
          <w:color w:val="auto"/>
        </w:rPr>
        <w:t>”) of the aggregate principal amount of Revolving Commitments then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-230505</wp:posOffset>
            </wp:positionV>
            <wp:extent cx="10064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jc w:val="both"/>
        <w:spacing w:after="0" w:line="226" w:lineRule="auto"/>
        <w:rPr>
          <w:sz w:val="20"/>
          <w:szCs w:val="20"/>
          <w:color w:val="auto"/>
        </w:rPr>
      </w:pPr>
      <w:r>
        <w:rPr>
          <w:rFonts w:ascii="Arial" w:cs="Arial" w:eastAsia="Arial" w:hAnsi="Arial"/>
          <w:sz w:val="18"/>
          <w:szCs w:val="18"/>
          <w:color w:val="auto"/>
        </w:rPr>
        <w:t>effect (after giving effect to any Additional/Replacement Revolving Commitments or Incremental Revolving Commitment Increase), the Borrower will not permit the First Lien Leverage Ratio to exceed 7.50 to 1.00 as of the last day of such Test Period.</w:t>
      </w:r>
    </w:p>
    <w:p>
      <w:pPr>
        <w:spacing w:after="0" w:line="16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010000"/>
        </w:rPr>
        <w:t>ARTICLE VII</w:t>
      </w:r>
    </w:p>
    <w:p>
      <w:pPr>
        <w:spacing w:after="0" w:line="15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EVENTS OF DEFAULT</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color w:val="auto"/>
        </w:rPr>
        <w:t>Events of Default. If any of the following events (any such event, an “</w:t>
      </w:r>
      <w:r>
        <w:rPr>
          <w:rFonts w:ascii="Arial" w:cs="Arial" w:eastAsia="Arial" w:hAnsi="Arial"/>
          <w:sz w:val="16"/>
          <w:szCs w:val="16"/>
          <w:u w:val="single" w:color="auto"/>
          <w:color w:val="auto"/>
        </w:rPr>
        <w:t>Event of Default</w:t>
      </w:r>
      <w:r>
        <w:rPr>
          <w:rFonts w:ascii="Arial" w:cs="Arial" w:eastAsia="Arial" w:hAnsi="Arial"/>
          <w:sz w:val="16"/>
          <w:szCs w:val="16"/>
          <w:color w:val="auto"/>
        </w:rPr>
        <w:t>”) shall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9201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178" w:lineRule="exact"/>
        <w:rPr>
          <w:sz w:val="20"/>
          <w:szCs w:val="20"/>
          <w:color w:val="auto"/>
        </w:rPr>
      </w:pPr>
    </w:p>
    <w:p>
      <w:pPr>
        <w:ind w:left="660" w:firstLine="644"/>
        <w:spacing w:after="0" w:line="235" w:lineRule="auto"/>
        <w:tabs>
          <w:tab w:leader="none" w:pos="170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Loan Party shall fail to pay any principal of any Loan when and as the same shall become due and payable and in the currency required hereunder, whether at the due date thereof or at a date fixed for prepayment thereof or otherwise;</w:t>
      </w:r>
    </w:p>
    <w:p>
      <w:pPr>
        <w:spacing w:after="0" w:line="161" w:lineRule="exact"/>
        <w:rPr>
          <w:rFonts w:ascii="Arial" w:cs="Arial" w:eastAsia="Arial" w:hAnsi="Arial"/>
          <w:sz w:val="18"/>
          <w:szCs w:val="18"/>
          <w:color w:val="auto"/>
        </w:rPr>
      </w:pPr>
    </w:p>
    <w:p>
      <w:pPr>
        <w:jc w:val="both"/>
        <w:ind w:left="660" w:firstLine="644"/>
        <w:spacing w:after="0" w:line="245" w:lineRule="auto"/>
        <w:tabs>
          <w:tab w:leader="none" w:pos="1739"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any Loan Party shall fail to pay any interest on any Loan, or any reimbursement obligation in respect of any LC Disbursement or any fee or any other amount (other than an amount referred to in paragraph (a) of this Section) payable under any Loan Document, when and as the same shall become due and payable, and such failure shall continue unremedied for a period of five (5) Business Days;</w:t>
      </w:r>
    </w:p>
    <w:p>
      <w:pPr>
        <w:spacing w:after="0" w:line="157" w:lineRule="exact"/>
        <w:rPr>
          <w:rFonts w:ascii="Arial" w:cs="Arial" w:eastAsia="Arial" w:hAnsi="Arial"/>
          <w:sz w:val="17"/>
          <w:szCs w:val="17"/>
          <w:color w:val="auto"/>
        </w:rPr>
      </w:pPr>
    </w:p>
    <w:p>
      <w:pPr>
        <w:jc w:val="both"/>
        <w:ind w:left="660" w:firstLine="644"/>
        <w:spacing w:after="0" w:line="219" w:lineRule="auto"/>
        <w:tabs>
          <w:tab w:leader="none" w:pos="183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Holdings, the Borrower or any of the Restricted Subsidiaries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 and such incorrect representation or warranty (if curable, including by a restatement of any relevant financial statements) shall remain incorrect for a period of 30 days after notice thereof from the Administrative Agent to the Borrower;</w:t>
      </w:r>
    </w:p>
    <w:p>
      <w:pPr>
        <w:spacing w:after="0" w:line="162" w:lineRule="exact"/>
        <w:rPr>
          <w:rFonts w:ascii="Arial" w:cs="Arial" w:eastAsia="Arial" w:hAnsi="Arial"/>
          <w:sz w:val="18"/>
          <w:szCs w:val="18"/>
          <w:color w:val="auto"/>
        </w:rPr>
      </w:pPr>
    </w:p>
    <w:p>
      <w:pPr>
        <w:jc w:val="both"/>
        <w:ind w:left="660" w:firstLine="644"/>
        <w:spacing w:after="0" w:line="242" w:lineRule="auto"/>
        <w:tabs>
          <w:tab w:leader="none" w:pos="1723"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Holdings, the Borrower or any of the Restricted Subsidiaries shall fail to observe or perform any covenant, condition or agreement contained in </w:t>
      </w:r>
      <w:r>
        <w:rPr>
          <w:rFonts w:ascii="Arial" w:cs="Arial" w:eastAsia="Arial" w:hAnsi="Arial"/>
          <w:sz w:val="16"/>
          <w:szCs w:val="16"/>
          <w:u w:val="single" w:color="auto"/>
          <w:color w:val="auto"/>
        </w:rPr>
        <w:t>Sections 5.02(a)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5.04</w:t>
      </w:r>
      <w:r>
        <w:rPr>
          <w:rFonts w:ascii="Arial" w:cs="Arial" w:eastAsia="Arial" w:hAnsi="Arial"/>
          <w:sz w:val="16"/>
          <w:szCs w:val="16"/>
          <w:color w:val="auto"/>
        </w:rPr>
        <w:t xml:space="preserve"> (with respect to the existence of Holdings or the Borrower) or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subsequent delivery of a notice of Default shall cure such Event of Default for failure to provide notice, unless a Responsible Officer of the Borrower had actual knowledge that such Default or Event of Default had occurred and was continuing and reasonably should have known in the course of his or her duties that the failure to provide such notice would constitute an Event of Default;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 any Event of Default under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is subject to cure as provided in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and an Event of Default with respect to such Section shall not occur until the expiration of the 15th Business Day subsequent to the date on which the financial statements with respect to the applicable fiscal quarter (or the fiscal year ended on the last day of such fiscal quarter) are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as applicable and (ii) a default under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shall not constitute an Event of Default with respect to the Term Loans unless and until the Required Revolving Lenders shall have terminated their Revolving Commitments and declared all amounts under the Revolving Loans to be due and payable (such period commencing with a default under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and ending on the date on which the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124</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63" w:lineRule="exact"/>
        <w:rPr>
          <w:sz w:val="20"/>
          <w:szCs w:val="20"/>
          <w:color w:val="auto"/>
        </w:rPr>
      </w:pPr>
    </w:p>
    <w:p>
      <w:pPr>
        <w:ind w:left="4"/>
        <w:spacing w:after="0"/>
        <w:rPr>
          <w:sz w:val="20"/>
          <w:szCs w:val="20"/>
          <w:color w:val="auto"/>
        </w:rPr>
      </w:pPr>
      <w:r>
        <w:rPr>
          <w:rFonts w:ascii="Arial" w:cs="Arial" w:eastAsia="Arial" w:hAnsi="Arial"/>
          <w:sz w:val="18"/>
          <w:szCs w:val="18"/>
          <w:color w:val="auto"/>
        </w:rPr>
        <w:t>Lenders with respect to the Revolving Credit Facility terminate and accelerate the Revolving Loans, the “</w:t>
      </w:r>
      <w:r>
        <w:rPr>
          <w:rFonts w:ascii="Arial" w:cs="Arial" w:eastAsia="Arial" w:hAnsi="Arial"/>
          <w:sz w:val="18"/>
          <w:szCs w:val="18"/>
          <w:u w:val="single" w:color="auto"/>
          <w:color w:val="auto"/>
        </w:rPr>
        <w:t>Standstill Period</w:t>
      </w:r>
      <w:r>
        <w:rPr>
          <w:rFonts w:ascii="Arial" w:cs="Arial" w:eastAsia="Arial" w:hAnsi="Arial"/>
          <w:sz w:val="18"/>
          <w:szCs w:val="18"/>
          <w:color w:val="auto"/>
        </w:rPr>
        <w:t>”);</w:t>
      </w:r>
    </w:p>
    <w:p>
      <w:pPr>
        <w:spacing w:after="0" w:line="185" w:lineRule="exact"/>
        <w:rPr>
          <w:sz w:val="20"/>
          <w:szCs w:val="20"/>
          <w:color w:val="auto"/>
        </w:rPr>
      </w:pPr>
    </w:p>
    <w:p>
      <w:pPr>
        <w:jc w:val="both"/>
        <w:ind w:left="4" w:firstLine="644"/>
        <w:spacing w:after="0" w:line="229" w:lineRule="auto"/>
        <w:tabs>
          <w:tab w:leader="none" w:pos="105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Loan Party shall fail to observe or perform any covenant, condition or agreement contained in any Loan Document (other than those specified in paragraph (a), (b) or (d) of this Section), and such failure shall continue unremedied for a period of 30 days after notice thereof from the Administrative Agent to the Borrower;</w:t>
      </w:r>
    </w:p>
    <w:p>
      <w:pPr>
        <w:spacing w:after="0" w:line="163" w:lineRule="exact"/>
        <w:rPr>
          <w:rFonts w:ascii="Arial" w:cs="Arial" w:eastAsia="Arial" w:hAnsi="Arial"/>
          <w:sz w:val="18"/>
          <w:szCs w:val="18"/>
          <w:color w:val="auto"/>
        </w:rPr>
      </w:pPr>
    </w:p>
    <w:p>
      <w:pPr>
        <w:jc w:val="both"/>
        <w:ind w:left="4" w:firstLine="644"/>
        <w:spacing w:after="0" w:line="232" w:lineRule="auto"/>
        <w:tabs>
          <w:tab w:leader="none" w:pos="1065" w:val="left"/>
        </w:tabs>
        <w:numPr>
          <w:ilvl w:val="1"/>
          <w:numId w:val="201"/>
        </w:numPr>
        <w:rPr>
          <w:rFonts w:ascii="Arial" w:cs="Arial" w:eastAsia="Arial" w:hAnsi="Arial"/>
          <w:sz w:val="17"/>
          <w:szCs w:val="17"/>
          <w:color w:val="auto"/>
        </w:rPr>
      </w:pPr>
      <w:r>
        <w:rPr>
          <w:rFonts w:ascii="Arial" w:cs="Arial" w:eastAsia="Arial" w:hAnsi="Arial"/>
          <w:sz w:val="17"/>
          <w:szCs w:val="17"/>
          <w:color w:val="auto"/>
        </w:rPr>
        <w:t xml:space="preserve">Holdings, the Borrower or any of the Restricted Subsidiaries shall fail to make any payment (whether of principal or interest and regardless of amount) in respect of any Material Indebtedness, when and as the same shall become due and payable (after giving effect to any applicable grace period);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this clause (f) shall not apply to any breach or default that is (I) remedied by Holdings, the Borrower or the applicable Restricted Subsidiary or (II) waived (including in the form of amendment) by the required holders of the applicable item of Indebtedness, in the case of (I) and (II), prior to the acceleration of Loans pursuant to this Section 7.01;</w:t>
      </w:r>
    </w:p>
    <w:p>
      <w:pPr>
        <w:spacing w:after="0" w:line="175" w:lineRule="exact"/>
        <w:rPr>
          <w:rFonts w:ascii="Arial" w:cs="Arial" w:eastAsia="Arial" w:hAnsi="Arial"/>
          <w:sz w:val="17"/>
          <w:szCs w:val="17"/>
          <w:color w:val="auto"/>
        </w:rPr>
      </w:pPr>
    </w:p>
    <w:p>
      <w:pPr>
        <w:jc w:val="both"/>
        <w:ind w:left="4" w:firstLine="644"/>
        <w:spacing w:after="0" w:line="241" w:lineRule="auto"/>
        <w:tabs>
          <w:tab w:leader="none" w:pos="1057" w:val="left"/>
        </w:tabs>
        <w:numPr>
          <w:ilvl w:val="1"/>
          <w:numId w:val="201"/>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termination events or similar events occurring under any Swap Agreement that constitutes Material Indebtedness (it being understood that paragraph (f) of this Section will apply to any failure to make any payment required as a result of any such termination or similar event) or (iii) any breach or default that is (I) remedied by Holdings, the Borrower or the applicable Restricted Subsidiary or (II) waived (including in the form of amendment) by the required holders of the applicable item of Indebtedness, in either case, prior to the acceleration of Loans pursuant to this </w:t>
      </w:r>
      <w:r>
        <w:rPr>
          <w:rFonts w:ascii="Arial" w:cs="Arial" w:eastAsia="Arial" w:hAnsi="Arial"/>
          <w:sz w:val="16"/>
          <w:szCs w:val="16"/>
          <w:u w:val="single" w:color="auto"/>
          <w:color w:val="auto"/>
        </w:rPr>
        <w:t>Article VII</w:t>
      </w:r>
      <w:r>
        <w:rPr>
          <w:rFonts w:ascii="Arial" w:cs="Arial" w:eastAsia="Arial" w:hAnsi="Arial"/>
          <w:sz w:val="16"/>
          <w:szCs w:val="16"/>
          <w:color w:val="auto"/>
        </w:rPr>
        <w:t>;</w:t>
      </w:r>
    </w:p>
    <w:p>
      <w:pPr>
        <w:spacing w:after="0" w:line="163" w:lineRule="exact"/>
        <w:rPr>
          <w:rFonts w:ascii="Arial" w:cs="Arial" w:eastAsia="Arial" w:hAnsi="Arial"/>
          <w:sz w:val="16"/>
          <w:szCs w:val="16"/>
          <w:color w:val="auto"/>
        </w:rPr>
      </w:pPr>
    </w:p>
    <w:p>
      <w:pPr>
        <w:jc w:val="both"/>
        <w:ind w:left="4" w:firstLine="644"/>
        <w:spacing w:after="0" w:line="219" w:lineRule="auto"/>
        <w:tabs>
          <w:tab w:leader="none" w:pos="111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court protection, reorganization or other relief in respect of Holdings, the Borrower or any Significant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Significant Subsidiary or for a material part of its assets, and, in any such case, such proceeding or petition shall continue undismissed or unstayed for 60 days or an order or decree approving or ordering any of the foregoing shall be entered;</w:t>
      </w:r>
    </w:p>
    <w:p>
      <w:pPr>
        <w:spacing w:after="0" w:line="162" w:lineRule="exact"/>
        <w:rPr>
          <w:rFonts w:ascii="Arial" w:cs="Arial" w:eastAsia="Arial" w:hAnsi="Arial"/>
          <w:sz w:val="18"/>
          <w:szCs w:val="18"/>
          <w:color w:val="auto"/>
        </w:rPr>
      </w:pPr>
    </w:p>
    <w:p>
      <w:pPr>
        <w:jc w:val="both"/>
        <w:ind w:left="4" w:firstLine="644"/>
        <w:spacing w:after="0" w:line="248" w:lineRule="auto"/>
        <w:tabs>
          <w:tab w:leader="none" w:pos="1069" w:val="left"/>
        </w:tabs>
        <w:numPr>
          <w:ilvl w:val="1"/>
          <w:numId w:val="201"/>
        </w:numPr>
        <w:rPr>
          <w:rFonts w:ascii="Arial" w:cs="Arial" w:eastAsia="Arial" w:hAnsi="Arial"/>
          <w:sz w:val="16"/>
          <w:szCs w:val="16"/>
          <w:color w:val="auto"/>
        </w:rPr>
      </w:pPr>
      <w:r>
        <w:rPr>
          <w:rFonts w:ascii="Arial" w:cs="Arial" w:eastAsia="Arial" w:hAnsi="Arial"/>
          <w:sz w:val="16"/>
          <w:szCs w:val="16"/>
          <w:color w:val="auto"/>
        </w:rPr>
        <w:t>Holdings, the Borrower or any Significant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Section, (iii) apply for or consent to the appointment of a receiver, trustee, examiner, custodian, sequestrator, conservator or similar official for Holdings, the Borrower or any Significant Subsidiary or for a material part of its assets, (iv) file an answer admitting the material allegations of a petition filed against it in any such proceeding or (v) make a general assignment for the benefit of creditors;</w:t>
      </w:r>
    </w:p>
    <w:p>
      <w:pPr>
        <w:spacing w:after="0" w:line="155" w:lineRule="exact"/>
        <w:rPr>
          <w:rFonts w:ascii="Arial" w:cs="Arial" w:eastAsia="Arial" w:hAnsi="Arial"/>
          <w:sz w:val="16"/>
          <w:szCs w:val="16"/>
          <w:color w:val="auto"/>
        </w:rPr>
      </w:pPr>
    </w:p>
    <w:p>
      <w:pPr>
        <w:ind w:left="1004" w:hanging="356"/>
        <w:spacing w:after="0"/>
        <w:tabs>
          <w:tab w:leader="none" w:pos="1004" w:val="left"/>
        </w:tabs>
        <w:numPr>
          <w:ilvl w:val="1"/>
          <w:numId w:val="201"/>
        </w:numPr>
        <w:rPr>
          <w:rFonts w:ascii="Arial" w:cs="Arial" w:eastAsia="Arial" w:hAnsi="Arial"/>
          <w:sz w:val="16"/>
          <w:szCs w:val="16"/>
          <w:color w:val="auto"/>
        </w:rPr>
      </w:pPr>
      <w:r>
        <w:rPr>
          <w:rFonts w:ascii="Arial" w:cs="Arial" w:eastAsia="Arial" w:hAnsi="Arial"/>
          <w:sz w:val="16"/>
          <w:szCs w:val="16"/>
          <w:color w:val="auto"/>
        </w:rPr>
        <w:t>one or more enforceable judgments for the payment of money in an aggregate amount in excess of the greater of (a) $52,000,000 and</w:t>
      </w:r>
    </w:p>
    <w:p>
      <w:pPr>
        <w:spacing w:after="0" w:line="7" w:lineRule="exact"/>
        <w:rPr>
          <w:rFonts w:ascii="Arial" w:cs="Arial" w:eastAsia="Arial" w:hAnsi="Arial"/>
          <w:sz w:val="16"/>
          <w:szCs w:val="16"/>
          <w:color w:val="auto"/>
        </w:rPr>
      </w:pPr>
    </w:p>
    <w:p>
      <w:pPr>
        <w:ind w:left="264" w:hanging="264"/>
        <w:spacing w:after="0"/>
        <w:tabs>
          <w:tab w:leader="none" w:pos="264" w:val="left"/>
        </w:tabs>
        <w:numPr>
          <w:ilvl w:val="0"/>
          <w:numId w:val="202"/>
        </w:numPr>
        <w:rPr>
          <w:rFonts w:ascii="Arial" w:cs="Arial" w:eastAsia="Arial" w:hAnsi="Arial"/>
          <w:sz w:val="16"/>
          <w:szCs w:val="16"/>
          <w:color w:val="auto"/>
        </w:rPr>
      </w:pPr>
      <w:r>
        <w:rPr>
          <w:rFonts w:ascii="Arial" w:cs="Arial" w:eastAsia="Arial" w:hAnsi="Arial"/>
          <w:sz w:val="16"/>
          <w:szCs w:val="16"/>
          <w:color w:val="auto"/>
        </w:rPr>
        <w:t>40% of Consolidated EBITDA for the most recently ended Test Period as of such time determined on a Pro Forma Basis (to the extent not</w:t>
      </w:r>
    </w:p>
    <w:p>
      <w:pPr>
        <w:spacing w:after="0" w:line="5"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covered by insurance or indemnities as to which the applicable insurance company or third party has not denied its obligation) shall be rendered against Holdings, the Borrower, any of the Restricted Subsidiaries or any combination thereof and the same shall remain undischarged for a period of 60 consecutive days during which execution shall not be effectively stayed, or any judgment creditor shall legally attach or levy upon assets of</w:t>
      </w:r>
    </w:p>
    <w:p>
      <w:pPr>
        <w:spacing w:after="0" w:line="2" w:lineRule="exact"/>
        <w:rPr>
          <w:sz w:val="20"/>
          <w:szCs w:val="20"/>
          <w:color w:val="auto"/>
        </w:rPr>
      </w:pPr>
    </w:p>
    <w:p>
      <w:pPr>
        <w:jc w:val="both"/>
        <w:ind w:left="4"/>
        <w:spacing w:after="0" w:line="226" w:lineRule="auto"/>
        <w:rPr>
          <w:sz w:val="20"/>
          <w:szCs w:val="20"/>
          <w:color w:val="auto"/>
        </w:rPr>
      </w:pPr>
      <w:r>
        <w:rPr>
          <w:rFonts w:ascii="Arial" w:cs="Arial" w:eastAsia="Arial" w:hAnsi="Arial"/>
          <w:sz w:val="18"/>
          <w:szCs w:val="18"/>
          <w:color w:val="auto"/>
        </w:rPr>
        <w:t>such Loan Party that are material to the businesses and operations of Holdings, the Borrower and the Restricted Subsidiaries, taken as a whole, to enforce any such judgment;</w:t>
      </w:r>
    </w:p>
    <w:p>
      <w:pPr>
        <w:spacing w:after="0" w:line="161" w:lineRule="exact"/>
        <w:rPr>
          <w:sz w:val="20"/>
          <w:szCs w:val="20"/>
          <w:color w:val="auto"/>
        </w:rPr>
      </w:pPr>
    </w:p>
    <w:p>
      <w:pPr>
        <w:ind w:left="4" w:firstLine="644"/>
        <w:spacing w:after="0" w:line="246" w:lineRule="auto"/>
        <w:tabs>
          <w:tab w:leader="none" w:pos="106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 an ERISA Event occurs that has resulted or would reasonably be expected to result in liability of any Loan Party under Title IV of ERISA in an aggregate amount that would reasonably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804"/>
        <w:spacing w:after="0"/>
        <w:rPr>
          <w:sz w:val="20"/>
          <w:szCs w:val="20"/>
          <w:color w:val="auto"/>
        </w:rPr>
      </w:pPr>
      <w:r>
        <w:rPr>
          <w:rFonts w:ascii="Arial" w:cs="Arial" w:eastAsia="Arial" w:hAnsi="Arial"/>
          <w:sz w:val="22"/>
          <w:szCs w:val="22"/>
          <w:u w:val="single" w:color="auto"/>
          <w:color w:val="0000FF"/>
          <w:highlight w:val="lightGray"/>
        </w:rPr>
        <w:t>125</w:t>
      </w:r>
    </w:p>
    <w:p>
      <w:pPr>
        <w:sectPr>
          <w:pgSz w:w="11900" w:h="16838" w:orient="portrait"/>
          <w:cols w:equalWidth="0" w:num="1">
            <w:col w:w="10584"/>
          </w:cols>
          <w:pgMar w:left="976" w:top="1440" w:right="339" w:bottom="1440" w:gutter="0" w:footer="0" w:header="0"/>
        </w:sectPr>
      </w:pPr>
    </w:p>
    <w:bookmarkStart w:id="183" w:name="page184"/>
    <w:bookmarkEnd w:id="183"/>
    <w:p>
      <w:pPr>
        <w:spacing w:after="0" w:line="63" w:lineRule="exact"/>
        <w:rPr>
          <w:sz w:val="20"/>
          <w:szCs w:val="20"/>
          <w:color w:val="auto"/>
        </w:rPr>
      </w:pPr>
    </w:p>
    <w:p>
      <w:pPr>
        <w:jc w:val="both"/>
        <w:ind w:left="660"/>
        <w:spacing w:after="0" w:line="241" w:lineRule="auto"/>
        <w:rPr>
          <w:sz w:val="20"/>
          <w:szCs w:val="20"/>
          <w:color w:val="auto"/>
        </w:rPr>
      </w:pPr>
      <w:r>
        <w:rPr>
          <w:rFonts w:ascii="Arial" w:cs="Arial" w:eastAsia="Arial" w:hAnsi="Arial"/>
          <w:sz w:val="16"/>
          <w:szCs w:val="16"/>
          <w:color w:val="auto"/>
        </w:rPr>
        <w:t>expected to result in a Material Adverse Effect, or (ii) any Loan Party or any ERISA Affiliate fails to pay when due, after the expiration of any applicable grace period, any installment payment with respect to its Withdrawal Liability under Section 4201 of ERISA under a Multiemployer Plan that has resulted or would reasonably be expected to result in liability of any Loan Party in an aggregate amount that would reasonably be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to result in a Material Adverse Effect;</w:t>
      </w:r>
    </w:p>
    <w:p>
      <w:pPr>
        <w:spacing w:after="0" w:line="169" w:lineRule="exact"/>
        <w:rPr>
          <w:sz w:val="20"/>
          <w:szCs w:val="20"/>
          <w:color w:val="auto"/>
        </w:rPr>
      </w:pPr>
    </w:p>
    <w:p>
      <w:pPr>
        <w:jc w:val="both"/>
        <w:ind w:left="660" w:firstLine="644"/>
        <w:spacing w:after="0" w:line="215" w:lineRule="auto"/>
        <w:tabs>
          <w:tab w:leader="none" w:pos="169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to the extent unremedied for a period of 10 Business Days (in respect of a default under clause (x) only), any Lien purported to be created under any Security Document (x) shall cease to be, or (y) shall be asserted by any Loan Party not to be, a valid and perfected Lien on any material portion of the Collateral, except (i) as a result of the sale or other disposition of the applicable Collateral to a Person that is not a Loan Party in a transaction permitted under the Loan Documents, (ii) as a result of the Collateral Agent’s failure to (A) maintain possession of any stock certificates, promissory notes or other instruments delivered to it under the Security Documents or (B) file Uniform Commercial Code continuation statements, (iii) as to Collateral consisting of real property, to the extent that such losses are covered by a lender’s title insurance policy and such insurer has not denied coverage or (iv) as a result of acts or omissions of the Collateral Agent, the Administrative Agent or any Lender;</w:t>
      </w:r>
    </w:p>
    <w:p>
      <w:pPr>
        <w:spacing w:after="0" w:line="177" w:lineRule="exact"/>
        <w:rPr>
          <w:rFonts w:ascii="Arial" w:cs="Arial" w:eastAsia="Arial" w:hAnsi="Arial"/>
          <w:sz w:val="18"/>
          <w:szCs w:val="18"/>
          <w:color w:val="auto"/>
        </w:rPr>
      </w:pPr>
    </w:p>
    <w:p>
      <w:pPr>
        <w:jc w:val="both"/>
        <w:ind w:left="660" w:firstLine="644"/>
        <w:spacing w:after="0" w:line="224" w:lineRule="auto"/>
        <w:tabs>
          <w:tab w:leader="none" w:pos="175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material provision of any Loan Document or any Guarantee of the Loan Document Obligations shall for any reason be asserted by any Loan Party not to be a legal, valid and binding obligation of any Loan Party thereto other than as expressly permitted hereunder or thereunder;</w:t>
      </w:r>
    </w:p>
    <w:p>
      <w:pPr>
        <w:spacing w:after="0" w:line="176" w:lineRule="exact"/>
        <w:rPr>
          <w:rFonts w:ascii="Arial" w:cs="Arial" w:eastAsia="Arial" w:hAnsi="Arial"/>
          <w:sz w:val="18"/>
          <w:szCs w:val="18"/>
          <w:color w:val="auto"/>
        </w:rPr>
      </w:pPr>
    </w:p>
    <w:p>
      <w:pPr>
        <w:ind w:left="660" w:firstLine="644"/>
        <w:spacing w:after="0" w:line="289" w:lineRule="auto"/>
        <w:tabs>
          <w:tab w:leader="none" w:pos="1726"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any Guarantees of the Loan Document Obligations by Holdings, the Borrower or Subsidiary Loan Party pursuant to the Guarantee Agreement shall cease to be in full force and effect (in each case, other than in accordance with the terms of the Loan Documents); or</w:t>
      </w:r>
    </w:p>
    <w:p>
      <w:pPr>
        <w:spacing w:after="0" w:line="123" w:lineRule="exact"/>
        <w:rPr>
          <w:rFonts w:ascii="Arial" w:cs="Arial" w:eastAsia="Arial" w:hAnsi="Arial"/>
          <w:sz w:val="16"/>
          <w:szCs w:val="16"/>
          <w:color w:val="auto"/>
        </w:rPr>
      </w:pPr>
    </w:p>
    <w:p>
      <w:pPr>
        <w:ind w:left="1700" w:hanging="396"/>
        <w:spacing w:after="0"/>
        <w:tabs>
          <w:tab w:leader="none" w:pos="17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then, and in every such event (other than an event with respect to the Borrower described in paragraph (h) or (i) of this Article), and at any time thereafter during the continuance of such event, the Administrative Agent may, and at the request of the Required Lenders (or, if an Event of Default resulting from a breach of the Financial Performance Covenant occurs and is continuing and prior to the expiration of the Standstill Period, at the request of the Required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Revolving Lenders only, and in such case only with respect to the Revolving Commitments, Revolving Loans and any Letters of Credit), shall, by notice to the Borrower, take any or all of the following actions, at the same or different times: (i) terminate the applicable Commitments, and thereupon the Commitments shall terminate immediately, (ii) declare the applicable Loans then outstanding to be due and payable in whole (or in part, in which case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and (iii) require backstop arrangements with respect to LC Exposure or the deposit of cash collateral in respect of LC Exposure as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provided in </w:t>
      </w:r>
      <w:r>
        <w:rPr>
          <w:rFonts w:ascii="Arial" w:cs="Arial" w:eastAsia="Arial" w:hAnsi="Arial"/>
          <w:sz w:val="16"/>
          <w:szCs w:val="16"/>
          <w:u w:val="single" w:color="auto"/>
          <w:color w:val="auto"/>
        </w:rPr>
        <w:t>Section 2.05(j)</w:t>
      </w:r>
      <w:r>
        <w:rPr>
          <w:rFonts w:ascii="Arial" w:cs="Arial" w:eastAsia="Arial" w:hAnsi="Arial"/>
          <w:sz w:val="16"/>
          <w:szCs w:val="16"/>
          <w:color w:val="auto"/>
        </w:rPr>
        <w:t>, in each case, without presentment, demand, protest or other notice of any kind, all of which are hereby waived by the Borrower; and in case of any event with respect to the Borrower described in paragraph (h) or (i) of this Article, the Commitments shall automatically terminate and the principal of the Loans then outstanding, together with accrued interest thereon and all fees and other obligations of the Borrower accrued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hereunder, shall automatically become due and payable, without presentment, demand, protest or other notice of any kind, all of which are hereby waived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and the Required Lenders shall not exercise the remedies set forth in clauses (i) through (iii) above with respect to an Event of Default if the initial event, failure or transaction giving rise to such Event of Default has either been publicly announced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or notified to the Administrative Agent and the Lenders in writing in any periodic or special report, including the Compliance Certificates, and two years shall have passed from the date of such announcement or notification without any acceleration or other enforcement action being taken by the Administrative Agent or the requisite Lenders hereunder with respect to such event, failure or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two year limitation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shall not apply if (i) the Administrative Agent has commenced any remedial action in respect of any such Event of Default or (ii) the Borrower or any Guarantor has actual knowledge of such default or event of default and has not notified the Administrative Agent thereof.</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anything in this Agreement to the contrary, each Lender and the Administrative Agent hereby acknowledge and agree that (x) a</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restatement of historical financial statements shall not result in a Default hereunder (whether pursuant to </w:t>
      </w:r>
      <w:r>
        <w:rPr>
          <w:rFonts w:ascii="Arial" w:cs="Arial" w:eastAsia="Arial" w:hAnsi="Arial"/>
          <w:sz w:val="16"/>
          <w:szCs w:val="16"/>
          <w:u w:val="single" w:color="auto"/>
          <w:color w:val="auto"/>
        </w:rPr>
        <w:t>Section 7.01(c)</w:t>
      </w:r>
      <w:r>
        <w:rPr>
          <w:rFonts w:ascii="Arial" w:cs="Arial" w:eastAsia="Arial" w:hAnsi="Arial"/>
          <w:sz w:val="16"/>
          <w:szCs w:val="16"/>
          <w:color w:val="auto"/>
        </w:rPr>
        <w:t xml:space="preserve"> as it relates to a representation made with respect to such financial statements (including any interim unaudited financial statements) or pursuant to </w:t>
      </w:r>
      <w:r>
        <w:rPr>
          <w:rFonts w:ascii="Arial" w:cs="Arial" w:eastAsia="Arial" w:hAnsi="Arial"/>
          <w:sz w:val="16"/>
          <w:szCs w:val="16"/>
          <w:u w:val="single" w:color="auto"/>
          <w:color w:val="auto"/>
        </w:rPr>
        <w:t>Section 7.01(d)</w:t>
      </w:r>
      <w:r>
        <w:rPr>
          <w:rFonts w:ascii="Arial" w:cs="Arial" w:eastAsia="Arial" w:hAnsi="Arial"/>
          <w:sz w:val="16"/>
          <w:szCs w:val="16"/>
          <w:color w:val="auto"/>
        </w:rPr>
        <w:t xml:space="preserve"> as it relates to delivery requirements for financial statements pursuant to </w:t>
      </w:r>
      <w:r>
        <w:rPr>
          <w:rFonts w:ascii="Arial" w:cs="Arial" w:eastAsia="Arial" w:hAnsi="Arial"/>
          <w:sz w:val="16"/>
          <w:szCs w:val="16"/>
          <w:u w:val="single" w:color="auto"/>
          <w:color w:val="auto"/>
        </w:rPr>
        <w:t>Section 5.01</w:t>
      </w:r>
      <w:r>
        <w:rPr>
          <w:rFonts w:ascii="Arial" w:cs="Arial" w:eastAsia="Arial" w:hAnsi="Arial"/>
          <w:sz w:val="16"/>
          <w:szCs w:val="16"/>
          <w:color w:val="auto"/>
        </w:rPr>
        <w:t>) to the extent that such restatement does not reveal any material adverse difference in the</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financial condition, results of operations or cash flows of the Borrower and its Restricted Subsidiaries in the previously reported information from actual results reflected in such restatement for any relevant prior period and (y) no Event of Default or breach of any representation or warranty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126</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any covenant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shall constitute a Default or Event of Default if such Event of Default or breach of such representation or warranty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such covenant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would not have occurred but for a fluctuation (or other adverse change) in currency exchange rates.</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Notwithstanding anything to the contrary in this Agreement, with respect to any Default or Event of Default, the words “exists,” “is continuing” or similar expressions with respect thereto shall mean that the Default or Event of Default has occurred and has not yet been cured or waived. If any Default or Event of Default occurs due to (i) the failure by any Loan Party to take any action by a specified time, such Default or Event of Default shall be deemed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to have been cured at the time, if any, that the applicable Loan Party takes such action or (ii) the taking of any action by any Loan Party that is not then permitted by the terms of this Agreement or any other Loan Document, such Default or Event of Default shall be deemed to be cured on the earlier to occur of (x) the date on which such action would be permitted at such time to be taken under this Agreement and the other Loan Documents and (y) the date 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which such action is unwound or otherwise modified to the extent necessary for such revised action to be permitted at such time by this Agreement and the other Loan Documents. If any Default or Event of Default occurs that is subsequently cured (a “</w:t>
      </w:r>
      <w:r>
        <w:rPr>
          <w:rFonts w:ascii="Arial" w:cs="Arial" w:eastAsia="Arial" w:hAnsi="Arial"/>
          <w:sz w:val="16"/>
          <w:szCs w:val="16"/>
          <w:u w:val="single" w:color="auto"/>
          <w:color w:val="auto"/>
        </w:rPr>
        <w:t>Cured Default</w:t>
      </w:r>
      <w:r>
        <w:rPr>
          <w:rFonts w:ascii="Arial" w:cs="Arial" w:eastAsia="Arial" w:hAnsi="Arial"/>
          <w:sz w:val="16"/>
          <w:szCs w:val="16"/>
          <w:color w:val="auto"/>
        </w:rPr>
        <w:t>”), any other Default or Event of Default resulting from the making or deemed making of any representation or warranty by any Loan Party or the taking of any action by any Loan Party or any</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Subsidiary of any Loan Party, in each case which subsequent Default or Event of Default would not have arisen had the Cured Default not occurred, shall be deemed to be cured automatically upon, and simultaneous with, the cure of the Cured Default. Notwithstanding anything to the contrary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w:t>
      </w:r>
      <w:r>
        <w:rPr>
          <w:rFonts w:ascii="Arial" w:cs="Arial" w:eastAsia="Arial" w:hAnsi="Arial"/>
          <w:sz w:val="18"/>
          <w:szCs w:val="18"/>
          <w:color w:val="auto"/>
        </w:rPr>
        <w:t>, an Event of Default (the “</w:t>
      </w:r>
      <w:r>
        <w:rPr>
          <w:rFonts w:ascii="Arial" w:cs="Arial" w:eastAsia="Arial" w:hAnsi="Arial"/>
          <w:sz w:val="18"/>
          <w:szCs w:val="18"/>
          <w:u w:val="single" w:color="auto"/>
          <w:color w:val="auto"/>
        </w:rPr>
        <w:t>Initial Default</w:t>
      </w:r>
      <w:r>
        <w:rPr>
          <w:rFonts w:ascii="Arial" w:cs="Arial" w:eastAsia="Arial" w:hAnsi="Arial"/>
          <w:sz w:val="18"/>
          <w:szCs w:val="18"/>
          <w:color w:val="auto"/>
        </w:rPr>
        <w:t xml:space="preserve">”) may not be cured pursuant to this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76" w:lineRule="exact"/>
        <w:rPr>
          <w:sz w:val="20"/>
          <w:szCs w:val="20"/>
          <w:color w:val="auto"/>
        </w:rPr>
      </w:pPr>
    </w:p>
    <w:p>
      <w:pPr>
        <w:jc w:val="both"/>
        <w:ind w:left="660" w:firstLine="1292"/>
        <w:spacing w:after="0" w:line="224" w:lineRule="auto"/>
        <w:tabs>
          <w:tab w:leader="none" w:pos="2332" w:val="left"/>
        </w:tabs>
        <w:numPr>
          <w:ilvl w:val="0"/>
          <w:numId w:val="205"/>
        </w:numPr>
        <w:rPr>
          <w:rFonts w:ascii="Arial" w:cs="Arial" w:eastAsia="Arial" w:hAnsi="Arial"/>
          <w:sz w:val="18"/>
          <w:szCs w:val="18"/>
          <w:color w:val="010000"/>
        </w:rPr>
      </w:pPr>
      <w:r>
        <w:rPr>
          <w:rFonts w:ascii="Arial" w:cs="Arial" w:eastAsia="Arial" w:hAnsi="Arial"/>
          <w:sz w:val="18"/>
          <w:szCs w:val="18"/>
          <w:color w:val="auto"/>
        </w:rPr>
        <w:t>if the taking of any action by any Loan Party or Subsidiary of a Loan Party that is not permitted during, and as a result of, the continuance of such Initial Default directly results in the cure of such Initial Default and the applicable Loan Party or Subsidiary had actual knowledge at the time of taking any such action that the Initial Default had occurred and was continuing;</w:t>
      </w:r>
    </w:p>
    <w:p>
      <w:pPr>
        <w:spacing w:after="0" w:line="176" w:lineRule="exact"/>
        <w:rPr>
          <w:rFonts w:ascii="Arial" w:cs="Arial" w:eastAsia="Arial" w:hAnsi="Arial"/>
          <w:sz w:val="18"/>
          <w:szCs w:val="18"/>
          <w:color w:val="010000"/>
        </w:rPr>
      </w:pPr>
    </w:p>
    <w:p>
      <w:pPr>
        <w:ind w:left="660" w:firstLine="1292"/>
        <w:spacing w:after="0" w:line="258" w:lineRule="auto"/>
        <w:tabs>
          <w:tab w:leader="none" w:pos="2436" w:val="left"/>
        </w:tabs>
        <w:numPr>
          <w:ilvl w:val="0"/>
          <w:numId w:val="205"/>
        </w:numPr>
        <w:rPr>
          <w:rFonts w:ascii="Arial" w:cs="Arial" w:eastAsia="Arial" w:hAnsi="Arial"/>
          <w:sz w:val="17"/>
          <w:szCs w:val="17"/>
          <w:color w:val="010000"/>
        </w:rPr>
      </w:pPr>
      <w:r>
        <w:rPr>
          <w:rFonts w:ascii="Arial" w:cs="Arial" w:eastAsia="Arial" w:hAnsi="Arial"/>
          <w:sz w:val="17"/>
          <w:szCs w:val="17"/>
          <w:color w:val="auto"/>
        </w:rPr>
        <w:t xml:space="preserve">in the case of an Event of Default under </w:t>
      </w:r>
      <w:r>
        <w:rPr>
          <w:rFonts w:ascii="Arial" w:cs="Arial" w:eastAsia="Arial" w:hAnsi="Arial"/>
          <w:sz w:val="17"/>
          <w:szCs w:val="17"/>
          <w:u w:val="single" w:color="auto"/>
          <w:color w:val="auto"/>
        </w:rPr>
        <w:t>Section 7.01(m)</w:t>
      </w:r>
      <w:r>
        <w:rPr>
          <w:rFonts w:ascii="Arial" w:cs="Arial" w:eastAsia="Arial" w:hAnsi="Arial"/>
          <w:sz w:val="17"/>
          <w:szCs w:val="17"/>
          <w:color w:val="auto"/>
        </w:rPr>
        <w:t xml:space="preserve"> that directly results in material impairment of the rights and remedies of the Lenders, Collateral Agent and Administrative Agent under the Loan Documents and that is incapable of being cured;</w:t>
      </w:r>
    </w:p>
    <w:p>
      <w:pPr>
        <w:spacing w:after="0" w:line="146" w:lineRule="exact"/>
        <w:rPr>
          <w:rFonts w:ascii="Arial" w:cs="Arial" w:eastAsia="Arial" w:hAnsi="Arial"/>
          <w:sz w:val="17"/>
          <w:szCs w:val="17"/>
          <w:color w:val="010000"/>
        </w:rPr>
      </w:pPr>
    </w:p>
    <w:p>
      <w:pPr>
        <w:jc w:val="both"/>
        <w:ind w:left="660" w:firstLine="1292"/>
        <w:spacing w:after="0" w:line="245" w:lineRule="auto"/>
        <w:tabs>
          <w:tab w:leader="none" w:pos="2430" w:val="left"/>
        </w:tabs>
        <w:numPr>
          <w:ilvl w:val="0"/>
          <w:numId w:val="205"/>
        </w:numPr>
        <w:rPr>
          <w:rFonts w:ascii="Arial" w:cs="Arial" w:eastAsia="Arial" w:hAnsi="Arial"/>
          <w:sz w:val="17"/>
          <w:szCs w:val="17"/>
          <w:color w:val="010000"/>
        </w:rPr>
      </w:pPr>
      <w:r>
        <w:rPr>
          <w:rFonts w:ascii="Arial" w:cs="Arial" w:eastAsia="Arial" w:hAnsi="Arial"/>
          <w:sz w:val="17"/>
          <w:szCs w:val="17"/>
          <w:color w:val="auto"/>
        </w:rPr>
        <w:t xml:space="preserve">in the case of an Event of Default under </w:t>
      </w:r>
      <w:r>
        <w:rPr>
          <w:rFonts w:ascii="Arial" w:cs="Arial" w:eastAsia="Arial" w:hAnsi="Arial"/>
          <w:sz w:val="17"/>
          <w:szCs w:val="17"/>
          <w:u w:val="single" w:color="auto"/>
          <w:color w:val="auto"/>
        </w:rPr>
        <w:t>Section 7.01(e)</w:t>
      </w:r>
      <w:r>
        <w:rPr>
          <w:rFonts w:ascii="Arial" w:cs="Arial" w:eastAsia="Arial" w:hAnsi="Arial"/>
          <w:sz w:val="17"/>
          <w:szCs w:val="17"/>
          <w:color w:val="auto"/>
        </w:rPr>
        <w:t xml:space="preserve"> arising due to the failure to perform or observe Section 5.07 that directly results in a material adverse effect on the ability of the Borrower and the other Loan Parties (taken as a whole) to perform their respective payment obligations under any Loan Document to which the Borrower or any of the other Loan Parties is a party; or</w:t>
      </w:r>
    </w:p>
    <w:p>
      <w:pPr>
        <w:spacing w:after="0" w:line="157" w:lineRule="exact"/>
        <w:rPr>
          <w:rFonts w:ascii="Arial" w:cs="Arial" w:eastAsia="Arial" w:hAnsi="Arial"/>
          <w:sz w:val="17"/>
          <w:szCs w:val="17"/>
          <w:color w:val="010000"/>
        </w:rPr>
      </w:pPr>
    </w:p>
    <w:p>
      <w:pPr>
        <w:jc w:val="both"/>
        <w:ind w:left="660" w:firstLine="1292"/>
        <w:spacing w:after="0" w:line="223" w:lineRule="auto"/>
        <w:tabs>
          <w:tab w:leader="none" w:pos="2488" w:val="left"/>
        </w:tabs>
        <w:numPr>
          <w:ilvl w:val="0"/>
          <w:numId w:val="205"/>
        </w:numPr>
        <w:rPr>
          <w:rFonts w:ascii="Arial" w:cs="Arial" w:eastAsia="Arial" w:hAnsi="Arial"/>
          <w:sz w:val="18"/>
          <w:szCs w:val="18"/>
          <w:color w:val="010000"/>
        </w:rPr>
      </w:pPr>
      <w:r>
        <w:rPr>
          <w:rFonts w:ascii="Arial" w:cs="Arial" w:eastAsia="Arial" w:hAnsi="Arial"/>
          <w:sz w:val="18"/>
          <w:szCs w:val="18"/>
          <w:color w:val="auto"/>
        </w:rPr>
        <w:t>in the case of an Initial Default for which (i) the Borrower failed to give notice to the Administrative Agent and the Lenders of such Initial Default in accordance with Section 5.02(a) of this Agreement and (ii) the Borrower had actual knowledge of such failure to give such notice and reasonably should have known in the course of his or her duties that the failure to provide such notice would constitute an Event of Default.</w:t>
      </w:r>
    </w:p>
    <w:p>
      <w:pPr>
        <w:spacing w:after="0" w:line="17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 xml:space="preserve">Notwithstanding anything herein to the contrary, the cure provisions in the immediately preceding paragraph do not apply to any Event of Default arising from the failure to perform or observe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(which instead is governed by </w:t>
      </w:r>
      <w:r>
        <w:rPr>
          <w:rFonts w:ascii="Arial" w:cs="Arial" w:eastAsia="Arial" w:hAnsi="Arial"/>
          <w:sz w:val="18"/>
          <w:szCs w:val="18"/>
          <w:u w:val="single" w:color="auto"/>
          <w:color w:val="auto"/>
        </w:rPr>
        <w:t>Section 7.01(d)</w:t>
      </w:r>
      <w:r>
        <w:rPr>
          <w:rFonts w:ascii="Arial" w:cs="Arial" w:eastAsia="Arial" w:hAnsi="Arial"/>
          <w:sz w:val="18"/>
          <w:szCs w:val="18"/>
          <w:color w:val="auto"/>
        </w:rPr>
        <w:t xml:space="preserve"> ).</w:t>
      </w:r>
    </w:p>
    <w:p>
      <w:pPr>
        <w:spacing w:after="0" w:line="187"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7"/>
          <w:szCs w:val="17"/>
          <w:color w:val="auto"/>
        </w:rPr>
        <w:t xml:space="preserve">Right to Cure. Notwithstanding anything to the contrary contained in </w:t>
      </w:r>
      <w:r>
        <w:rPr>
          <w:rFonts w:ascii="Arial" w:cs="Arial" w:eastAsia="Arial" w:hAnsi="Arial"/>
          <w:sz w:val="17"/>
          <w:szCs w:val="17"/>
          <w:u w:val="single" w:color="auto"/>
          <w:color w:val="auto"/>
        </w:rPr>
        <w:t>Section 7.01</w:t>
      </w:r>
      <w:r>
        <w:rPr>
          <w:rFonts w:ascii="Arial" w:cs="Arial" w:eastAsia="Arial" w:hAnsi="Arial"/>
          <w:sz w:val="17"/>
          <w:szCs w:val="17"/>
          <w:color w:val="auto"/>
        </w:rPr>
        <w:t>, in the event that the Borrower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-8890</wp:posOffset>
            </wp:positionV>
            <wp:extent cx="8331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833120" cy="8255"/>
                    </a:xfrm>
                    <a:prstGeom prst="rect">
                      <a:avLst/>
                    </a:prstGeom>
                    <a:noFill/>
                  </pic:spPr>
                </pic:pic>
              </a:graphicData>
            </a:graphic>
          </wp:anchor>
        </w:drawing>
      </w:r>
    </w:p>
    <w:p>
      <w:pPr>
        <w:jc w:val="both"/>
        <w:spacing w:after="0" w:line="216" w:lineRule="auto"/>
        <w:rPr>
          <w:sz w:val="20"/>
          <w:szCs w:val="20"/>
          <w:color w:val="auto"/>
        </w:rPr>
      </w:pPr>
      <w:r>
        <w:rPr>
          <w:rFonts w:ascii="Arial" w:cs="Arial" w:eastAsia="Arial" w:hAnsi="Arial"/>
          <w:sz w:val="16"/>
          <w:szCs w:val="16"/>
          <w:color w:val="auto"/>
        </w:rPr>
        <w:t>Restricted Subsidiaries fail to comply with the requirements of the Financial Performance Covenant as of the last day of any fiscal quarter of the Borrower, at any time after the beginning of such fiscal quarter until the expiration of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following the date on which the financial statements with respect to such fiscal quarter (or the fiscal year ended on the last day of such fiscal quarter) are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u w:val="single" w:color="auto"/>
          <w:color w:val="auto"/>
        </w:rPr>
        <w:t>Section 5.01(b)</w:t>
      </w:r>
      <w:r>
        <w:rPr>
          <w:rFonts w:ascii="Arial" w:cs="Arial" w:eastAsia="Arial" w:hAnsi="Arial"/>
          <w:sz w:val="16"/>
          <w:szCs w:val="16"/>
          <w:color w:val="auto"/>
        </w:rPr>
        <w:t>, as applicable, Holdings or any Parent Entity shall have the right to issue Equity Interests for cash or otherwise receive cash contributions to the capital of Holdings or any Parent Entity as cash common equity or other Equity Interests in a form reasonably acceptable to the Administrative Agent (which Holdings or such Parent Entity shall contribute through its Subsidiaries of which the Borrower is a Subsidiary to the Borrower as cash common</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equity) (collectively, the “</w:t>
      </w:r>
      <w:r>
        <w:rPr>
          <w:rFonts w:ascii="Arial" w:cs="Arial" w:eastAsia="Arial" w:hAnsi="Arial"/>
          <w:sz w:val="18"/>
          <w:szCs w:val="18"/>
          <w:u w:val="single" w:color="auto"/>
          <w:color w:val="auto"/>
        </w:rPr>
        <w:t>Cure Right</w:t>
      </w:r>
      <w:r>
        <w:rPr>
          <w:rFonts w:ascii="Arial" w:cs="Arial" w:eastAsia="Arial" w:hAnsi="Arial"/>
          <w:sz w:val="18"/>
          <w:szCs w:val="18"/>
          <w:color w:val="auto"/>
        </w:rPr>
        <w:t>”), and upon the receipt by the Borrower of the Net Proceeds of such issuance that are Not Otherwise Applied (the “</w:t>
      </w:r>
      <w:r>
        <w:rPr>
          <w:rFonts w:ascii="Arial" w:cs="Arial" w:eastAsia="Arial" w:hAnsi="Arial"/>
          <w:sz w:val="18"/>
          <w:szCs w:val="18"/>
          <w:u w:val="single" w:color="auto"/>
          <w:color w:val="auto"/>
        </w:rPr>
        <w:t>Cure Amount</w:t>
      </w:r>
      <w:r>
        <w:rPr>
          <w:rFonts w:ascii="Arial" w:cs="Arial" w:eastAsia="Arial" w:hAnsi="Arial"/>
          <w:sz w:val="18"/>
          <w:szCs w:val="18"/>
          <w:color w:val="auto"/>
        </w:rPr>
        <w:t>”) pursuant to the exercise by the Borrower of such Cure Right the Financial Performance Covenant shall be recalculated giving effect to the following pro forma adjustment:</w:t>
      </w:r>
    </w:p>
    <w:p>
      <w:pPr>
        <w:spacing w:after="0" w:line="176" w:lineRule="exact"/>
        <w:rPr>
          <w:sz w:val="20"/>
          <w:szCs w:val="20"/>
          <w:color w:val="auto"/>
        </w:rPr>
      </w:pPr>
    </w:p>
    <w:p>
      <w:pPr>
        <w:ind w:left="660" w:firstLine="644"/>
        <w:spacing w:after="0" w:line="235" w:lineRule="auto"/>
        <w:tabs>
          <w:tab w:leader="none" w:pos="179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Consolidated EBITDA shall be increased with respect to such applicable fiscal quarter and any four fiscal quarter period that contains such fiscal quarter, solely for the purpose of measuring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127</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Performance Covenant and not for any other purpose under this Agreement, by an amount equal to the Cure Amount;</w:t>
      </w:r>
    </w:p>
    <w:p>
      <w:pPr>
        <w:spacing w:after="0" w:line="185" w:lineRule="exact"/>
        <w:rPr>
          <w:sz w:val="20"/>
          <w:szCs w:val="20"/>
          <w:color w:val="auto"/>
        </w:rPr>
      </w:pPr>
    </w:p>
    <w:p>
      <w:pPr>
        <w:jc w:val="both"/>
        <w:ind w:left="660" w:firstLine="644"/>
        <w:spacing w:after="0" w:line="229" w:lineRule="auto"/>
        <w:tabs>
          <w:tab w:leader="none" w:pos="170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if, after giving effect to the foregoing pro forma adjustment (without giving effect to any portion of the Cure Amount on the balance sheet of the Borrower and its Restricted Subsidiaries with respect to such fiscal quarter only but with giving pro forma effect to any portion of the Cure Amount applied to any repayment of any Indebtedness), the Borrower and its Restricted Subsidiaries shall then be in compliance with the requirements of the Financial Performance Covenant, the Borrower and its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 and</w:t>
      </w:r>
    </w:p>
    <w:p>
      <w:pPr>
        <w:spacing w:after="0" w:line="165" w:lineRule="exact"/>
        <w:rPr>
          <w:rFonts w:ascii="Arial" w:cs="Arial" w:eastAsia="Arial" w:hAnsi="Arial"/>
          <w:sz w:val="17"/>
          <w:szCs w:val="17"/>
          <w:color w:val="auto"/>
        </w:rPr>
      </w:pPr>
    </w:p>
    <w:p>
      <w:pPr>
        <w:jc w:val="both"/>
        <w:ind w:left="660" w:firstLine="644"/>
        <w:spacing w:after="0" w:line="242" w:lineRule="auto"/>
        <w:tabs>
          <w:tab w:leader="none" w:pos="1718"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(i) in each four consecutive fiscal quarter period of the Borrower there shall be at least two fiscal quarters in which the Cure Right is not exercised, (ii) during the term of this Agreement, the Cure Right shall not be exercised more than five times, (iii) the Cure Amount shall be no greater than the amount required for purposes of complying with the Financial Performance Covenant and any amounts in excess thereof shall not be deemed to be a Cure Amount, (iv) there shall be no pro forma reduction in Indebtedness (by netting or otherwise) with the proceeds of the Cure Amount for determining compliance with the Financial Performance Covenant for the fiscal quarter for which such Cure Amount is deemed applied, except to the extent that such proceeds are actually applied to repay Indebtedness and (v) the Lenders shall not be required to make a Loan or issue, amend, renew or extend any Letter of Credit unless and until the Borrower has received the Cure Amount required to cause the Borrower and the Restricted Subsidiaries to be in compliance with the Financial Performance Covenant. Notwithstanding any other provision in this Agreement to the contrary, the Cure Amount received pursuant to any exercise of the Cure Right shall be disregarded for purposes of determining the Available Amount, the Available Equity Amount, any financial ratio-based conditions or tests, pricing or any available basket under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Agreement.</w:t>
      </w:r>
    </w:p>
    <w:p>
      <w:pPr>
        <w:spacing w:after="0" w:line="1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SECTION 7.03 Application of Proceeds. After the exercise of remedies provided for in </w:t>
      </w:r>
      <w:r>
        <w:rPr>
          <w:rFonts w:ascii="Arial" w:cs="Arial" w:eastAsia="Arial" w:hAnsi="Arial"/>
          <w:sz w:val="16"/>
          <w:szCs w:val="16"/>
          <w:u w:val="single" w:color="auto"/>
          <w:color w:val="auto"/>
        </w:rPr>
        <w:t>Section 7.01</w:t>
      </w:r>
      <w:r>
        <w:rPr>
          <w:rFonts w:ascii="Arial" w:cs="Arial" w:eastAsia="Arial" w:hAnsi="Arial"/>
          <w:sz w:val="16"/>
          <w:szCs w:val="16"/>
          <w:color w:val="auto"/>
        </w:rPr>
        <w:t>, any amounts received on account of the Secured Obligations shall be applied by the Collateral Agent in accordance with Section 4.02 of the Collateral Agreement and/or the similar provisions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1134745</wp:posOffset>
            </wp:positionH>
            <wp:positionV relativeFrom="paragraph">
              <wp:posOffset>-120015</wp:posOffset>
            </wp:positionV>
            <wp:extent cx="12630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the other Security Documents. Notwithstanding the foregoing,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in Section 4.02 of the Collateral Agreement and/or the similar provisions in the other Security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16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010000"/>
        </w:rPr>
        <w:t>ARTICLE VIII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ADMINISTRATIVE AGENT AND COLLATERAL AGENT</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Each of the Lenders and the Issuing Banks hereby irrevocably appoint Royal Bank of Canada to serve as Administrative Agent and Collateral Agent under the Loan Documents, and authorize the Administrative Agent and Collateral Agent to take such actions and to exercise such powers as are</w:t>
      </w:r>
    </w:p>
    <w:p>
      <w:pPr>
        <w:jc w:val="both"/>
        <w:spacing w:after="0" w:line="248" w:lineRule="auto"/>
        <w:rPr>
          <w:sz w:val="20"/>
          <w:szCs w:val="20"/>
          <w:color w:val="auto"/>
        </w:rPr>
      </w:pPr>
      <w:r>
        <w:rPr>
          <w:rFonts w:ascii="Arial" w:cs="Arial" w:eastAsia="Arial" w:hAnsi="Arial"/>
          <w:sz w:val="16"/>
          <w:szCs w:val="16"/>
          <w:color w:val="auto"/>
        </w:rPr>
        <w:t>delegated to the Administrative Agent and Collateral Agent by the terms of the Loan Documents, together with such actions and powers as are reasonably incidental thereto. The provisions of this Article are solely for the benefit of the Administrative Agent, the Collateral Agent, the Lenders and the Issuing Banks, and none of Holdings, the Borrower or any other Loan Party shall have any rights as a third party beneficiary of any such provisions.</w:t>
      </w:r>
    </w:p>
    <w:p>
      <w:pPr>
        <w:spacing w:after="0" w:line="17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The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act as the financial advisor or in any other advisory capacity for and generally engage in any kind of business with Holdings,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Borrower or any other Subsidiary or other Affiliate thereof as if such Person were not the Administrative Agent hereunder and without any duty to account therefor to the Lenders.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Administrative Agent, the Joint Bookrunners or the Lead Arrangers, as applicable, shall not have any duties or obligations except those</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expressly set forth in the Loan Documents. Without limiting the generality of the foregoing, the Administrative Agent, the Joint Bookrunners or the Lead Arrangers, as applicable, (a) shall not be subject to any fiduciary or other implied duties, regardless of whether a Default has occurred and is continuing, (b) shall not have any duty to take any discretionary action or to exercise any discretionary power, except discretionary rights and powers expressly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contemplated by the Loan Documents that the Administrative Agent is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128</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exercise as directed in writing by the Required Lenders (or such other number or percentage of the Lenders as shall be expressly provided for herein or in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may expose the Administrative Agent to liability or that is contrary to any Loan Document or applicable law, and (c) shall not have any duty or responsibility to disclose,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shall not be liable for the failure to disclose, to any Lender or any Issuing Bank, any credit or other information concerning the business, prospects, operations, property, financial and other condition or creditworthiness of any of the Loan Parties or any of their Affiliate, that is communicated to, obtained or in the possession of, the Administrative Agent, the Joint Bookrunners, the Lead Arrangers or any of their Related Parties in any capacity, except for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notices, reports and other documents expressly required to be furnished to the Lenders by the Administrative Agent herein. Neither the Administrative Agent nor any Joint Bookrunner or Lead Arranger shall be liable for any action taken or not taken by it with the consent or at the request of the Required Lenders (or such other number or percentage of the Lenders as shall be necessary, or as the Administrative Agent shall believe in good faith to be necessary,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under the circumstances as provided in </w:t>
      </w:r>
      <w:r>
        <w:rPr>
          <w:rFonts w:ascii="Arial" w:cs="Arial" w:eastAsia="Arial" w:hAnsi="Arial"/>
          <w:sz w:val="16"/>
          <w:szCs w:val="16"/>
          <w:u w:val="single" w:color="auto"/>
          <w:color w:val="auto"/>
        </w:rPr>
        <w:t>Section 9.02</w:t>
      </w:r>
      <w:r>
        <w:rPr>
          <w:rFonts w:ascii="Arial" w:cs="Arial" w:eastAsia="Arial" w:hAnsi="Arial"/>
          <w:sz w:val="16"/>
          <w:szCs w:val="16"/>
          <w:color w:val="auto"/>
        </w:rPr>
        <w:t>) or in the absence of its own gross negligence or willful misconduct. The Administrative Agent shall be deemed not to have knowledge of any Default unless and until written notice thereof is given to the Administrative Agent by Holdings, the Borrower, a Lender or an Issuing Bank. Neither the Administrative Agent nor any Joint Bookrunner or Lead Arranger shall not be responsible for or have any duty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validity, enforceability, effectiveness or genuineness of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Loan Document or any other agreement, instrument or document, (v) the value or the sufficiency of any Collateral or creation, perfection or priority of any Lien purported to be created by the Security Documents or (vi)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in any Loan Document, other than to confirm receipt of items expressly required to be delivered to the Administrative Agent or satisfaction of any condition that expressly refers to</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matters described therein being acceptable or satisfactory to the Administrative Agent. Notwithstanding anything herein to the contrary, the Administrative Agent shall not have any liability arising from any confirmation of the Revolving Exposure or the component amounts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Administrative Agent shall be entitled to rely, and shall not incur any liability for relying, upon any notice, request, certificate, consent,</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statement, instrument, document or other writing (including any electronic message, Internet or intranet website posting or other distribution) believed by it to be genuine and to have been signed, sent or otherwise authenticated by the proper Person (including, if applicable, a Responsible Officer or Financial Officer of such Person). The Administrative Agent also may rely, and shall not incur any liability for relying, upon any statement made to it orally or by</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telephone and believed by it to be made by the proper Person (including, if applicable, a Financial Officer or a Responsible Officer of such Person).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The Administrative Agent may perform any of and all its duties and exercise its rights and powers hereunder or under any other Loan Document by or through any one or more sub-agents appointed by the Administrative Agent. The Administrative Agent and any such sub-agent may perform any of and all their duties and exercise their rights and powers through their respective Related Parties. The exculpatory provisions of this Article shall apply to</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the appointment and acceptance of a successor Administrative Agent as provided in this paragraph, the Administrative Agent may</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resign upon 30 days’ notice to the Lenders, the Issuing Banks and the Borrower. If the Administrative Agent becomes a Defaulting Lender and is not performing its role hereunder as Administrative Agent, the Administrative Agent may be removed as the Administrative Agent hereunder at the request of the Borrower and the Required Lenders. Upon receipt of any such notice of resignation or upon such removal, the Required Lenders shall have the right,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with the Borrower’s consent (unless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resignation, then the retiring Administrative Agent may (but shall not be obligated to) on behalf of the Lenders and the Issuing Banks, appoint a successor Administrative Agent, which shall be an Approved Bank with an office in New York, New York, or an Affiliate of any such Approved Bank (the date upon which the retiring Administrative Agent is replaced, the “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129</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If the Person serving as Administrative Agent is a Defaulting Lender, the Required Lenders and the Borrower may, to the extent permitted by applicable law, by notice in writing to such Person remove such Person as Administrative Agent and, with the consent of the Borrower, appoint a successor. If no such successor shall have been so appointed by the Required Lenders and shall have accepted such appointment within 30 days (the “</w:t>
      </w:r>
      <w:r>
        <w:rPr>
          <w:rFonts w:ascii="Arial" w:cs="Arial" w:eastAsia="Arial" w:hAnsi="Arial"/>
          <w:sz w:val="16"/>
          <w:szCs w:val="16"/>
          <w:u w:val="single" w:color="auto"/>
          <w:color w:val="auto"/>
        </w:rPr>
        <w:t>Removal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With effect from the Resignation Effective Date or the Removal Effective Date (as applicable) (1) the retiring or removed Administrative Agent shall be discharged from its duties and obligations hereunder and under the other Loan Documents (except (i) that in the case of any collateral security held</w:t>
      </w:r>
    </w:p>
    <w:p>
      <w:pPr>
        <w:jc w:val="both"/>
        <w:spacing w:after="0" w:line="234" w:lineRule="auto"/>
        <w:rPr>
          <w:sz w:val="20"/>
          <w:szCs w:val="20"/>
          <w:color w:val="auto"/>
        </w:rPr>
      </w:pPr>
      <w:r>
        <w:rPr>
          <w:rFonts w:ascii="Arial" w:cs="Arial" w:eastAsia="Arial" w:hAnsi="Arial"/>
          <w:sz w:val="16"/>
          <w:szCs w:val="16"/>
          <w:color w:val="auto"/>
        </w:rPr>
        <w:t>by the Administrative Agent on behalf of the Lenders under any of the Loan Documents, the retiring or removed Administrative Agent shall continue to hold such collateral security until such time as a successor Administrative Agent is appointed and (ii) with respect to any outstanding payment obligations) and (2) except for any indemnity payments or other amounts then owed to the retiring or removed Administrative Agent, all payments, communications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and under the other Loan Documents as set forth in this Section. The fees payable by the Borrower to a successor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shall continue in effect for the benefit of such retiring or removed Administrative Agent, its sub-agents and their respective Related Parties 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respect of any actions taken or omitted to be taken by any of them while the retiring or removed Administrative Agent was acting as Administrative Agent.</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Each Lender and each Issuing Bank expressly acknowledges that none of the Administrative Agent nor the Lead Arrangers or Joint Bookrunners has made any representation or warranty to it, and that no act by the Administrative Agent, the Lead Arrangers or Joint Bookrunners hereafter taken,</w:t>
      </w:r>
    </w:p>
    <w:p>
      <w:pPr>
        <w:jc w:val="both"/>
        <w:spacing w:after="0" w:line="234" w:lineRule="auto"/>
        <w:rPr>
          <w:sz w:val="20"/>
          <w:szCs w:val="20"/>
          <w:color w:val="auto"/>
        </w:rPr>
      </w:pPr>
      <w:r>
        <w:rPr>
          <w:rFonts w:ascii="Arial" w:cs="Arial" w:eastAsia="Arial" w:hAnsi="Arial"/>
          <w:sz w:val="16"/>
          <w:szCs w:val="16"/>
          <w:color w:val="auto"/>
        </w:rPr>
        <w:t>including any consent to, and acceptance of any assignment or review of the affairs of any Loan Party of any Affiliate thereof, shall be deemed to constitute any representation or warranty by the Administrative Agent, the Lead Arrangers or Joint Bookrunners to any Lender or any Issuing Bank as to any matter, including whether the Administrative Agent, the Lead Arrangers or Joint Bookrunners have disclosed material information in their (or their Related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Parties’) possession. Each Lender and each Issuing Bank represents to the Administrative Agent, the Lead Arrangers and the Joint Bookrunners that it has, independently and without reliance upon the Administrative Agent, the Lead Arrangers, the Joint Bookrunners, any other Lender or any Issuing Bank, or any of the Related Parties of any of the foregoing, and based on such documents and information as it has deemed appropriate, made its own credit analysis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Issuing Bank also acknowledges that it will, independently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without reliance upon the Administrative Agent, the Lead Arrangers, the Joint Bookrunners, any other Lender or any Issuing Bank, or any of the Related Parties of any of the foregoing, and based on such documents and information as it shall from time to time deem appropriate, continue to make its own credit analysis, appraisals and decisions in taking or not taking action under or based upon this Agreement, any other Loan Document or any related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agreement or any document furnished hereunder or thereunder, and to make such investigations as it deems necessary to inform itself as to the business, prospects, operations, property, financial and other condition and creditworthiness of the Loan Parties. Each Lender and each Issuing Bank represents and warrants that (i) the Loan Documents set forth the terms of a commercial lending facility and (ii) it is engaged in making, acquiring or holding commercial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holding such commercial loans or providing such other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130</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Each Lender, by delivering its signature page to this Agreement and funding its Loans on the Effective Date, or delivering its signature page to an Assignment and Assumption, Incremental Facility Amendment, Refinancing Amendment or Loan Modification Agreement pursuant to which it shall become a Lender hereunder, shall be deemed to have acknowledged receipt of, and consented to and approved, each Loan Document and each other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document required to be delivered to, or be approved by or satisfactory to, the Administrative Agent or the Lenders on the Effective Date.</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Each Lender, by delivering its signature page to this Agreement and funding its Loans on the Amendment No. 1 Effective Date, or delivering its signature page to an Assignment and Assumption, Incremental Facility Amendment, Refinancing Amendment or Loan Modification Agreement pursuant to</w:t>
      </w:r>
    </w:p>
    <w:p>
      <w:pPr>
        <w:jc w:val="both"/>
        <w:spacing w:after="0" w:line="218" w:lineRule="auto"/>
        <w:rPr>
          <w:sz w:val="20"/>
          <w:szCs w:val="20"/>
          <w:color w:val="auto"/>
        </w:rPr>
      </w:pPr>
      <w:r>
        <w:rPr>
          <w:rFonts w:ascii="Arial" w:cs="Arial" w:eastAsia="Arial" w:hAnsi="Arial"/>
          <w:sz w:val="18"/>
          <w:szCs w:val="18"/>
          <w:color w:val="auto"/>
        </w:rPr>
        <w:t>which it shall become a Lender hereunder, shall be deemed to have acknowledged receipt of, and consented to and approved, each Loan Document and each other document required to be delivered to, or be approved by or satisfactory to, the Administrative Agent or the Lenders on the Amendment No. 1 Effective Date.</w:t>
      </w:r>
    </w:p>
    <w:p>
      <w:pPr>
        <w:spacing w:after="0" w:line="189" w:lineRule="exact"/>
        <w:rPr>
          <w:sz w:val="20"/>
          <w:szCs w:val="20"/>
          <w:color w:val="auto"/>
        </w:rPr>
      </w:pPr>
    </w:p>
    <w:p>
      <w:pPr>
        <w:jc w:val="both"/>
        <w:ind w:firstLine="194"/>
        <w:spacing w:after="0" w:line="279" w:lineRule="auto"/>
        <w:rPr>
          <w:sz w:val="20"/>
          <w:szCs w:val="20"/>
          <w:color w:val="auto"/>
        </w:rPr>
      </w:pPr>
      <w:r>
        <w:rPr>
          <w:rFonts w:ascii="Arial" w:cs="Arial" w:eastAsia="Arial" w:hAnsi="Arial"/>
          <w:sz w:val="17"/>
          <w:szCs w:val="17"/>
          <w:color w:val="auto"/>
        </w:rPr>
        <w:t>If the Administrative Agent notifies a Lender, Issuing Bank, or Secured Party or any Person who has received funds on behalf of a Lender, Issuing Bank or Secured Party (any such Lender, Issuing Bank or Secured Party, a “</w:t>
      </w:r>
      <w:r>
        <w:rPr>
          <w:rFonts w:ascii="Arial" w:cs="Arial" w:eastAsia="Arial" w:hAnsi="Arial"/>
          <w:sz w:val="17"/>
          <w:szCs w:val="17"/>
          <w:u w:val="single" w:color="auto"/>
          <w:color w:val="auto"/>
        </w:rPr>
        <w:t>Payment Recipient</w:t>
      </w:r>
      <w:r>
        <w:rPr>
          <w:rFonts w:ascii="Arial" w:cs="Arial" w:eastAsia="Arial" w:hAnsi="Arial"/>
          <w:sz w:val="17"/>
          <w:szCs w:val="17"/>
          <w:color w:val="auto"/>
        </w:rPr>
        <w:t>”) that the Administrative Agent has determined in its sole reasonable discretion that any funds received by such Payment Recipient from the Administrative Agent or any of its Affiliates were erroneously transmitted to, or otherwise erroneously or mistakenly received by, such Payment Recipient (whether or not known to such Payment Recipient) (any such funds, whether received as a payment, prepayment or repayment of principal, interest, fees, distribution or otherwise, individually and collectively, an “</w:t>
      </w:r>
      <w:r>
        <w:rPr>
          <w:rFonts w:ascii="Arial" w:cs="Arial" w:eastAsia="Arial" w:hAnsi="Arial"/>
          <w:sz w:val="17"/>
          <w:szCs w:val="17"/>
          <w:u w:val="single" w:color="auto"/>
          <w:color w:val="auto"/>
        </w:rPr>
        <w:t>Erroneous Payment</w:t>
      </w:r>
      <w:r>
        <w:rPr>
          <w:rFonts w:ascii="Arial" w:cs="Arial" w:eastAsia="Arial" w:hAnsi="Arial"/>
          <w:sz w:val="17"/>
          <w:szCs w:val="17"/>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promptly, but in no event later than one Business Day thereafter, return to the Administrative Agent, in same day funds (in the currency so received), the amount of any such Erroneous Payment (or portion thereof), together with interest thereon in respect of each day from and including the date such Erroneous Payment (or portion thereof) was received by such Payment Recipient to the date such amount is repaid to the Administrative at the greater of the NYFRB Rate and a rate determined by the Administrative Agent in accordance with prevailing banking industry rules on interbank compensation from time to time in effect.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 A notice of the Administrative Agent to any Payment Recipient under this </w:t>
      </w:r>
      <w:r>
        <w:rPr>
          <w:rFonts w:ascii="Arial" w:cs="Arial" w:eastAsia="Arial" w:hAnsi="Arial"/>
          <w:sz w:val="17"/>
          <w:szCs w:val="17"/>
          <w:u w:val="single" w:color="auto"/>
          <w:color w:val="auto"/>
        </w:rPr>
        <w:t>paragraph</w:t>
      </w:r>
      <w:r>
        <w:rPr>
          <w:rFonts w:ascii="Arial" w:cs="Arial" w:eastAsia="Arial" w:hAnsi="Arial"/>
          <w:sz w:val="17"/>
          <w:szCs w:val="17"/>
          <w:color w:val="auto"/>
        </w:rPr>
        <w:t xml:space="preserve"> shall be conclusive, absent manifest error.</w:t>
      </w:r>
    </w:p>
    <w:p>
      <w:pPr>
        <w:spacing w:after="0" w:line="198" w:lineRule="exact"/>
        <w:rPr>
          <w:sz w:val="20"/>
          <w:szCs w:val="20"/>
          <w:color w:val="auto"/>
        </w:rPr>
      </w:pPr>
    </w:p>
    <w:p>
      <w:pPr>
        <w:jc w:val="both"/>
        <w:ind w:firstLine="251"/>
        <w:spacing w:after="0" w:line="281" w:lineRule="auto"/>
        <w:rPr>
          <w:sz w:val="20"/>
          <w:szCs w:val="20"/>
          <w:color w:val="auto"/>
        </w:rPr>
      </w:pPr>
      <w:r>
        <w:rPr>
          <w:rFonts w:ascii="Arial" w:cs="Arial" w:eastAsia="Arial" w:hAnsi="Arial"/>
          <w:sz w:val="17"/>
          <w:szCs w:val="17"/>
          <w:color w:val="auto"/>
        </w:rPr>
        <w:t xml:space="preserve">Without limiting immediately preceding </w:t>
      </w:r>
      <w:r>
        <w:rPr>
          <w:rFonts w:ascii="Arial" w:cs="Arial" w:eastAsia="Arial" w:hAnsi="Arial"/>
          <w:sz w:val="17"/>
          <w:szCs w:val="17"/>
          <w:u w:val="single" w:color="auto"/>
          <w:color w:val="auto"/>
        </w:rPr>
        <w:t>paragraph</w:t>
      </w:r>
      <w:r>
        <w:rPr>
          <w:rFonts w:ascii="Arial" w:cs="Arial" w:eastAsia="Arial" w:hAnsi="Arial"/>
          <w:sz w:val="17"/>
          <w:szCs w:val="17"/>
          <w:color w:val="auto"/>
        </w:rPr>
        <w:t>, each Payment Recipient hereby further agrees that if it receives an Erroneous Payment from the Administrative Agent (or any of its Affiliates) (x) that is in a different amount than, or on a different date from, that specified in a notice of payment sent by the Administrative Agent (or any of its Affiliates) with respect to such Erroneous Payment (the “</w:t>
      </w:r>
      <w:r>
        <w:rPr>
          <w:rFonts w:ascii="Arial" w:cs="Arial" w:eastAsia="Arial" w:hAnsi="Arial"/>
          <w:sz w:val="17"/>
          <w:szCs w:val="17"/>
          <w:u w:val="single" w:color="auto"/>
          <w:color w:val="auto"/>
        </w:rPr>
        <w:t>Payment Notice</w:t>
      </w:r>
      <w:r>
        <w:rPr>
          <w:rFonts w:ascii="Arial" w:cs="Arial" w:eastAsia="Arial" w:hAnsi="Arial"/>
          <w:sz w:val="17"/>
          <w:szCs w:val="17"/>
          <w:color w:val="auto"/>
        </w:rPr>
        <w:t>”), or (y) that was not preceded or accompanied by a Payment Notice sent by the Administrative Agent (or any of its Affiliates), then, said Payment Recipient shall be on notice, in each case, that an error has been made with respect to such Erroneous Payment. Each Payment Recipient agrees that, in each such case, or if it otherwise becomes aware an Erroneous Payment (or portion thereof) may have been sent in error, such Payment Recipient shall promptly notify the Administrative Agent of such occurrence and, upon demand from the Administrative Agent, it shall promptly, but in no event later than one Business Day thereafter, return to the Administrative Agent the amount of any such Erroneous Payment (or portion thereof) in same day funds (in the currency so received), together with interest thereon in respect of each day from and including the date such Payment (or portion thereof) was received by such Payment Recipient to the date such amount is repaid to the Administrative Agent at the greater of the NYFRB Rate and a rate determined by the Administrative Agent in accordance with prevailing banking industry rules on interbank compensation from time to time in effect.</w:t>
      </w:r>
    </w:p>
    <w:p>
      <w:pPr>
        <w:spacing w:after="0" w:line="196" w:lineRule="exact"/>
        <w:rPr>
          <w:sz w:val="20"/>
          <w:szCs w:val="20"/>
          <w:color w:val="auto"/>
        </w:rPr>
      </w:pPr>
    </w:p>
    <w:p>
      <w:pPr>
        <w:jc w:val="both"/>
        <w:ind w:firstLine="224"/>
        <w:spacing w:after="0" w:line="293" w:lineRule="auto"/>
        <w:rPr>
          <w:sz w:val="20"/>
          <w:szCs w:val="20"/>
          <w:color w:val="auto"/>
        </w:rPr>
      </w:pPr>
      <w:r>
        <w:rPr>
          <w:rFonts w:ascii="Arial" w:cs="Arial" w:eastAsia="Arial" w:hAnsi="Arial"/>
          <w:sz w:val="18"/>
          <w:szCs w:val="18"/>
          <w:color w:val="auto"/>
        </w:rPr>
        <w:t>Each Payment Recipient hereby authorizes the Administrative Agent to set off, net and apply any and all amounts at any time owing to such Payment Recipient under any Loan Document, or otherwise payable or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131</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distributable by the Administrative Agent to such Payment Recipient from any source, against any amount due to the Administrative Agent under any of the immediately preceding </w:t>
      </w:r>
      <w:r>
        <w:rPr>
          <w:rFonts w:ascii="Arial" w:cs="Arial" w:eastAsia="Arial" w:hAnsi="Arial"/>
          <w:sz w:val="18"/>
          <w:szCs w:val="18"/>
          <w:u w:val="single" w:color="auto"/>
          <w:color w:val="auto"/>
        </w:rPr>
        <w:t>two paragraphs</w:t>
      </w:r>
      <w:r>
        <w:rPr>
          <w:rFonts w:ascii="Arial" w:cs="Arial" w:eastAsia="Arial" w:hAnsi="Arial"/>
          <w:sz w:val="18"/>
          <w:szCs w:val="18"/>
          <w:color w:val="auto"/>
        </w:rPr>
        <w:t xml:space="preserve"> or under the indemnification provisions of this Agreement.</w:t>
      </w:r>
    </w:p>
    <w:p>
      <w:pPr>
        <w:spacing w:after="0" w:line="211" w:lineRule="exact"/>
        <w:rPr>
          <w:sz w:val="20"/>
          <w:szCs w:val="20"/>
          <w:color w:val="auto"/>
        </w:rPr>
      </w:pPr>
    </w:p>
    <w:p>
      <w:pPr>
        <w:ind w:firstLine="222"/>
        <w:spacing w:after="0" w:line="299" w:lineRule="auto"/>
        <w:rPr>
          <w:sz w:val="20"/>
          <w:szCs w:val="20"/>
          <w:color w:val="auto"/>
        </w:rPr>
      </w:pPr>
      <w:r>
        <w:rPr>
          <w:rFonts w:ascii="Arial" w:cs="Arial" w:eastAsia="Arial" w:hAnsi="Arial"/>
          <w:sz w:val="16"/>
          <w:szCs w:val="16"/>
          <w:color w:val="auto"/>
        </w:rPr>
        <w:t>In the event that an Erroneous Payment (or portion thereof) is not recovered by the Administrative Agent for any reason, after demand therefor by the Administrative Agent (such unrecovered amount, an “</w:t>
      </w:r>
      <w:r>
        <w:rPr>
          <w:rFonts w:ascii="Arial" w:cs="Arial" w:eastAsia="Arial" w:hAnsi="Arial"/>
          <w:sz w:val="16"/>
          <w:szCs w:val="16"/>
          <w:u w:val="single" w:color="auto"/>
          <w:color w:val="auto"/>
        </w:rPr>
        <w:t>Erroneous Payment Return Deficiency</w:t>
      </w:r>
      <w:r>
        <w:rPr>
          <w:rFonts w:ascii="Arial" w:cs="Arial" w:eastAsia="Arial" w:hAnsi="Arial"/>
          <w:sz w:val="16"/>
          <w:szCs w:val="16"/>
          <w:color w:val="auto"/>
        </w:rPr>
        <w:t>”), the Borrower and each other Loan Party hereby agrees that</w:t>
      </w:r>
    </w:p>
    <w:p>
      <w:pPr>
        <w:spacing w:after="0" w:line="1" w:lineRule="exact"/>
        <w:rPr>
          <w:sz w:val="20"/>
          <w:szCs w:val="20"/>
          <w:color w:val="auto"/>
        </w:rPr>
      </w:pPr>
    </w:p>
    <w:p>
      <w:pPr>
        <w:jc w:val="both"/>
        <w:ind w:firstLine="8"/>
        <w:spacing w:after="0" w:line="298" w:lineRule="auto"/>
        <w:tabs>
          <w:tab w:leader="none" w:pos="25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Administrative Agent shall be subrogated to all the rights of such Payment Recipient with respect to such amount (including, without limitation, the right to sell and assign the Loans (or any portion thereof), which were subject to the Erroneous Payment Return Deficiency) and (y) an Erroneous Payment shall not pay, prepay, repay, discharge or otherwise satisfy any Secured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a payment to satisfy certain Obligations and is not otherwise repaid or returned to a Loan Party by the Administrative Agent, any Lender or any of their respective Affiliates, whether pursuant to a legal proceeding or otherwise. For the avoidance of doubt, no assignment of an Erroneous Payment Deficiency will reduce the Commitments of any Payment Recipient and such Commitment shall remain available in accordance with the terms of this Agreement. In addition, each party hereto agrees that, except to the extent that the Administrative Agent has sold a Loan (or portion thereof) acquired pursuant to the assignment of an Erroneous Payment Deficiency, and irrespective of whether the Administrative Agent may be equitably subrogated, the Administrative Agent shall be contractually subrogated to all the rights and interests of the applicable Payment Recipient under the Loan Documents with respect to each Erroneous Payment Return Deficiency.</w:t>
      </w:r>
    </w:p>
    <w:p>
      <w:pPr>
        <w:spacing w:after="0" w:line="20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 xml:space="preserve">Each party’s obligations, agreements and waivers under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survive the resignation or replacement of the Administrative Agent, any transfer of rights or obligations by, or the replacement of, a Lender, the termination of the Commitments and/or the repayment, satisfaction or discharge of all Secured Obligations (or any portion thereof) under any Loan Document. Notwithstanding anything to the contrary herein or in any other Loan Document,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will not create any additional Secured Obligations or otherwise increase or alter such Secured Obligations.</w:t>
      </w:r>
    </w:p>
    <w:p>
      <w:pPr>
        <w:spacing w:after="0" w:line="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No Lender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w:t>
      </w:r>
    </w:p>
    <w:p>
      <w:pPr>
        <w:jc w:val="both"/>
        <w:spacing w:after="0" w:line="233" w:lineRule="auto"/>
        <w:rPr>
          <w:sz w:val="20"/>
          <w:szCs w:val="20"/>
          <w:color w:val="auto"/>
        </w:rPr>
      </w:pPr>
      <w:r>
        <w:rPr>
          <w:rFonts w:ascii="Arial" w:cs="Arial" w:eastAsia="Arial" w:hAnsi="Arial"/>
          <w:sz w:val="16"/>
          <w:szCs w:val="16"/>
          <w:color w:val="auto"/>
        </w:rPr>
        <w:t>the Lenders in accordance with the terms thereof.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Required Lenders shall otherwise agree in writing) shall be entitled, for the purpose of bidding and making settlement or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payment of the purchase price for all or any portion of the Collateral sold at any such public sale, to use and apply any of the Secured Obligations as a credit on account of the purchase price for any Collateral payable by the Administrative Agent on behalf of the Lenders at such sale or other disposition. Each Lender, whether or not a party hereto, will be deemed, by its acceptance of the benefits of the Collateral and of the Guarantees of the Secured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Obligations, to have agreed to the foregoing provisions.</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Notwithstanding anything herein to the contrary, neither any Lead Arranger nor any Joint Bookrunner shall have any duties or obligations under this Agreement or any other Loan Document (except in its capacity, as applicable, as a Lender or an Issuing Bank), but all such Persons shall have the</w:t>
      </w:r>
    </w:p>
    <w:p>
      <w:pPr>
        <w:jc w:val="both"/>
        <w:spacing w:after="0" w:line="218" w:lineRule="auto"/>
        <w:rPr>
          <w:sz w:val="20"/>
          <w:szCs w:val="20"/>
          <w:color w:val="auto"/>
        </w:rPr>
      </w:pPr>
      <w:r>
        <w:rPr>
          <w:rFonts w:ascii="Arial" w:cs="Arial" w:eastAsia="Arial" w:hAnsi="Arial"/>
          <w:sz w:val="18"/>
          <w:szCs w:val="18"/>
          <w:color w:val="auto"/>
        </w:rPr>
        <w:t xml:space="preserve">benefit of the indemnities provided for hereunder, including under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 fully as if named as an indemnitee or indemnified person therein and irrespective of whether the indemnified losses, claims, damages, liabilities and/or related expenses arise out of, in connection with or as a result of matters arising prior to, on or after the effective date of any Loan Document.</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 xml:space="preserve">To the extent required by any applicable Requirements of Law, the Administrative Agent may withhold from any payment to any Lender an amount equivalent to any applicable withholding Tax. Without limiting or expanding the provisions of </w:t>
      </w:r>
      <w:r>
        <w:rPr>
          <w:rFonts w:ascii="Arial" w:cs="Arial" w:eastAsia="Arial" w:hAnsi="Arial"/>
          <w:sz w:val="16"/>
          <w:szCs w:val="16"/>
          <w:u w:val="single" w:color="auto"/>
          <w:color w:val="auto"/>
        </w:rPr>
        <w:t>Section 2.17</w:t>
      </w:r>
      <w:r>
        <w:rPr>
          <w:rFonts w:ascii="Arial" w:cs="Arial" w:eastAsia="Arial" w:hAnsi="Arial"/>
          <w:sz w:val="16"/>
          <w:szCs w:val="16"/>
          <w:color w:val="auto"/>
        </w:rPr>
        <w:t>, each Lender shall indemnify the Administrative Agent against, and shall make payable in respect thereof within 30 days after demand therefor, all Taxes and all related losses, claims,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liabilities and expenses (including fees, charges and disbursements of any counsel for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132</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incurred by or asserted against the Administrative Agent by the U.S. Internal Revenue Service or any other Governmental Authority as a result of the failure of the Administrative Agent to properly withhold Tax from amounts paid to or for the account of any Lender for any reason (including, without limitation, because the appropriate documentation was not delivered or not property executed, or because such Lender failed to notify the Administrative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Agent of a change in circumstance that rendered the exemption from, or reduction of withholding tax ineffective), whether or not such Tax was correctly or legally imposed or asserted. A certificate as to the amount of such payment or liability delivered to any Lender by the Administrative Agent shall be conclusive absent manifest error. Each Lender hereby authorizes the Administrative Agent to set off and apply any and all amounts at any time owing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such Lender under this Agreement, any other Loan Document or otherwise against any amount due to the Administrative Agent under this paragraph. The agreements in this paragraph shall survive the resignation and/or replacement of the Administrative Agent, any assignment of rights by, or the replacement of, a Lender and the repayment, satisfaction or discharge of all other obligations under any Loan Document. For the avoidance of doubt, the term “Lender”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this Article VIII shall include any Issuing Bank.</w:t>
      </w:r>
    </w:p>
    <w:p>
      <w:pPr>
        <w:spacing w:after="0" w:line="16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Each Lender party to this Agreement hereby appoints the Administrative Agent and Collateral Agent to act as its agent under and in connection with the relevant Security Documents.</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The Administrative Agent shall not be responsible or have any liability for, or have any duty to ascertain, inquire into, monitor or enforce, compliance with the provisions hereof relating to Disqualified Lenders, Affiliated Lenders or Net Short Lenders. Without limiting the generality of the foregoing, the Administrative Agent shall not (a) be obligated to ascertain, monitor or inquire as to whether any Lender or participant or prospective Lender</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or participant is a Disqualified Lender, Affiliated Lender or Net Short Lender or (b) have any liability with respect to or arising out of any assignment or participation of Loans or Commitments, or disclosure of confidential information, to any Disqualified Lender, Affiliated Lender or Net Short Lender.</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 xml:space="preserve">All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applicable to the Administrative Agent shall apply to the Collateral Agent and the Collateral Agent shall be entitled to all the benefits and indemnities applicable to the Administrative Agent under this Agreement.</w:t>
      </w:r>
    </w:p>
    <w:p>
      <w:pPr>
        <w:spacing w:after="0" w:line="15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010000"/>
        </w:rPr>
        <w:t>ARTICLE IX</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85" w:lineRule="exact"/>
        <w:rPr>
          <w:sz w:val="20"/>
          <w:szCs w:val="20"/>
          <w:color w:val="auto"/>
        </w:rPr>
      </w:pPr>
    </w:p>
    <w:p>
      <w:pPr>
        <w:ind w:right="160" w:firstLine="648"/>
        <w:spacing w:after="0" w:line="248" w:lineRule="auto"/>
        <w:rPr>
          <w:sz w:val="20"/>
          <w:szCs w:val="20"/>
          <w:color w:val="auto"/>
        </w:rPr>
      </w:pPr>
      <w:r>
        <w:rPr>
          <w:rFonts w:ascii="Arial" w:cs="Arial" w:eastAsia="Arial" w:hAnsi="Arial"/>
          <w:sz w:val="16"/>
          <w:szCs w:val="16"/>
          <w:color w:val="auto"/>
        </w:rPr>
        <w:t>SECTION 9.01 Notices. Except in the case of notices and other communications expressly permitted to be given by telephone, all notices and other communications provided for herein shall be in writing and shall be delivered by hand or overnight courier service, mailed by certified or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-120015</wp:posOffset>
            </wp:positionV>
            <wp:extent cx="46355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4635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mail or sent by fax, e-mail or other electronic transmission, as follows:</w:t>
      </w:r>
    </w:p>
    <w:p>
      <w:pPr>
        <w:spacing w:after="0" w:line="169"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If to any Loan Party, to:</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EverCommerce Solutions Inc.</w:t>
      </w:r>
    </w:p>
    <w:p>
      <w:pPr>
        <w:ind w:left="1960"/>
        <w:spacing w:after="0" w:line="203" w:lineRule="auto"/>
        <w:rPr>
          <w:sz w:val="20"/>
          <w:szCs w:val="20"/>
          <w:color w:val="auto"/>
        </w:rPr>
      </w:pPr>
      <w:r>
        <w:rPr>
          <w:rFonts w:ascii="Arial" w:cs="Arial" w:eastAsia="Arial" w:hAnsi="Arial"/>
          <w:sz w:val="18"/>
          <w:szCs w:val="18"/>
          <w:color w:val="auto"/>
        </w:rPr>
        <w:t>3601 Walnut Street</w:t>
      </w:r>
    </w:p>
    <w:p>
      <w:pPr>
        <w:ind w:left="1960"/>
        <w:spacing w:after="0" w:line="219" w:lineRule="auto"/>
        <w:rPr>
          <w:sz w:val="20"/>
          <w:szCs w:val="20"/>
          <w:color w:val="auto"/>
        </w:rPr>
      </w:pPr>
      <w:r>
        <w:rPr>
          <w:rFonts w:ascii="Arial" w:cs="Arial" w:eastAsia="Arial" w:hAnsi="Arial"/>
          <w:sz w:val="18"/>
          <w:szCs w:val="18"/>
          <w:color w:val="auto"/>
        </w:rPr>
        <w:t>Suite 400</w:t>
      </w:r>
    </w:p>
    <w:p>
      <w:pPr>
        <w:ind w:left="1960"/>
        <w:spacing w:after="0" w:line="204" w:lineRule="auto"/>
        <w:rPr>
          <w:sz w:val="20"/>
          <w:szCs w:val="20"/>
          <w:color w:val="auto"/>
        </w:rPr>
      </w:pPr>
      <w:r>
        <w:rPr>
          <w:rFonts w:ascii="Arial" w:cs="Arial" w:eastAsia="Arial" w:hAnsi="Arial"/>
          <w:sz w:val="18"/>
          <w:szCs w:val="18"/>
          <w:color w:val="auto"/>
        </w:rPr>
        <w:t>Denver, Colorado 80205</w:t>
      </w:r>
    </w:p>
    <w:p>
      <w:pPr>
        <w:ind w:left="1960"/>
        <w:spacing w:after="0" w:line="203" w:lineRule="auto"/>
        <w:rPr>
          <w:sz w:val="20"/>
          <w:szCs w:val="20"/>
          <w:color w:val="auto"/>
        </w:rPr>
      </w:pPr>
      <w:r>
        <w:rPr>
          <w:rFonts w:ascii="Arial" w:cs="Arial" w:eastAsia="Arial" w:hAnsi="Arial"/>
          <w:sz w:val="18"/>
          <w:szCs w:val="18"/>
          <w:color w:val="auto"/>
        </w:rPr>
        <w:t>Attention: Marc Thompson</w:t>
      </w:r>
      <w:r>
        <w:rPr>
          <w:rFonts w:ascii="Arial" w:cs="Arial" w:eastAsia="Arial" w:hAnsi="Arial"/>
          <w:sz w:val="18"/>
          <w:szCs w:val="18"/>
          <w:b w:val="1"/>
          <w:bCs w:val="1"/>
          <w:color w:val="auto"/>
        </w:rPr>
        <w:t>;</w:t>
      </w:r>
      <w:r>
        <w:rPr>
          <w:rFonts w:ascii="Arial" w:cs="Arial" w:eastAsia="Arial" w:hAnsi="Arial"/>
          <w:sz w:val="18"/>
          <w:szCs w:val="18"/>
          <w:color w:val="auto"/>
        </w:rPr>
        <w:t xml:space="preserve"> Lisa Storey</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marc@evercommerce.com; lstorey@evercommerce.com</w:t>
      </w:r>
    </w:p>
    <w:p>
      <w:pPr>
        <w:spacing w:after="0" w:line="20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copies to:</w:t>
      </w:r>
    </w:p>
    <w:p>
      <w:pPr>
        <w:spacing w:after="0" w:line="19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Silver Lake Partners</w:t>
      </w:r>
    </w:p>
    <w:p>
      <w:pPr>
        <w:ind w:left="1960"/>
        <w:spacing w:after="0" w:line="219" w:lineRule="auto"/>
        <w:rPr>
          <w:sz w:val="20"/>
          <w:szCs w:val="20"/>
          <w:color w:val="auto"/>
        </w:rPr>
      </w:pPr>
      <w:r>
        <w:rPr>
          <w:rFonts w:ascii="Arial" w:cs="Arial" w:eastAsia="Arial" w:hAnsi="Arial"/>
          <w:sz w:val="18"/>
          <w:szCs w:val="18"/>
          <w:color w:val="auto"/>
        </w:rPr>
        <w:t>55 Hudson Yards</w:t>
      </w:r>
    </w:p>
    <w:p>
      <w:pPr>
        <w:ind w:left="1960"/>
        <w:spacing w:after="0" w:line="203" w:lineRule="auto"/>
        <w:rPr>
          <w:sz w:val="20"/>
          <w:szCs w:val="20"/>
          <w:color w:val="auto"/>
        </w:rPr>
      </w:pPr>
      <w:r>
        <w:rPr>
          <w:rFonts w:ascii="Arial" w:cs="Arial" w:eastAsia="Arial" w:hAnsi="Arial"/>
          <w:sz w:val="18"/>
          <w:szCs w:val="18"/>
          <w:color w:val="auto"/>
        </w:rPr>
        <w:t>550 West 34th Street, 40th Floor</w:t>
      </w:r>
    </w:p>
    <w:p>
      <w:pPr>
        <w:ind w:left="1960"/>
        <w:spacing w:after="0" w:line="204" w:lineRule="auto"/>
        <w:rPr>
          <w:sz w:val="20"/>
          <w:szCs w:val="20"/>
          <w:color w:val="auto"/>
        </w:rPr>
      </w:pPr>
      <w:r>
        <w:rPr>
          <w:rFonts w:ascii="Arial" w:cs="Arial" w:eastAsia="Arial" w:hAnsi="Arial"/>
          <w:sz w:val="18"/>
          <w:szCs w:val="18"/>
          <w:color w:val="auto"/>
        </w:rPr>
        <w:t>New York, NY 10001</w:t>
      </w:r>
    </w:p>
    <w:p>
      <w:pPr>
        <w:ind w:left="1960"/>
        <w:spacing w:after="0" w:line="219" w:lineRule="auto"/>
        <w:rPr>
          <w:sz w:val="20"/>
          <w:szCs w:val="20"/>
          <w:color w:val="auto"/>
        </w:rPr>
      </w:pPr>
      <w:r>
        <w:rPr>
          <w:rFonts w:ascii="Arial" w:cs="Arial" w:eastAsia="Arial" w:hAnsi="Arial"/>
          <w:sz w:val="18"/>
          <w:szCs w:val="18"/>
          <w:color w:val="auto"/>
        </w:rPr>
        <w:t>Attention: Andy Schaeder</w:t>
      </w:r>
    </w:p>
    <w:p>
      <w:pPr>
        <w:ind w:left="1960"/>
        <w:spacing w:after="0"/>
        <w:rPr>
          <w:sz w:val="20"/>
          <w:szCs w:val="20"/>
          <w:color w:val="auto"/>
        </w:rPr>
      </w:pPr>
      <w:r>
        <w:rPr>
          <w:rFonts w:ascii="Arial" w:cs="Arial" w:eastAsia="Arial" w:hAnsi="Arial"/>
          <w:sz w:val="18"/>
          <w:szCs w:val="18"/>
          <w:color w:val="auto"/>
        </w:rPr>
        <w:t>Email: Andy.Schader@SilverLake.com</w:t>
      </w:r>
    </w:p>
    <w:p>
      <w:pPr>
        <w:spacing w:after="0" w:line="18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Simpson Thacher &amp; Bartlett LLP</w:t>
      </w:r>
    </w:p>
    <w:p>
      <w:pPr>
        <w:ind w:left="1960" w:right="7300" w:hanging="8"/>
        <w:spacing w:after="0" w:line="247" w:lineRule="auto"/>
        <w:tabs>
          <w:tab w:leader="none" w:pos="2275" w:val="left"/>
        </w:tabs>
        <w:numPr>
          <w:ilvl w:val="1"/>
          <w:numId w:val="209"/>
        </w:numPr>
        <w:rPr>
          <w:rFonts w:ascii="Arial" w:cs="Arial" w:eastAsia="Arial" w:hAnsi="Arial"/>
          <w:sz w:val="16"/>
          <w:szCs w:val="16"/>
          <w:color w:val="auto"/>
        </w:rPr>
      </w:pPr>
      <w:r>
        <w:rPr>
          <w:rFonts w:ascii="Arial" w:cs="Arial" w:eastAsia="Arial" w:hAnsi="Arial"/>
          <w:sz w:val="16"/>
          <w:szCs w:val="16"/>
          <w:color w:val="auto"/>
        </w:rPr>
        <w:t>Lexington Avenue New York, NY 10017 Attention: Jennifer Hobbs Email: jhobbs@stblaw.com</w:t>
      </w:r>
    </w:p>
    <w:p>
      <w:pPr>
        <w:spacing w:after="0" w:line="185" w:lineRule="exact"/>
        <w:rPr>
          <w:rFonts w:ascii="Arial" w:cs="Arial" w:eastAsia="Arial" w:hAnsi="Arial"/>
          <w:sz w:val="16"/>
          <w:szCs w:val="16"/>
          <w:color w:val="auto"/>
        </w:rPr>
      </w:pPr>
    </w:p>
    <w:p>
      <w:pPr>
        <w:ind w:left="1700" w:hanging="396"/>
        <w:spacing w:after="0"/>
        <w:tabs>
          <w:tab w:leader="none" w:pos="17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to the Administrative Agent,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133</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4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Royal Bank of Canada, as Administrative Agent</w:t>
      </w:r>
    </w:p>
    <w:p>
      <w:pPr>
        <w:ind w:left="1960"/>
        <w:spacing w:after="0" w:line="203" w:lineRule="auto"/>
        <w:rPr>
          <w:sz w:val="20"/>
          <w:szCs w:val="20"/>
          <w:color w:val="auto"/>
        </w:rPr>
      </w:pPr>
      <w:r>
        <w:rPr>
          <w:rFonts w:ascii="Arial" w:cs="Arial" w:eastAsia="Arial" w:hAnsi="Arial"/>
          <w:sz w:val="18"/>
          <w:szCs w:val="18"/>
          <w:color w:val="auto"/>
        </w:rPr>
        <w:t>4th Floor, 20 King Street West</w:t>
      </w:r>
    </w:p>
    <w:p>
      <w:pPr>
        <w:ind w:left="1960"/>
        <w:spacing w:after="0" w:line="219" w:lineRule="auto"/>
        <w:rPr>
          <w:sz w:val="20"/>
          <w:szCs w:val="20"/>
          <w:color w:val="auto"/>
        </w:rPr>
      </w:pPr>
      <w:r>
        <w:rPr>
          <w:rFonts w:ascii="Arial" w:cs="Arial" w:eastAsia="Arial" w:hAnsi="Arial"/>
          <w:sz w:val="18"/>
          <w:szCs w:val="18"/>
          <w:color w:val="auto"/>
        </w:rPr>
        <w:t>Toronto, Ontario M5H 1C4</w:t>
      </w:r>
    </w:p>
    <w:p>
      <w:pPr>
        <w:ind w:left="1960"/>
        <w:spacing w:after="0" w:line="204" w:lineRule="auto"/>
        <w:rPr>
          <w:sz w:val="20"/>
          <w:szCs w:val="20"/>
          <w:color w:val="auto"/>
        </w:rPr>
      </w:pPr>
      <w:r>
        <w:rPr>
          <w:rFonts w:ascii="Arial" w:cs="Arial" w:eastAsia="Arial" w:hAnsi="Arial"/>
          <w:sz w:val="18"/>
          <w:szCs w:val="18"/>
          <w:color w:val="auto"/>
        </w:rPr>
        <w:t>Attention: Manager, Agency Services Group</w:t>
      </w:r>
    </w:p>
    <w:p>
      <w:pPr>
        <w:ind w:left="1960"/>
        <w:spacing w:after="0" w:line="203" w:lineRule="auto"/>
        <w:rPr>
          <w:sz w:val="20"/>
          <w:szCs w:val="20"/>
          <w:color w:val="auto"/>
        </w:rPr>
      </w:pPr>
      <w:r>
        <w:rPr>
          <w:rFonts w:ascii="Arial" w:cs="Arial" w:eastAsia="Arial" w:hAnsi="Arial"/>
          <w:sz w:val="18"/>
          <w:szCs w:val="18"/>
          <w:color w:val="auto"/>
        </w:rPr>
        <w:t>Fax: 416-842-4023</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rbcmagnt@rbccm.com</w:t>
      </w:r>
    </w:p>
    <w:p>
      <w:pPr>
        <w:spacing w:after="0" w:line="209" w:lineRule="exact"/>
        <w:rPr>
          <w:sz w:val="20"/>
          <w:szCs w:val="20"/>
          <w:color w:val="auto"/>
        </w:rPr>
      </w:pPr>
    </w:p>
    <w:p>
      <w:pPr>
        <w:ind w:left="660" w:firstLine="644"/>
        <w:spacing w:after="0" w:line="289" w:lineRule="auto"/>
        <w:tabs>
          <w:tab w:leader="none" w:pos="1691"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If to the Administrative Agent, solely with respect to Borrowing Requests, Interest Election Requests, Notices of Loan Prepayments, Specified Discount Prepayment Notices, Solicited Discounted Prepayment Notices and Acceptance and Prepayment Notices, to:</w:t>
      </w:r>
    </w:p>
    <w:p>
      <w:pPr>
        <w:spacing w:after="0" w:line="12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Royal Bank of Canada</w:t>
      </w:r>
    </w:p>
    <w:p>
      <w:pPr>
        <w:ind w:left="1960"/>
        <w:spacing w:after="0" w:line="203" w:lineRule="auto"/>
        <w:rPr>
          <w:sz w:val="20"/>
          <w:szCs w:val="20"/>
          <w:color w:val="auto"/>
        </w:rPr>
      </w:pPr>
      <w:r>
        <w:rPr>
          <w:rFonts w:ascii="Arial" w:cs="Arial" w:eastAsia="Arial" w:hAnsi="Arial"/>
          <w:sz w:val="18"/>
          <w:szCs w:val="18"/>
          <w:color w:val="auto"/>
        </w:rPr>
        <w:t>4th Floor, 20 King Street West Toronto, Ontario M5H 1C4</w:t>
      </w:r>
    </w:p>
    <w:p>
      <w:pPr>
        <w:ind w:left="1960"/>
        <w:spacing w:after="0" w:line="203" w:lineRule="auto"/>
        <w:rPr>
          <w:sz w:val="20"/>
          <w:szCs w:val="20"/>
          <w:color w:val="auto"/>
        </w:rPr>
      </w:pPr>
      <w:r>
        <w:rPr>
          <w:rFonts w:ascii="Arial" w:cs="Arial" w:eastAsia="Arial" w:hAnsi="Arial"/>
          <w:sz w:val="18"/>
          <w:szCs w:val="18"/>
          <w:color w:val="auto"/>
        </w:rPr>
        <w:t>Attention: Manager, Agency Services Group</w:t>
      </w:r>
    </w:p>
    <w:p>
      <w:pPr>
        <w:ind w:left="1960"/>
        <w:spacing w:after="0" w:line="220" w:lineRule="auto"/>
        <w:rPr>
          <w:sz w:val="20"/>
          <w:szCs w:val="20"/>
          <w:color w:val="auto"/>
        </w:rPr>
      </w:pPr>
      <w:r>
        <w:rPr>
          <w:rFonts w:ascii="Arial" w:cs="Arial" w:eastAsia="Arial" w:hAnsi="Arial"/>
          <w:sz w:val="18"/>
          <w:szCs w:val="18"/>
          <w:color w:val="auto"/>
        </w:rPr>
        <w:t>Fax: 416-842-4023</w:t>
      </w:r>
    </w:p>
    <w:p>
      <w:pPr>
        <w:ind w:left="1960"/>
        <w:spacing w:after="0"/>
        <w:rPr>
          <w:sz w:val="20"/>
          <w:szCs w:val="20"/>
          <w:color w:val="auto"/>
        </w:rPr>
      </w:pPr>
      <w:r>
        <w:rPr>
          <w:rFonts w:ascii="Arial" w:cs="Arial" w:eastAsia="Arial" w:hAnsi="Arial"/>
          <w:sz w:val="18"/>
          <w:szCs w:val="18"/>
          <w:color w:val="auto"/>
        </w:rPr>
        <w:t>Email: rbcmagnt@rbccm.com</w:t>
      </w:r>
    </w:p>
    <w:p>
      <w:pPr>
        <w:spacing w:after="0" w:line="196" w:lineRule="exact"/>
        <w:rPr>
          <w:sz w:val="20"/>
          <w:szCs w:val="20"/>
          <w:color w:val="auto"/>
        </w:rPr>
      </w:pPr>
    </w:p>
    <w:p>
      <w:pPr>
        <w:jc w:val="both"/>
        <w:ind w:left="660" w:firstLine="644"/>
        <w:spacing w:after="0" w:line="245" w:lineRule="auto"/>
        <w:tabs>
          <w:tab w:leader="none" w:pos="171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If to any Issuing Bank, to it at its address (or fax number or email address) most recently specified by it in a notice delivered to the Administrative Agent, Holdings, and the Borrower (or, in the absence of any such notice, to the address (or fax number or email address) set forth in the Administrative Questionnaire of the Lender that is serving as such Issuing Bank or is an Affiliate thereof); and</w:t>
      </w:r>
    </w:p>
    <w:p>
      <w:pPr>
        <w:spacing w:after="0" w:line="157" w:lineRule="exact"/>
        <w:rPr>
          <w:rFonts w:ascii="Arial" w:cs="Arial" w:eastAsia="Arial" w:hAnsi="Arial"/>
          <w:sz w:val="17"/>
          <w:szCs w:val="17"/>
          <w:color w:val="auto"/>
        </w:rPr>
      </w:pPr>
    </w:p>
    <w:p>
      <w:pPr>
        <w:ind w:left="1680" w:hanging="376"/>
        <w:spacing w:after="0"/>
        <w:tabs>
          <w:tab w:leader="none" w:pos="16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to any other Lender, to it at its address (or fax number or email address) set forth in its Administrative Questionnaire.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Notices and other communications sent by hand or overnight courier service, or mailed by certified or registered mail, shall be deemed to have</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been given when received; notices and other communications sent by fax or other electronic transmission shall be deemed to have been given when sent (except that, if not given during normal business hours for the recipient, shall be deemed to have been given at the opening of business on the next business day for the recipient).</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The Borrower may change its address, email or facsimile number for notices and other communications hereunder by notice to the Administrative Agent, the Administrative Agent may change its address, email or facsimile number for notices and other communications hereunder by notice to the Borrower and the Lenders may change their address, email or facsimile number for notices and other communications hereunder by notice to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Administrative Agent. Notices and other communications to the Lenders and the Issuing Banks hereunder may also be delivered or furnished by electronic communication (including email and Internet or intranet websites) pursuant to procedures reasonably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Issuing Bank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or Issuing Bank, as applicable, has notified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that it is incapable of receiving notices under such Article by electronic communication.</w:t>
      </w:r>
    </w:p>
    <w:p>
      <w:pPr>
        <w:spacing w:after="0" w:line="16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7"/>
          <w:szCs w:val="17"/>
          <w:color w:val="auto"/>
        </w:rPr>
        <w:t>THE PLATFORM IS PROVIDED “AS IS” AND “AS AVAILABLE.” THE AGENT PARTIES (AS DEFINED BELOW) DO NOT WARRANT THE ACCURACY OR COMPLETENESS OF THE BORROWER MATERIALS OR THE ADEQUACY OF THE PLATFORM, AND EXPRESSLY</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w:t>
      </w:r>
    </w:p>
    <w:p>
      <w:pPr>
        <w:jc w:val="both"/>
        <w:spacing w:after="0" w:line="234" w:lineRule="auto"/>
        <w:rPr>
          <w:sz w:val="20"/>
          <w:szCs w:val="20"/>
          <w:color w:val="auto"/>
        </w:rPr>
      </w:pPr>
      <w:r>
        <w:rPr>
          <w:rFonts w:ascii="Arial" w:cs="Arial" w:eastAsia="Arial" w:hAnsi="Arial"/>
          <w:sz w:val="16"/>
          <w:szCs w:val="16"/>
          <w:color w:val="auto"/>
        </w:rPr>
        <w:t>IN CONNECTION WITH THE BORROWER MATERIALS OR THE PLATFORM. In no event shall the Administrative Agent or any of its Related Parties (collectively, the “Agent Parties”) have any liability to Holdings, the Borrower, any Lender, any Issuing Bank or any other Person for losses, claims, damages, liabilities or expenses of any kind (whether in tort, contract or otherwise) arising out of the Borrower’s, any Loan Party’s or the Administrative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Agent’s transmission of Borrower Materials or notices through the Platform, any other electronic messaging service, or through the Internet, except to the extent that such losses, claims, damages, liabilities or expenses have resulted from the willful misconduct, bad faith or gross negligence of the Administrative Agent or any of its Related Parties, as applicable.</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The Administrative Agent, the Issuing Banks and the Lenders shall be entitled to rely and act upon any notices (including telephonic notices and Borrowing Requests) purportedly given by or on behalf of the Borrower even if (i) such notices were not made in a manner specified herein, were incomplete or were not preceded or followed by any other form of notice specified herein, or (ii) the terms thereof, as understood by the recipient, varied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from any confirmation thereof. All telephonic notices to and other telephonic communications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134</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may be recorded by the Administrative Agent, and each of the parties hereto hereby consents to such recording.</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color w:val="auto"/>
        </w:rPr>
        <w:t>Waivers;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1493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165" w:lineRule="exact"/>
        <w:rPr>
          <w:sz w:val="20"/>
          <w:szCs w:val="20"/>
          <w:color w:val="auto"/>
        </w:rPr>
      </w:pPr>
    </w:p>
    <w:p>
      <w:pPr>
        <w:jc w:val="both"/>
        <w:ind w:firstLine="656"/>
        <w:spacing w:after="0" w:line="227" w:lineRule="auto"/>
        <w:tabs>
          <w:tab w:leader="none" w:pos="1031" w:val="left"/>
        </w:tabs>
        <w:numPr>
          <w:ilvl w:val="0"/>
          <w:numId w:val="213"/>
        </w:numPr>
        <w:rPr>
          <w:rFonts w:ascii="Arial" w:cs="Arial" w:eastAsia="Arial" w:hAnsi="Arial"/>
          <w:sz w:val="17"/>
          <w:szCs w:val="17"/>
          <w:color w:val="auto"/>
        </w:rPr>
      </w:pPr>
      <w:r>
        <w:rPr>
          <w:rFonts w:ascii="Arial" w:cs="Arial" w:eastAsia="Arial" w:hAnsi="Arial"/>
          <w:sz w:val="17"/>
          <w:szCs w:val="17"/>
          <w:color w:val="auto"/>
        </w:rPr>
        <w:t>No failure or delay by the Administrative Agent, the Collateral Agent, any Issuing Bank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the Issuing Banks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the Collateral Agent, or any Lender or any Issuing Bank may have had notice or knowledge of such Default at the time. No notice or demand on the Borrower or Holdings in any case shall entitle Holdings or the Borrower to any other or further notice or demand in similar or other circumstances.</w:t>
      </w:r>
    </w:p>
    <w:p>
      <w:pPr>
        <w:spacing w:after="0" w:line="166" w:lineRule="exact"/>
        <w:rPr>
          <w:rFonts w:ascii="Arial" w:cs="Arial" w:eastAsia="Arial" w:hAnsi="Arial"/>
          <w:sz w:val="17"/>
          <w:szCs w:val="17"/>
          <w:color w:val="auto"/>
        </w:rPr>
      </w:pPr>
    </w:p>
    <w:p>
      <w:pPr>
        <w:jc w:val="both"/>
        <w:ind w:firstLine="656"/>
        <w:spacing w:after="0" w:line="248" w:lineRule="auto"/>
        <w:tabs>
          <w:tab w:leader="none" w:pos="105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Except as expressly provided herein, neither any Loan Document nor any provision thereof may be waived, amended or modified except, in the case of this Agreement, pursuant to an agreement or agreements in writing entered into by Holdings, the Borrower, the Administrative Agent (to the extent that such waiver, amendment or modification does not affect the rights, duties, privileges or obligations of the Administrative Agent under this Agreement, the Administrative Agent shall execute such waiver, amendment or other modification to the extent approved by the Required Lenders) and the Required Lenders or, in the case of any other Loan Document, pursuant to an agreement or agreements in writing entered into by the Administrative Agent and the Loan Party or Loan Parties that are parties thereto, in each case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w:t>
      </w:r>
    </w:p>
    <w:p>
      <w:pPr>
        <w:spacing w:after="0" w:line="155" w:lineRule="exact"/>
        <w:rPr>
          <w:sz w:val="20"/>
          <w:szCs w:val="20"/>
          <w:color w:val="auto"/>
        </w:rPr>
      </w:pPr>
    </w:p>
    <w:p>
      <w:pPr>
        <w:jc w:val="both"/>
        <w:ind w:left="660" w:hanging="4"/>
        <w:spacing w:after="0" w:line="245" w:lineRule="auto"/>
        <w:tabs>
          <w:tab w:leader="none" w:pos="881"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increase the Commitment of any Lender without the written consent of such Lender (but not the Required Lenders) (it being understood that a waiver of any condition precedent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or the waiver of any Default, Event of Default, mandatory prepayment or mandatory reduction of the Commitments shall not constitute an extension or increase of any Commitment of any Lender),</w:t>
      </w:r>
    </w:p>
    <w:p>
      <w:pPr>
        <w:spacing w:after="0" w:line="157" w:lineRule="exact"/>
        <w:rPr>
          <w:rFonts w:ascii="Arial" w:cs="Arial" w:eastAsia="Arial" w:hAnsi="Arial"/>
          <w:sz w:val="17"/>
          <w:szCs w:val="17"/>
          <w:color w:val="auto"/>
        </w:rPr>
      </w:pPr>
    </w:p>
    <w:p>
      <w:pPr>
        <w:jc w:val="both"/>
        <w:ind w:left="660" w:hanging="4"/>
        <w:spacing w:after="0" w:line="248" w:lineRule="auto"/>
        <w:tabs>
          <w:tab w:leader="none" w:pos="932"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reduce the principal amount of any Loan or LC Disbursement (it being understood that a waiver of any Default, Event of Default, mandatory prepayment or mandatory reduction of the Commitments shall not constitute a reduction or forgiveness in principal) or reduce the rate of interest thereon, or reduce any fees payable hereunder, without the written consent of each Lender directly and adversely affected thereby (but not the Required Lenders) (it being understood that any change to the definition of “First Lien Leverage Ratio” or any other financial ratio or, in each case, the component definitions thereof shall not constitute a reduction of interest or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waive any obligation of the Borrower to pay default interest pursuant to </w:t>
      </w:r>
      <w:r>
        <w:rPr>
          <w:rFonts w:ascii="Arial" w:cs="Arial" w:eastAsia="Arial" w:hAnsi="Arial"/>
          <w:sz w:val="16"/>
          <w:szCs w:val="16"/>
          <w:u w:val="single" w:color="auto"/>
          <w:color w:val="auto"/>
        </w:rPr>
        <w:t>Section 2.13(c)</w:t>
      </w:r>
      <w:r>
        <w:rPr>
          <w:rFonts w:ascii="Arial" w:cs="Arial" w:eastAsia="Arial" w:hAnsi="Arial"/>
          <w:sz w:val="16"/>
          <w:szCs w:val="16"/>
          <w:color w:val="auto"/>
        </w:rPr>
        <w:t>,</w:t>
      </w:r>
    </w:p>
    <w:p>
      <w:pPr>
        <w:spacing w:after="0" w:line="155" w:lineRule="exact"/>
        <w:rPr>
          <w:rFonts w:ascii="Arial" w:cs="Arial" w:eastAsia="Arial" w:hAnsi="Arial"/>
          <w:sz w:val="16"/>
          <w:szCs w:val="16"/>
          <w:color w:val="auto"/>
        </w:rPr>
      </w:pPr>
    </w:p>
    <w:p>
      <w:pPr>
        <w:jc w:val="both"/>
        <w:ind w:left="660" w:hanging="4"/>
        <w:spacing w:after="0" w:line="248" w:lineRule="auto"/>
        <w:tabs>
          <w:tab w:leader="none" w:pos="983"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postpone the maturity of any Loan (it being understood that a waiver of any Default, Event of Default, mandatory prepayment or mandatory reduction of the Commitments shall not constitute an extension of any maturity date), or the date of any scheduled amortization payment of the principal amount of any Term Loan under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or the applicable Incremental Facility Amendment, Refinancing Amendment or Loan Modification Agreement, or the reimbursement date with respect to any LC Disbursement, or any date for the payment of any interest or fees payable hereunder, or reduce the amount of, waive or excuse any such payment, or postpone the scheduled date of expiration of any Commitment, without the written consent of each Lender directly and adversely affected thereby (but not the Required Lenders),</w:t>
      </w:r>
    </w:p>
    <w:p>
      <w:pPr>
        <w:spacing w:after="0" w:line="155" w:lineRule="exact"/>
        <w:rPr>
          <w:rFonts w:ascii="Arial" w:cs="Arial" w:eastAsia="Arial" w:hAnsi="Arial"/>
          <w:sz w:val="16"/>
          <w:szCs w:val="16"/>
          <w:color w:val="auto"/>
        </w:rPr>
      </w:pPr>
    </w:p>
    <w:p>
      <w:pPr>
        <w:jc w:val="both"/>
        <w:ind w:left="660" w:hanging="4"/>
        <w:spacing w:after="0" w:line="223" w:lineRule="auto"/>
        <w:tabs>
          <w:tab w:leader="none" w:pos="97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change any of the provisions of this Section without the written consent of each Lender directly and adversely affected thereby (but not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change which is in favor of a Class of Lenders holding Loans maturing after the maturity of other Classes of Lenders (and only takes effect after the maturity of such other Classes of Loans or Commitments) will require the written consent only of the Required Lenders with respect to each Class directly and adversely affected thereby,</w:t>
      </w:r>
    </w:p>
    <w:p>
      <w:pPr>
        <w:spacing w:after="0" w:line="162" w:lineRule="exact"/>
        <w:rPr>
          <w:rFonts w:ascii="Arial" w:cs="Arial" w:eastAsia="Arial" w:hAnsi="Arial"/>
          <w:sz w:val="18"/>
          <w:szCs w:val="18"/>
          <w:color w:val="auto"/>
        </w:rPr>
      </w:pPr>
    </w:p>
    <w:p>
      <w:pPr>
        <w:jc w:val="both"/>
        <w:ind w:left="660" w:hanging="4"/>
        <w:spacing w:after="0" w:line="229" w:lineRule="auto"/>
        <w:tabs>
          <w:tab w:leader="none" w:pos="9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lower the percentage set forth in the definition of “Required Lenders” or any other provision of any Loan Document specifying the number or percentage of Lenders (or Lenders of any Class) required to waive, amend or modify any rights thereunder or make any determination or grant any consent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135</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the written consent of each Lender (or each Lender of such Class, as the case may be) (but not the Required Lenders),</w:t>
      </w:r>
    </w:p>
    <w:p>
      <w:pPr>
        <w:spacing w:after="0" w:line="185" w:lineRule="exact"/>
        <w:rPr>
          <w:sz w:val="20"/>
          <w:szCs w:val="20"/>
          <w:color w:val="auto"/>
        </w:rPr>
      </w:pPr>
    </w:p>
    <w:p>
      <w:pPr>
        <w:ind w:left="660" w:hanging="4"/>
        <w:spacing w:after="0" w:line="235" w:lineRule="auto"/>
        <w:tabs>
          <w:tab w:leader="none" w:pos="100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release all or substantially all the value of the Guarantees under the Guarantee Agreement (except as expressly provided in the Loan Documents) without the written consent of each Lender (other than a Defaulting Lender),</w:t>
      </w:r>
    </w:p>
    <w:p>
      <w:pPr>
        <w:spacing w:after="0" w:line="175" w:lineRule="exact"/>
        <w:rPr>
          <w:rFonts w:ascii="Arial" w:cs="Arial" w:eastAsia="Arial" w:hAnsi="Arial"/>
          <w:sz w:val="18"/>
          <w:szCs w:val="18"/>
          <w:color w:val="auto"/>
        </w:rPr>
      </w:pPr>
    </w:p>
    <w:p>
      <w:pPr>
        <w:ind w:left="660" w:hanging="4"/>
        <w:spacing w:after="0" w:line="235" w:lineRule="auto"/>
        <w:tabs>
          <w:tab w:leader="none" w:pos="101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release all or substantially all the Collateral from the Liens of the Security Documents, without the written consent of each Lender (other than a Defaulting Lender), except as expressly provided in the Loan Documents,</w:t>
      </w:r>
    </w:p>
    <w:p>
      <w:pPr>
        <w:spacing w:after="0" w:line="161" w:lineRule="exact"/>
        <w:rPr>
          <w:rFonts w:ascii="Arial" w:cs="Arial" w:eastAsia="Arial" w:hAnsi="Arial"/>
          <w:sz w:val="18"/>
          <w:szCs w:val="18"/>
          <w:color w:val="auto"/>
        </w:rPr>
      </w:pPr>
    </w:p>
    <w:p>
      <w:pPr>
        <w:ind w:left="660" w:hanging="4"/>
        <w:spacing w:after="0" w:line="246" w:lineRule="auto"/>
        <w:tabs>
          <w:tab w:leader="none" w:pos="108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change the currency in which any Loan is denominated, without the written consent of each Lender directly affected thereby (but not the Required Lenders), or</w:t>
      </w:r>
    </w:p>
    <w:p>
      <w:pPr>
        <w:spacing w:after="0" w:line="156" w:lineRule="exact"/>
        <w:rPr>
          <w:rFonts w:ascii="Arial" w:cs="Arial" w:eastAsia="Arial" w:hAnsi="Arial"/>
          <w:sz w:val="18"/>
          <w:szCs w:val="18"/>
          <w:color w:val="auto"/>
        </w:rPr>
      </w:pPr>
    </w:p>
    <w:p>
      <w:pPr>
        <w:ind w:left="660" w:hanging="4"/>
        <w:spacing w:after="0" w:line="258" w:lineRule="auto"/>
        <w:tabs>
          <w:tab w:leader="none" w:pos="966" w:val="left"/>
        </w:tabs>
        <w:numPr>
          <w:ilvl w:val="0"/>
          <w:numId w:val="215"/>
        </w:numPr>
        <w:rPr>
          <w:rFonts w:ascii="Arial" w:cs="Arial" w:eastAsia="Arial" w:hAnsi="Arial"/>
          <w:sz w:val="17"/>
          <w:szCs w:val="17"/>
          <w:color w:val="auto"/>
        </w:rPr>
      </w:pPr>
      <w:r>
        <w:rPr>
          <w:rFonts w:ascii="Arial" w:cs="Arial" w:eastAsia="Arial" w:hAnsi="Arial"/>
          <w:sz w:val="17"/>
          <w:szCs w:val="17"/>
          <w:color w:val="auto"/>
        </w:rPr>
        <w:t>change any of the provisions of Section 7.03, or Section 4.02 of the Collateral Agreement and/or the similar “waterfall” provisions in the other Security Documents referred to therein, without the written consent of each Lender directly and adversely affected thereby;</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no such agreement shall amend, modify or otherwise affect the rights or duties of the Administrative Agent, the Collateral Agent or the Issuing Bank without the prior written consent of the Administrative Agent, Collateral Agent or the Issuing Bank, as the case may be, including, without limitation, any amendment of this Section, (B) any provision of this Agreement or any other Loan Document may be amended by an agreement in</w:t>
      </w:r>
    </w:p>
    <w:p>
      <w:pPr>
        <w:spacing w:after="0" w:line="231" w:lineRule="auto"/>
        <w:rPr>
          <w:sz w:val="20"/>
          <w:szCs w:val="20"/>
          <w:color w:val="auto"/>
        </w:rPr>
      </w:pPr>
      <w:r>
        <w:rPr>
          <w:rFonts w:ascii="Arial" w:cs="Arial" w:eastAsia="Arial" w:hAnsi="Arial"/>
          <w:sz w:val="16"/>
          <w:szCs w:val="16"/>
          <w:color w:val="auto"/>
        </w:rPr>
        <w:t>writing entered into by Holdings, the Borrower and the Administrative Agent to cure any ambiguity, omission, mistake, error, defect or inconsistency and</w:t>
      </w:r>
    </w:p>
    <w:p>
      <w:pPr>
        <w:jc w:val="both"/>
        <w:ind w:firstLine="8"/>
        <w:spacing w:after="0"/>
        <w:tabs>
          <w:tab w:leader="none" w:pos="28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any provision of this Agreement or any other Loan Document may be amended by an agreement in writing entered into by Holdings, the Borrower and the Administrative Agent to (i) increase the interest rates (including any interest rate margins or interest rate floors), fees and other amounts payable to any Class or Classes of Lenders hereunder, (ii) add, increase, expand and/or extend call protection provisions and prepayment premiums and any “most favored nation” provisions benefiting any Class or Classes of Lenders hereunder and/or (iii) modify any other provision hereunder or under any other Loan Document in a manner, as determined by the Administrative Agent in its sole discretion, more favorable to the then-existing Lenders or Class or Classes of Lenders, in each case of this clause (C), in connection with the issuance or incurrence of any Incremental Facilities or other Indebtedness permitted hereunder, where the terms of any such Incremental Facilities or other Indebtedness are more favorable to the lenders thereof than the corresponding terms applicable to other Loans or Commitments then existing hereunder, and it is intended that one or more then-existing Classes of Loans or Commitments under this Agreement share in the benefit of such more favorable terms in order to comply with the provisions hereof relating to the incurrence of such Incremental Facilities or other Indebtedness, and (D)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solely by the Borrower and the requisite percentage in interest of the affected Class of Lenders that would be required to consent thereto under this Section if such Class of Lenders were the only Class of Lenders hereunder at the time (“</w:t>
      </w:r>
      <w:r>
        <w:rPr>
          <w:rFonts w:ascii="Arial" w:cs="Arial" w:eastAsia="Arial" w:hAnsi="Arial"/>
          <w:sz w:val="16"/>
          <w:szCs w:val="16"/>
          <w:u w:val="single" w:color="auto"/>
          <w:color w:val="auto"/>
        </w:rPr>
        <w:t>Required Class Lenders</w:t>
      </w:r>
      <w:r>
        <w:rPr>
          <w:rFonts w:ascii="Arial" w:cs="Arial" w:eastAsia="Arial" w:hAnsi="Arial"/>
          <w:sz w:val="16"/>
          <w:szCs w:val="16"/>
          <w:color w:val="auto"/>
        </w:rPr>
        <w:t>”). Notwithstanding the foregoing, (a) this Agreement may be amended (or amended and restated) with the written consent of the Required Lenders, the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(ii) to include appropriately the Lenders holding such credit facilities in any determination of the Required Lenders on substantially the same basis as the Lenders prior to such inclusion, (b) this Agreement and other Loan Documents may be amended or supplemented by an agreement or agreements in writing entered into by the Administrative Agent and Holdings, the Borrower or any Loan Party as to which such agreement or agreements is to apply, without the need to obtain the consent of any Lender, to include “parallel debt” or similar provisions, and any authorizations or granting of powers by the Lenders and the other Secured Parties in favor of the Collateral Agent, in each case required to create in favor of the Collateral Agent any security interest contemplated to be created under this Agreement, or to perfect any such security interest, where the Administrative Agent shall have been advised by its counsel that such provisions are necessary or advisable under local law for such purpose (with Holdings and the Borrower hereby agreeing to, and to cause their subsidiaries to, enter into any such agreement or agreements upon reasonable request of the Administrative Agent promptly upon such request) and (c) upon notice thereof by the Borrower to the Administrative Agent with respect to the inclusion of any previously absent financial maintenance covenant or other covenant, this Agreement shall be amended by an agreement in writing entered into by the Borrower and the Administrative Agent without the need to obtain the consent of any Lender to include any such covenant and any related equity cure provision on the date of the incurrence of the applicable Indebtedness to the extent required by the terms of such definition or section. Notwithstanding the foregoing, amendments to or waivers of guarantees, collateral security documents and related documents in connection with this Agreement may be in a form reasonably determined by the Administrative Agent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136</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Borrower and may be, together with this Agreement and the other Loan Documents, amended and waived with the consent of the Administrative Agent at the request of the Borrower without the need to obtain the consent of any other Lender if such amendment or waiver is delivered in order (i) to comply with local law or advice of local counsel, (ii) to cure ambiguities or defects or (iii) to cause such guarantee, collateral security document or other document to be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this Agreement and the other Loan Documents.</w:t>
      </w:r>
    </w:p>
    <w:p>
      <w:pPr>
        <w:spacing w:after="0" w:line="169" w:lineRule="exact"/>
        <w:rPr>
          <w:sz w:val="20"/>
          <w:szCs w:val="20"/>
          <w:color w:val="auto"/>
        </w:rPr>
      </w:pPr>
    </w:p>
    <w:p>
      <w:pPr>
        <w:ind w:firstLine="656"/>
        <w:spacing w:after="0" w:line="238" w:lineRule="auto"/>
        <w:tabs>
          <w:tab w:leader="none" w:pos="1028" w:val="left"/>
        </w:tabs>
        <w:numPr>
          <w:ilvl w:val="0"/>
          <w:numId w:val="217"/>
        </w:numPr>
        <w:rPr>
          <w:rFonts w:ascii="Arial" w:cs="Arial" w:eastAsia="Arial" w:hAnsi="Arial"/>
          <w:sz w:val="16"/>
          <w:szCs w:val="16"/>
          <w:color w:val="auto"/>
        </w:rPr>
      </w:pPr>
      <w:r>
        <w:rPr>
          <w:rFonts w:ascii="Arial" w:cs="Arial" w:eastAsia="Arial" w:hAnsi="Arial"/>
          <w:sz w:val="16"/>
          <w:szCs w:val="16"/>
          <w:color w:val="auto"/>
        </w:rPr>
        <w:t>In connection with any proposed amendment, modification, waiver or termination (a “</w:t>
      </w:r>
      <w:r>
        <w:rPr>
          <w:rFonts w:ascii="Arial" w:cs="Arial" w:eastAsia="Arial" w:hAnsi="Arial"/>
          <w:sz w:val="16"/>
          <w:szCs w:val="16"/>
          <w:u w:val="single" w:color="auto"/>
          <w:color w:val="auto"/>
        </w:rPr>
        <w:t>Proposed Change</w:t>
      </w:r>
      <w:r>
        <w:rPr>
          <w:rFonts w:ascii="Arial" w:cs="Arial" w:eastAsia="Arial" w:hAnsi="Arial"/>
          <w:sz w:val="16"/>
          <w:szCs w:val="16"/>
          <w:color w:val="auto"/>
        </w:rPr>
        <w:t>”) requiring the consent of all Lenders (or all Lenders of a Class) or all directly and adversely affected Lenders (or all directly and adversely affected Lenders of a Class), if the consent of the Required Lenders to such Proposed Change is obtained, but the consent to such Proposed Change of other Lenders whose consent is required is not obtained (any such Lender whose consent is not obtained as described in paragraph (b) of this Section being referred to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then, the Borrower may, at its sole expense and effort, upon notice to such Non-Consenting Lender and the Administrative Agent, require such Non-Consenting Lender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and obligations under this Agreement to an Eligible Assignee that shall assume such obligations (which Eligible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have received the prior written consent of the Administrative Agent to the extent such consent would be required under Section 9.04(b) for an assignment of Loans or Commitments, as applicable (and, if a Revolving Commitment is being assigned, each Issuing Bank), which consent shall not unreasonably be withheld, (b) such Non-Consenting Lender shall have received payment of an amount equal to the outstanding par principal amount of its Loans and participations in LC Disbursements, accrued interest thereon, accrued fees and all other amounts (including any amounts under </w:t>
      </w:r>
      <w:r>
        <w:rPr>
          <w:rFonts w:ascii="Arial" w:cs="Arial" w:eastAsia="Arial" w:hAnsi="Arial"/>
          <w:sz w:val="16"/>
          <w:szCs w:val="16"/>
          <w:u w:val="single" w:color="auto"/>
          <w:color w:val="auto"/>
        </w:rPr>
        <w:t>Section 2.11(a)(i)</w:t>
      </w:r>
      <w:r>
        <w:rPr>
          <w:rFonts w:ascii="Arial" w:cs="Arial" w:eastAsia="Arial" w:hAnsi="Arial"/>
          <w:sz w:val="16"/>
          <w:szCs w:val="16"/>
          <w:color w:val="auto"/>
        </w:rPr>
        <w:t>), payable to it hereunder from or on behalf of the Eligible Assignee (to the extent of such outstanding principal and accrued interest and fees) or the Borrower (in the case of all other amounts) and (c) unless waived, the Borrower or such Eligible Assignee shall have paid to the Administrative Agent the processing and recordation fee specified in Section 9.04(b).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w:t>
      </w:r>
    </w:p>
    <w:p>
      <w:pPr>
        <w:spacing w:after="0" w:line="172" w:lineRule="exact"/>
        <w:rPr>
          <w:rFonts w:ascii="Arial" w:cs="Arial" w:eastAsia="Arial" w:hAnsi="Arial"/>
          <w:sz w:val="16"/>
          <w:szCs w:val="16"/>
          <w:color w:val="auto"/>
        </w:rPr>
      </w:pPr>
    </w:p>
    <w:p>
      <w:pPr>
        <w:jc w:val="both"/>
        <w:ind w:firstLine="656"/>
        <w:spacing w:after="0" w:line="229" w:lineRule="auto"/>
        <w:tabs>
          <w:tab w:leader="none" w:pos="1096"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or the other Loan Documents to the contrary, Revolving Commitments, Revolving Exposure and Term Loans of any Lender that is at the time a Defaulting Lender shall not have any voting or approval rights under the Loan Documents and shall be excluded in determining whether all Lenders (or all Lenders of a Class), all affected Lenders (or all affected Lenders of a Class), Required Class Lenders or the Required Lenders have taken or may take any action hereunder (including any consent to any amendment or waiver pursuant to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Commitment of any Defaulting Lender may not be increased or extended without the consent of such Defaulting Lender and (ii) any waiver, amendment or modification requiring the consent of all Lenders or each affected Lender that affects any Defaulting Lender more adversely than other affected Lenders shall require the consent of such Defaulting Lender.</w:t>
      </w:r>
    </w:p>
    <w:p>
      <w:pPr>
        <w:spacing w:after="0" w:line="179" w:lineRule="exact"/>
        <w:rPr>
          <w:rFonts w:ascii="Arial" w:cs="Arial" w:eastAsia="Arial" w:hAnsi="Arial"/>
          <w:sz w:val="17"/>
          <w:szCs w:val="17"/>
          <w:color w:val="auto"/>
        </w:rPr>
      </w:pPr>
    </w:p>
    <w:p>
      <w:pPr>
        <w:jc w:val="both"/>
        <w:ind w:firstLine="656"/>
        <w:spacing w:after="0" w:line="227" w:lineRule="auto"/>
        <w:tabs>
          <w:tab w:leader="none" w:pos="107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or the other Loan Documents to the contrary, each Affiliated Lender (other than an Affiliated Debt Fund) hereby agrees that, if a proceeding under the U.S. Bankruptcy Code or any other Federal, state or foreign bankruptcy, insolvency, receivership or similar law shall be commenced by or against the Borrower or any other Loan Party at a time when such Lender is an Affiliated Lender, such Affiliated Lender irrevocably authorizes and empowers the Administrative Agent to vote on behalf of such Affiliated Lender with respect to the Loans held by such Affiliated Lender in any manner in the Administrative Agent’s sole discretion, unless the Administrative Agent instructs such Affiliated Lender to vote, in which case such Affiliated Lender shall vote with respect to the Loans held by it as the Administrative Agent directs;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Affiliated Lender shall be entitled to vote in accordance with its sole discretion (and not in accordance with the direction of the Administrative Agent) in connection with any plan of reorganization to the extent any such plan of reorganization proposes to treat any Secured Obligations held by such Affiliated Lender in a manner that is less favorable in any material respect to such Affiliated Lender than the proposed treatment of similar Secured Obligations held by Lenders that are not Affiliates of the Borrower.</w:t>
      </w:r>
    </w:p>
    <w:p>
      <w:pPr>
        <w:spacing w:after="0" w:line="162" w:lineRule="exact"/>
        <w:rPr>
          <w:rFonts w:ascii="Arial" w:cs="Arial" w:eastAsia="Arial" w:hAnsi="Arial"/>
          <w:sz w:val="17"/>
          <w:szCs w:val="17"/>
          <w:color w:val="auto"/>
        </w:rPr>
      </w:pPr>
    </w:p>
    <w:p>
      <w:pPr>
        <w:ind w:firstLine="656"/>
        <w:spacing w:after="0" w:line="258" w:lineRule="auto"/>
        <w:tabs>
          <w:tab w:leader="none" w:pos="1039"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Without any further consent of the Lenders, the Administrative Agent and the Collateral Agent shall be authorized to negotiate, execute and deliver on behalf of the Secured Parties any Intercreditor Agreement in a form substantially consistent with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hereto.</w:t>
      </w:r>
    </w:p>
    <w:p>
      <w:pPr>
        <w:spacing w:after="0" w:line="160" w:lineRule="exact"/>
        <w:rPr>
          <w:rFonts w:ascii="Arial" w:cs="Arial" w:eastAsia="Arial" w:hAnsi="Arial"/>
          <w:sz w:val="17"/>
          <w:szCs w:val="17"/>
          <w:color w:val="auto"/>
        </w:rPr>
      </w:pPr>
    </w:p>
    <w:p>
      <w:pPr>
        <w:jc w:val="both"/>
        <w:ind w:firstLine="656"/>
        <w:spacing w:after="0" w:line="224" w:lineRule="auto"/>
        <w:tabs>
          <w:tab w:leader="none" w:pos="112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Notwithstanding the foregoing, only the Required Revolving Lenders shall have the ability to waive, amend, supplement or modify the covenant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(solely as it relates to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or any component definition of the covenant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(solely as it relates to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137</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63" w:lineRule="exact"/>
        <w:rPr>
          <w:sz w:val="20"/>
          <w:szCs w:val="20"/>
          <w:color w:val="auto"/>
        </w:rPr>
      </w:pPr>
    </w:p>
    <w:p>
      <w:pPr>
        <w:jc w:val="both"/>
        <w:ind w:firstLine="656"/>
        <w:spacing w:after="0"/>
        <w:tabs>
          <w:tab w:leader="none" w:pos="1041" w:val="left"/>
        </w:tabs>
        <w:numPr>
          <w:ilvl w:val="0"/>
          <w:numId w:val="218"/>
        </w:numPr>
        <w:rPr>
          <w:rFonts w:ascii="Arial" w:cs="Arial" w:eastAsia="Arial" w:hAnsi="Arial"/>
          <w:sz w:val="16"/>
          <w:szCs w:val="16"/>
          <w:color w:val="auto"/>
        </w:rPr>
      </w:pPr>
      <w:r>
        <w:rPr>
          <w:rFonts w:ascii="Arial" w:cs="Arial" w:eastAsia="Arial" w:hAnsi="Arial"/>
          <w:sz w:val="16"/>
          <w:szCs w:val="16"/>
          <w:color w:val="auto"/>
        </w:rPr>
        <w:t>Notwithstanding anything to the contrary herein, in connection with any determination as to whether the Required Lenders or Required Class Lenders have (A) 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(x) any Lender that is a Regulated Bank, (y) any Revolving Lender as of the Closing Date and (z) any Affiliate of any of the foregoing)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Arial" w:cs="Arial" w:eastAsia="Arial" w:hAnsi="Arial"/>
          <w:sz w:val="16"/>
          <w:szCs w:val="16"/>
          <w:u w:val="single" w:color="auto"/>
          <w:color w:val="auto"/>
        </w:rPr>
        <w:t>Net Short Lender</w:t>
      </w:r>
      <w:r>
        <w:rPr>
          <w:rFonts w:ascii="Arial" w:cs="Arial" w:eastAsia="Arial" w:hAnsi="Arial"/>
          <w:sz w:val="16"/>
          <w:szCs w:val="16"/>
          <w:color w:val="auto"/>
        </w:rPr>
        <w:t>”)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the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and (y) the Borrower and the other Loan Parties and any instrument issued or guaranteed by any of the Borrower or other Loan Parties, collectively, shall represent less than five percent (5%) of the components of such index, (iv) derivative transactions that are documented using either the 2014 ISDA Credit Derivatives Definitions or the 2003 ISDA Credit Derivative Definitions (collectively, the “</w:t>
      </w:r>
      <w:r>
        <w:rPr>
          <w:rFonts w:ascii="Arial" w:cs="Arial" w:eastAsia="Arial" w:hAnsi="Arial"/>
          <w:sz w:val="16"/>
          <w:szCs w:val="16"/>
          <w:u w:val="single" w:color="auto"/>
          <w:color w:val="auto"/>
        </w:rPr>
        <w:t>ISDA CDS Definitions</w:t>
      </w:r>
      <w:r>
        <w:rPr>
          <w:rFonts w:ascii="Arial" w:cs="Arial" w:eastAsia="Arial" w:hAnsi="Arial"/>
          <w:sz w:val="16"/>
          <w:szCs w:val="16"/>
          <w:color w:val="auto"/>
        </w:rPr>
        <w:t>”)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any of the Borrower or other Loan Parties other than, in each case, as part of an index so long as (x) such index is not created, designed, administered or requested by such Lender and (y) the Borrower and other Loan Parties and any instrument issued or guaranteed by any of the Borrower or other Loan Parties, collectively, shall represent less than five percent (5%) of the components of such index. In connection with any such determination, each Lender shall promptly notify the Administrative Agent in writing that it is a Net Short Lender, or shall otherwise be deemed to have represented and warranted to the Borrower and the Administrative Agent that it is not a Net Short Lender (it being understood and agreed that the Borrower and the Administrative Agent shall be entitled to rely on each such representation and deemed representation).</w:t>
      </w:r>
    </w:p>
    <w:p>
      <w:pPr>
        <w:spacing w:after="0" w:line="268" w:lineRule="exact"/>
        <w:rPr>
          <w:rFonts w:ascii="Arial" w:cs="Arial" w:eastAsia="Arial" w:hAnsi="Arial"/>
          <w:sz w:val="16"/>
          <w:szCs w:val="16"/>
          <w:color w:val="auto"/>
        </w:rPr>
      </w:pPr>
    </w:p>
    <w:p>
      <w:pPr>
        <w:jc w:val="both"/>
        <w:ind w:firstLine="656"/>
        <w:spacing w:after="0" w:line="239" w:lineRule="auto"/>
        <w:tabs>
          <w:tab w:leader="none" w:pos="108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VII for the benefit of all the Lenders and the Issuing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Issuing Banks from exercising the rights and remedies that inure to its benefit (solely in its capacity as Issuing Bank, as the case may be) hereunder and under the other Loan Documents, (c) any Lender from exercising setoff rights in accordance with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there is no Person acting as Administrative Agent hereunder and under the other Loan Documents, then (i) the Required Lenders shall have the rights otherwise ascribed to the Administrative Agent pursuant to Article VII and (ii) in addition to the matters set forth in clauses (b) and (c) of the preceding proviso and subject to </w:t>
      </w:r>
      <w:r>
        <w:rPr>
          <w:rFonts w:ascii="Arial" w:cs="Arial" w:eastAsia="Arial" w:hAnsi="Arial"/>
          <w:sz w:val="16"/>
          <w:szCs w:val="16"/>
          <w:u w:val="single" w:color="auto"/>
          <w:color w:val="auto"/>
        </w:rPr>
        <w:t>Section 2.18</w:t>
      </w:r>
      <w:r>
        <w:rPr>
          <w:rFonts w:ascii="Arial" w:cs="Arial" w:eastAsia="Arial" w:hAnsi="Arial"/>
          <w:sz w:val="16"/>
          <w:szCs w:val="16"/>
          <w:color w:val="auto"/>
        </w:rPr>
        <w:t>, any Lender may, with the consent of the Required Lenders, enforce any rights and remedies available to it and as authorized by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138</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6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color w:val="auto"/>
        </w:rPr>
        <w:t>Expenses; Indemnity; Damage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863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1863725" cy="8255"/>
                    </a:xfrm>
                    <a:prstGeom prst="rect">
                      <a:avLst/>
                    </a:prstGeom>
                    <a:noFill/>
                  </pic:spPr>
                </pic:pic>
              </a:graphicData>
            </a:graphic>
          </wp:anchor>
        </w:drawing>
      </w:r>
    </w:p>
    <w:p>
      <w:pPr>
        <w:spacing w:after="0" w:line="165" w:lineRule="exact"/>
        <w:rPr>
          <w:sz w:val="20"/>
          <w:szCs w:val="20"/>
          <w:color w:val="auto"/>
        </w:rPr>
      </w:pPr>
    </w:p>
    <w:p>
      <w:pPr>
        <w:jc w:val="both"/>
        <w:ind w:firstLine="656"/>
        <w:spacing w:after="0" w:line="239" w:lineRule="auto"/>
        <w:tabs>
          <w:tab w:leader="none" w:pos="106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The Borrower shall pay, if the Effective Date occurs, (i) all reasonable and documented or invoiced out of pocket expenses incurred by the Administrative Agent, the Collateral Agent, the Lead Arrangers, the Joint Bookrunners and their Affiliates (without duplication), including the reasonable fees, charges and disbursements of counsel for the Administrative Agent and to the extent reasonably determined by the Administrative Agent to be necessary one local counsel in each applicable jurisdiction or otherwise retained with the Borrower’s consent, in each case for the Administrative Agent, the Collateral Agent, the Lead Arrangers and the Joint Bookrunners, and to the extent retained with the Borrower’s consent, consultants, in connection with the syndication of the credit facilities provided for herein, the preparation and administration of the Loan Documents or any amendments, modifications or waivers of the provisions thereof and (ii) all reasonable and documented or invoiced out-of-pocket expenses incurred by the Administrative Agent and the Collateral Agent, each Issuing Bank, the Lead Arrangers, the Joint Bookrunners or any Lender, including the fees, charges and disbursements of counsel for the Administrative Agent and the Collateral Agent, the Issuing Banks, the Lead Arrangers, the Joint Bookrunners and the Lenders, in connection with the enforcement or protection of their respective rights in connection with the Loan Documents, including their respective rights under this Section, or in connection with the Loans made or Letters of Credit issued hereunder, including all such out-of-pocket expenses incurred during any workout, restructuring or negotiations in respect of such Loans or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counsel shall be limited to one lead counsel and one local counsel in each applicable jurisdiction and, in the case of a conflict of interest, one additional counsel per class of similarly situated affected parties.</w:t>
      </w:r>
    </w:p>
    <w:p>
      <w:pPr>
        <w:spacing w:after="0" w:line="169" w:lineRule="exact"/>
        <w:rPr>
          <w:rFonts w:ascii="Arial" w:cs="Arial" w:eastAsia="Arial" w:hAnsi="Arial"/>
          <w:sz w:val="16"/>
          <w:szCs w:val="16"/>
          <w:color w:val="auto"/>
        </w:rPr>
      </w:pPr>
    </w:p>
    <w:p>
      <w:pPr>
        <w:jc w:val="both"/>
        <w:ind w:firstLine="656"/>
        <w:spacing w:after="0" w:line="238" w:lineRule="auto"/>
        <w:tabs>
          <w:tab w:leader="none" w:pos="105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Borrower shall indemnify each Agent, each Issuing Bank, each Lender, the Lead Arrangers and the Joint Bookrunners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reasonable and documented or invoiced out-of-pocket fees and expenses of one counsel and one local counsel in each applicable jurisdiction (and, in the case of a conflict of interest, where the Indemnitee affected by such conflict notifies the Borrower of the existence of such conflict and thereafter retains its own counsel, one additional counsel per class of similarly situated affected Indemnitees) for all Indemnitees (which may include a single special counsel acting in multiple jurisdictions), incurred by or asserted against any Indemnitee by any third party or by Holdings, the Borrower or any Subsidiary arising out of, in connection with, or as a result of (i) the execution or delivery of any Loan Document or any other agreement or instrument contemplated thereby, the performance by the parties to the Loan Documents of their respective obligations thereunder or the consummation of the Transactions or any other transactions contemplated thereby,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to the extent in any way arising from or relating to any of the foregoing, any actual or alleged presence or Release of Hazardous Materials on, at or from any property currently or formerly owned or operated by Holdings, the Borrower or any Restricted Subsidiary, or any other Environmental Liability, related to Holdings, the Borrower or any Subsidiary, or (iv) any actual or prospective claim, litigation, investigation or proceeding relating to any of the foregoing, whether based on contract, tort or any other theory, whether brought by a third party or by Holdings, the Borrower or any Subsidiary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(i) are determined by a court of competent jurisdiction by final, non-appealable judgment to have resulted from the gross negligence, bad faith or willful misconduct of, or a material breach of the Loan Documents by, such Indemnitee or its Related Parties or (ii) any dispute between or among Indemnitees not arising from an act or omission by Holdings, the Borrower or any of the Restricted Subsidiaries except that each Agent, the Lead Arrangers and the Joint Bookrunners shall be indemnified in their capacities as such to the extent that none of the exceptions set forth in clause (i) applies to such Person at such time. This </w:t>
      </w:r>
      <w:r>
        <w:rPr>
          <w:rFonts w:ascii="Arial" w:cs="Arial" w:eastAsia="Arial" w:hAnsi="Arial"/>
          <w:sz w:val="16"/>
          <w:szCs w:val="16"/>
          <w:u w:val="single" w:color="auto"/>
          <w:color w:val="auto"/>
        </w:rPr>
        <w:t>Section 9.03(b)</w:t>
      </w:r>
      <w:r>
        <w:rPr>
          <w:rFonts w:ascii="Arial" w:cs="Arial" w:eastAsia="Arial" w:hAnsi="Arial"/>
          <w:sz w:val="16"/>
          <w:szCs w:val="16"/>
          <w:color w:val="auto"/>
        </w:rPr>
        <w:t xml:space="preserve"> shall not apply with respect to Taxes other than Taxes that represent losses, claims, damages, etc. arising from any non-Tax claim.</w:t>
      </w:r>
    </w:p>
    <w:p>
      <w:pPr>
        <w:spacing w:after="0" w:line="164" w:lineRule="exact"/>
        <w:rPr>
          <w:rFonts w:ascii="Arial" w:cs="Arial" w:eastAsia="Arial" w:hAnsi="Arial"/>
          <w:sz w:val="16"/>
          <w:szCs w:val="16"/>
          <w:color w:val="auto"/>
        </w:rPr>
      </w:pPr>
    </w:p>
    <w:p>
      <w:pPr>
        <w:ind w:right="20" w:firstLine="656"/>
        <w:spacing w:after="0" w:line="227" w:lineRule="auto"/>
        <w:tabs>
          <w:tab w:leader="none" w:pos="1028"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To the extent permitted by applicable law (i) the Borrower and any Loan Party shall not assert, and the Borrower and each Loan Party hereby waives, any claim against the Administrative Agent, any Arranger, any Issuing Bank and any Lender, and any Related Party of any of the foregoing Persons (each such Person being called a “</w:t>
      </w:r>
      <w:r>
        <w:rPr>
          <w:rFonts w:ascii="Arial" w:cs="Arial" w:eastAsia="Arial" w:hAnsi="Arial"/>
          <w:sz w:val="17"/>
          <w:szCs w:val="17"/>
          <w:b w:val="1"/>
          <w:bCs w:val="1"/>
          <w:i w:val="1"/>
          <w:iCs w:val="1"/>
          <w:color w:val="auto"/>
        </w:rPr>
        <w:t>Lender-Related Person</w:t>
      </w:r>
      <w:r>
        <w:rPr>
          <w:rFonts w:ascii="Arial" w:cs="Arial" w:eastAsia="Arial" w:hAnsi="Arial"/>
          <w:sz w:val="17"/>
          <w:szCs w:val="17"/>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other than Liabilities resulting from the willful misconduct, bad faith or gross negligence of the Administrative Agent, any Arranger, any Issuing Bank, any Lender or any Lender-Related Person,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Section 9.03(c) shall relieve the Borrower and each Loan Party of any obligation it may have to indemnify an Indemnitee,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139</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provided in Section 9.03(b), against any special, indirect, consequential or punitive damages asserted against such Indemnitee by a third party.</w:t>
      </w:r>
    </w:p>
    <w:p>
      <w:pPr>
        <w:spacing w:after="0" w:line="196" w:lineRule="exact"/>
        <w:rPr>
          <w:sz w:val="20"/>
          <w:szCs w:val="20"/>
          <w:color w:val="auto"/>
        </w:rPr>
      </w:pPr>
    </w:p>
    <w:p>
      <w:pPr>
        <w:jc w:val="both"/>
        <w:ind w:firstLine="656"/>
        <w:spacing w:after="0" w:line="228" w:lineRule="auto"/>
        <w:tabs>
          <w:tab w:leader="none" w:pos="108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To the extent that the Borrower fails to pay any amount required to be paid by it to the Administrative Agent, the Collateral Agent or any Issuing Bank under paragraph (a) or (b) of this Section, and each Lender severally agrees to pay to the Administrative Agent, Collateral Agent or Issuing Bank, as the case may be, such Lender’s pro rata share (determined as of the time that the applicable unreimbursed expense or indemnity payment is sought)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Collateral Agent or Issuing Bank, in its capacity as such. For purposes hereof, a Lender’s “pro rata share” shall be determined based upon its share of the aggregate Revolving Exposure, outstanding Term Loans and unused Commitments at the time. The obligations of the Lenders under this paragraph (c) are subject to the last sentence of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(which shall apply </w:t>
      </w:r>
      <w:r>
        <w:rPr>
          <w:rFonts w:ascii="Arial" w:cs="Arial" w:eastAsia="Arial" w:hAnsi="Arial"/>
          <w:sz w:val="17"/>
          <w:szCs w:val="17"/>
          <w:u w:val="single" w:color="auto"/>
          <w:color w:val="auto"/>
        </w:rPr>
        <w:t>mutatis mutandis</w:t>
      </w:r>
      <w:r>
        <w:rPr>
          <w:rFonts w:ascii="Arial" w:cs="Arial" w:eastAsia="Arial" w:hAnsi="Arial"/>
          <w:sz w:val="17"/>
          <w:szCs w:val="17"/>
          <w:color w:val="auto"/>
        </w:rPr>
        <w:t xml:space="preserve"> to the Lenders’ obligations under this paragraph (c)).</w:t>
      </w:r>
    </w:p>
    <w:p>
      <w:pPr>
        <w:spacing w:after="0" w:line="174" w:lineRule="exact"/>
        <w:rPr>
          <w:rFonts w:ascii="Arial" w:cs="Arial" w:eastAsia="Arial" w:hAnsi="Arial"/>
          <w:sz w:val="17"/>
          <w:szCs w:val="17"/>
          <w:color w:val="auto"/>
        </w:rPr>
      </w:pPr>
    </w:p>
    <w:p>
      <w:pPr>
        <w:jc w:val="both"/>
        <w:ind w:firstLine="656"/>
        <w:spacing w:after="0" w:line="232" w:lineRule="auto"/>
        <w:tabs>
          <w:tab w:leader="none" w:pos="10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none of Holdings or the Borrower shall assert, and each hereby waives, any claim against any Indemnitee for any damages arising from the use by others of information or other materials obtained through telecommunications, electronic or other information transmission systems (including the Internet),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damages are determined by a court of competent jurisdiction by final, non-appealable judgment to have resulted from the gross negligence or willful misconduct of, or a material breach of the Loan Documents by, such Indemnitee or its Related Parties.</w:t>
      </w:r>
    </w:p>
    <w:p>
      <w:pPr>
        <w:spacing w:after="0" w:line="162" w:lineRule="exact"/>
        <w:rPr>
          <w:rFonts w:ascii="Arial" w:cs="Arial" w:eastAsia="Arial" w:hAnsi="Arial"/>
          <w:sz w:val="17"/>
          <w:szCs w:val="17"/>
          <w:color w:val="auto"/>
        </w:rPr>
      </w:pPr>
    </w:p>
    <w:p>
      <w:pPr>
        <w:jc w:val="both"/>
        <w:ind w:firstLine="656"/>
        <w:spacing w:after="0" w:line="229" w:lineRule="auto"/>
        <w:tabs>
          <w:tab w:leader="none" w:pos="10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All amounts due under this Section shall be payable not later than thirty (30) days after written demand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Indemnitee shall promptly refund an indemnification payment received hereunder to the extent that there is a final judicial determination that such Indemnitee was not entitled to indemnification with respect to such payment pursuant to this </w:t>
      </w:r>
      <w:r>
        <w:rPr>
          <w:rFonts w:ascii="Arial" w:cs="Arial" w:eastAsia="Arial" w:hAnsi="Arial"/>
          <w:sz w:val="18"/>
          <w:szCs w:val="18"/>
          <w:u w:val="single" w:color="auto"/>
          <w:color w:val="auto"/>
        </w:rPr>
        <w:t>Section 9.03</w:t>
      </w:r>
      <w:r>
        <w:rPr>
          <w:rFonts w:ascii="Arial" w:cs="Arial" w:eastAsia="Arial" w:hAnsi="Arial"/>
          <w:sz w:val="18"/>
          <w:szCs w:val="18"/>
          <w:color w:val="auto"/>
        </w:rPr>
        <w:t>.</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5"/>
          <w:szCs w:val="15"/>
          <w:color w:val="auto"/>
        </w:rPr>
        <w:t>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1931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spacing w:after="0" w:line="178" w:lineRule="exact"/>
        <w:rPr>
          <w:sz w:val="20"/>
          <w:szCs w:val="20"/>
          <w:color w:val="auto"/>
        </w:rPr>
      </w:pPr>
    </w:p>
    <w:p>
      <w:pPr>
        <w:jc w:val="both"/>
        <w:ind w:firstLine="656"/>
        <w:spacing w:after="0" w:line="227" w:lineRule="auto"/>
        <w:tabs>
          <w:tab w:leader="none" w:pos="109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issued any Letter of Credit), Participants (to the extent provided in paragraph (c) of this Section) and, to the extent expressly contemplated hereby, the Related Parties of each of the Agents, the Issuing Bank and the Lenders) any legal or equitable right, remedy or claim under or by reason of this Agreement.</w:t>
      </w:r>
    </w:p>
    <w:p>
      <w:pPr>
        <w:spacing w:after="0" w:line="162" w:lineRule="exact"/>
        <w:rPr>
          <w:rFonts w:ascii="Arial" w:cs="Arial" w:eastAsia="Arial" w:hAnsi="Arial"/>
          <w:sz w:val="17"/>
          <w:szCs w:val="17"/>
          <w:color w:val="auto"/>
        </w:rPr>
      </w:pPr>
    </w:p>
    <w:p>
      <w:pPr>
        <w:jc w:val="both"/>
        <w:ind w:firstLine="656"/>
        <w:spacing w:after="0" w:line="239" w:lineRule="auto"/>
        <w:tabs>
          <w:tab w:leader="none" w:pos="1073"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(i) Subject to the conditions set forth in paragraphs (b)(ii) and (g) below, any Lender may assign to one or more Eligible Assignees all or a portion of its rights and obligations under this Agreement (including all or a portion of its Commitment and the Loans at the time owing to it) with the prior written consent of (A) the Borrower (such consent (except with respect to assignments to competitors of Parent, the Borrower or any Subsidiary)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Borrower shall be required for an assignment (1) by a Term Lender to any Lender or an Affiliate of any Lender, (2) by a Term Lender to an Approved Fund, (3) by a Revolving Lender to any other Revolving Lender or (4) if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has occurred and is continuing unless, in the case of clause (4) above only, such assignment is to a competitor of Parent, the Borrower or any Subsidiary;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Borrower shall have the right to withhold its consent to any assignment if, in order for such assignment to comply with applicable law, any Loan Party would be required to obtain the consent of, or make any filing or registration with, any Governmental Authority, (B) the Administrative Agent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Administrative Agent shall be required for an assignment of a Term Loan to a Lender, an Affiliate of a Lender or an Approved Fund or to Holdings or any Affiliate thereof or to an Affiliated Lender or Affiliated Debt Fund and (C) solely in the case of assignments of Revolving Loans and Revolving Commitments to an Eligible Assignee each Issuing Bank (in each case,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no consent of any Issuing Bank shall be required for an assignment of all or any portion of a Term Loan or Term Commitment. Notwithstanding anything in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to the contrary, if the consent of the Borrower is required by this paragraph with respect to any assignment of Term Loans and the Borrower has not given the Administrative Agent written notice of its objection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140</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to such assignment within ten (10) Business Days after written notice to the Borrower, the Borrower shall be deemed to have consented to such assignment. In connection with obtaining the Borrower’s consent to assignments of Revolving Loans and Revolving Commitments in accordance with this Section, the Borrower shall be permitted to designate in writing to the Administrative Agent up to two additional individuals (which, for the avoidance of doubt, may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include officers or employees of a Sponsor) who shall be copied on any such consent requests (or receive separate notice of such proposed assignments) from the Administrative Agent.</w:t>
      </w:r>
    </w:p>
    <w:p>
      <w:pPr>
        <w:spacing w:after="0" w:line="161" w:lineRule="exact"/>
        <w:rPr>
          <w:sz w:val="20"/>
          <w:szCs w:val="20"/>
          <w:color w:val="auto"/>
        </w:rPr>
      </w:pPr>
    </w:p>
    <w:p>
      <w:pPr>
        <w:jc w:val="both"/>
        <w:ind w:firstLine="195"/>
        <w:spacing w:after="0" w:line="238" w:lineRule="auto"/>
        <w:tabs>
          <w:tab w:leader="none" w:pos="594"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in the case of a Revolving Loan or Revolving Commitment, $5,000,000 or, in the case of a Term Loan, $1,000,000, unless the Borrower and the Administrative Agent otherwise consent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has occurred and is continuing, (B) each partial assignment shall be made as an assignment of a proportionate part of all the assigning Lender’s rights and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subclause (B) shall not be construed to prohibit assignment of a proportionate part of all the assigning Lender’s rights and obligations in respect of one Class of Commitments or Loans, (C) the parties to each assignment shall execute and deliver to the Administrative Agent an Assignment and Assumption (which shall include a representation by the assignee that it meets all the requirements to be an Eligible Assignee), together (unless waived by the Administrative Agent) with a processing and recordation fee of $3,500,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assignments made pursuant to </w:t>
      </w:r>
      <w:r>
        <w:rPr>
          <w:rFonts w:ascii="Arial" w:cs="Arial" w:eastAsia="Arial" w:hAnsi="Arial"/>
          <w:sz w:val="16"/>
          <w:szCs w:val="16"/>
          <w:u w:val="single" w:color="auto"/>
          <w:color w:val="auto"/>
        </w:rPr>
        <w:t>Section 2.19(b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shall not require the signature of the assigning Lender to become effective; and (D) the assignee, if it shall not be a Lender, shall deliver to the Administrative Agent any tax documentation required by </w:t>
      </w:r>
      <w:r>
        <w:rPr>
          <w:rFonts w:ascii="Arial" w:cs="Arial" w:eastAsia="Arial" w:hAnsi="Arial"/>
          <w:sz w:val="16"/>
          <w:szCs w:val="16"/>
          <w:u w:val="single" w:color="auto"/>
          <w:color w:val="auto"/>
        </w:rPr>
        <w:t>Section 2.17(e)</w:t>
      </w:r>
      <w:r>
        <w:rPr>
          <w:rFonts w:ascii="Arial" w:cs="Arial" w:eastAsia="Arial" w:hAnsi="Arial"/>
          <w:sz w:val="16"/>
          <w:szCs w:val="16"/>
          <w:color w:val="auto"/>
        </w:rPr>
        <w:t xml:space="preserve"> 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 (E) unless the Borrower otherwise consents, no assignment of all or any portion of the Revolving Commitment of a Lender that is also an Issuing Bank may be made unless (1) the assignee shall be or become an Issuing Bank and assume a ratable portion of the rights and obligations of such assignor in its capacity as Issuing Bank, or (2) the assignor agrees, in its discretion, to retain all of its rights with respect to and obligations to make or issue Letters of Credit hereunder in which case the Applicable Fronting Exposure of such assignor may exceed such assignor’s Revolving Commitment for purposes of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by an amount not to exceed the difference between the assignor’s Revolving Commitment prior to such assignment and the assignor’s Revolving Commitment following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has occurred and is continuing.</w:t>
      </w:r>
    </w:p>
    <w:p>
      <w:pPr>
        <w:spacing w:after="0" w:line="164" w:lineRule="exact"/>
        <w:rPr>
          <w:rFonts w:ascii="Arial" w:cs="Arial" w:eastAsia="Arial" w:hAnsi="Arial"/>
          <w:sz w:val="16"/>
          <w:szCs w:val="16"/>
          <w:color w:val="auto"/>
        </w:rPr>
      </w:pPr>
    </w:p>
    <w:p>
      <w:pPr>
        <w:jc w:val="both"/>
        <w:ind w:firstLine="275"/>
        <w:spacing w:after="0" w:line="228" w:lineRule="auto"/>
        <w:tabs>
          <w:tab w:leader="none" w:pos="805" w:val="left"/>
        </w:tabs>
        <w:numPr>
          <w:ilvl w:val="2"/>
          <w:numId w:val="222"/>
        </w:numPr>
        <w:rPr>
          <w:rFonts w:ascii="Arial" w:cs="Arial" w:eastAsia="Arial" w:hAnsi="Arial"/>
          <w:sz w:val="17"/>
          <w:szCs w:val="17"/>
          <w:color w:val="auto"/>
        </w:rPr>
      </w:pPr>
      <w:r>
        <w:rPr>
          <w:rFonts w:ascii="Arial" w:cs="Arial" w:eastAsia="Arial" w:hAnsi="Arial"/>
          <w:sz w:val="17"/>
          <w:szCs w:val="17"/>
          <w:color w:val="auto"/>
        </w:rPr>
        <w:t xml:space="preserve">Subject to acceptance and recording thereof pursuant to paragraph (b)(v)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2.</w:t>
      </w:r>
      <w:r>
        <w:rPr>
          <w:rFonts w:ascii="Arial" w:cs="Arial" w:eastAsia="Arial" w:hAnsi="Arial"/>
          <w:sz w:val="17"/>
          <w:szCs w:val="17"/>
          <w:u w:val="single" w:color="auto"/>
          <w:color w:val="FF0000"/>
        </w:rPr>
        <w:t>16</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and to any fees payable hereunder that have accrued for such Lender’s account but have not yet been paid). Any assignment or transfer by a Lender of rights or obligations under this Agreement that does not comply with this Section shall be treated for purposes of this Agreement as a sale by such Lender of a participation in such rights and obligations in accordance with paragraph (c)(i) of this Section.</w:t>
      </w:r>
    </w:p>
    <w:p>
      <w:pPr>
        <w:spacing w:after="0" w:line="164" w:lineRule="exact"/>
        <w:rPr>
          <w:rFonts w:ascii="Arial" w:cs="Arial" w:eastAsia="Arial" w:hAnsi="Arial"/>
          <w:sz w:val="17"/>
          <w:szCs w:val="17"/>
          <w:color w:val="auto"/>
        </w:rPr>
      </w:pPr>
    </w:p>
    <w:p>
      <w:pPr>
        <w:jc w:val="both"/>
        <w:ind w:firstLine="218"/>
        <w:spacing w:after="0" w:line="228" w:lineRule="auto"/>
        <w:tabs>
          <w:tab w:leader="none" w:pos="681" w:val="left"/>
        </w:tabs>
        <w:numPr>
          <w:ilvl w:val="1"/>
          <w:numId w:val="222"/>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 an agent of Holdings and the Borrower, shall maintain at one of its offices a copy of each Assignment and Assumption delivered to it, each Affiliated Lender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Holdings, the Borrower, the Administrative Agent, the Issuing Banks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and, solely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141</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respect to its Loans or Commitments, any Lender at any reasonable time and from time to time upon reasonable prior notice. Notwithstanding the foregoing, in no event shall the Administrative Agent be obligated to ascertain, monitor or inquire as to whether any Lender or participant or prospective Lender or participant is an Affiliated Lender, nor shall the Administrative Agent be obligated to monitor the aggregate amount of the Loans or Incremental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Term Loans held by Affiliated Lenders. The parties intend that any interest in or with respect to the Loans under this Agreement be treated as being issued and maintained in “registered form” within the meaning of Sections 163(f), 871(h)(2), and 881(c)(2) of the Code and any regulations thereunder (and any successor provisions), including without limitation under United States Treasury Regulations Section 5f.103-1(c) and Proposed Regulations Section 1.163-</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5 (and any successor provisions), and the provisions of this Agreement shall be construed in a manner that gives effect to such intent. Notwithstanding anything contained in this Agreement or any other Loan Document to the contrary, if any Lender was a Disqualified Lender at the time of the assignment of any Loans or Commitments to such Lender, following written notice from the Borrower to such Lender and the Administrative Agent: (1) such Lender shall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promptly assign all Loans and Commitments held by such Lender to an Eligible Assignee;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Administrative Agent shall not have any obligation to the Borrower, such Lender or any other Person to find such a replacement Lender, (B) the Borrower shall not have any obligation to such Disqualified Lender or any other Person to find such a replacement Lender or accept or consent to any such assignment to itself or any other Person subject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to the Borrower’s consent in accordance with </w:t>
      </w:r>
      <w:r>
        <w:rPr>
          <w:rFonts w:ascii="Arial" w:cs="Arial" w:eastAsia="Arial" w:hAnsi="Arial"/>
          <w:sz w:val="16"/>
          <w:szCs w:val="16"/>
          <w:u w:val="single" w:color="auto"/>
          <w:color w:val="auto"/>
        </w:rPr>
        <w:t>Section 9.04(b)(ii)</w:t>
      </w:r>
      <w:r>
        <w:rPr>
          <w:rFonts w:ascii="Arial" w:cs="Arial" w:eastAsia="Arial" w:hAnsi="Arial"/>
          <w:sz w:val="16"/>
          <w:szCs w:val="16"/>
          <w:color w:val="auto"/>
        </w:rPr>
        <w:t xml:space="preserve"> and (C) the assignment of such Loans and/or Commitments, as the case may be, shall be at Fair Market Value; (2) such Lender shall not have any voting or approval rights under the Loan Documents and shall be excluded in determining whether all Lenders (or all Lenders of any Class), all affected Lenders (or all affected Lenders of any Class), Required Class Lenders or the Required Lenders have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taken or may take any action hereunder (including any consent to any amendment or waiver pursuant to Section 9.02);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Commitment of any Disqualified 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Lenders shall require the consent of such Disqualified Lender; and (3) no Disqualified Lender is entitled to receive information provided solely to Lenders by the Administrative Agent or any Lender or will be permitted to attend or participate in meetings attended solely by the Lenders and the Administrative Agent, other than the right to receive notices or Borrowings, notices or prepayments and other administrative notices in respect of its Loans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Commitments required to be delivered to Lenders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69" w:lineRule="exact"/>
        <w:rPr>
          <w:sz w:val="20"/>
          <w:szCs w:val="20"/>
          <w:color w:val="auto"/>
        </w:rPr>
      </w:pPr>
    </w:p>
    <w:p>
      <w:pPr>
        <w:jc w:val="both"/>
        <w:ind w:firstLine="256"/>
        <w:spacing w:after="0" w:line="248" w:lineRule="auto"/>
        <w:tabs>
          <w:tab w:leader="none" w:pos="70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Upon its receipt of a duly completed Assignment and Assumption executed by an assigning Lender and an assignee, the assignee’s completed Administrative Questionnaire and any tax documentation required by </w:t>
      </w:r>
      <w:r>
        <w:rPr>
          <w:rFonts w:ascii="Arial" w:cs="Arial" w:eastAsia="Arial" w:hAnsi="Arial"/>
          <w:sz w:val="16"/>
          <w:szCs w:val="16"/>
          <w:u w:val="single" w:color="auto"/>
          <w:color w:val="auto"/>
        </w:rPr>
        <w:t>Section 2.17(e)</w:t>
      </w:r>
      <w:r>
        <w:rPr>
          <w:rFonts w:ascii="Arial" w:cs="Arial" w:eastAsia="Arial" w:hAnsi="Arial"/>
          <w:sz w:val="16"/>
          <w:szCs w:val="16"/>
          <w:color w:val="auto"/>
        </w:rPr>
        <w:t xml:space="preserv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 (b).</w:t>
      </w:r>
    </w:p>
    <w:p>
      <w:pPr>
        <w:spacing w:after="0" w:line="169" w:lineRule="exact"/>
        <w:rPr>
          <w:rFonts w:ascii="Arial" w:cs="Arial" w:eastAsia="Arial" w:hAnsi="Arial"/>
          <w:sz w:val="16"/>
          <w:szCs w:val="16"/>
          <w:color w:val="auto"/>
        </w:rPr>
      </w:pPr>
    </w:p>
    <w:p>
      <w:pPr>
        <w:jc w:val="both"/>
        <w:ind w:firstLine="273"/>
        <w:spacing w:after="0" w:line="236" w:lineRule="auto"/>
        <w:tabs>
          <w:tab w:leader="none" w:pos="79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9.20</w:t>
      </w:r>
      <w:r>
        <w:rPr>
          <w:rFonts w:ascii="Arial" w:cs="Arial" w:eastAsia="Arial" w:hAnsi="Arial"/>
          <w:sz w:val="17"/>
          <w:szCs w:val="17"/>
          <w:color w:val="auto"/>
        </w:rPr>
        <w:t>, the words “execution,” “signed,” “signature” and words of like import in any Assignment and Assumption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w:t>
      </w:r>
    </w:p>
    <w:p>
      <w:pPr>
        <w:spacing w:after="0" w:line="162" w:lineRule="exact"/>
        <w:rPr>
          <w:rFonts w:ascii="Arial" w:cs="Arial" w:eastAsia="Arial" w:hAnsi="Arial"/>
          <w:sz w:val="17"/>
          <w:szCs w:val="17"/>
          <w:color w:val="auto"/>
        </w:rPr>
      </w:pPr>
    </w:p>
    <w:p>
      <w:pPr>
        <w:jc w:val="both"/>
        <w:ind w:firstLine="656"/>
        <w:spacing w:after="0" w:line="225" w:lineRule="auto"/>
        <w:tabs>
          <w:tab w:leader="none" w:pos="1085" w:val="left"/>
        </w:tabs>
        <w:numPr>
          <w:ilvl w:val="2"/>
          <w:numId w:val="223"/>
        </w:numPr>
        <w:rPr>
          <w:rFonts w:ascii="Arial" w:cs="Arial" w:eastAsia="Arial" w:hAnsi="Arial"/>
          <w:sz w:val="17"/>
          <w:szCs w:val="17"/>
          <w:color w:val="auto"/>
        </w:rPr>
      </w:pPr>
      <w:r>
        <w:rPr>
          <w:rFonts w:ascii="Arial" w:cs="Arial" w:eastAsia="Arial" w:hAnsi="Arial"/>
          <w:sz w:val="17"/>
          <w:szCs w:val="17"/>
          <w:color w:val="auto"/>
        </w:rPr>
        <w:t>(i) Any Lender may, without the prior written consent of the Borrower (except with respect to participations to competitors of Parent, the Borrower or any Subsidiary, in which case the Borrower’s consent shall not be unreasonably withheld or delayed), the Administrative Agent or any Issuing Bank, sell participations to one or more banks or other Persons (other than to a Person that is not an Eligible Assignee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purposes of this provision, Disqualified Lenders shall be deemed to be Eligible Assignees unless a list of Disqualified Lenders has been made available to all Lenders by the Borrower))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 obligations under this Agreement (including all or a portion of its Commitment and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and (C) Holdings,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7"/>
          <w:szCs w:val="17"/>
          <w:u w:val="single" w:color="auto"/>
          <w:color w:val="auto"/>
        </w:rPr>
        <w:t>Section 9.02(b)</w:t>
      </w:r>
      <w:r>
        <w:rPr>
          <w:rFonts w:ascii="Arial" w:cs="Arial" w:eastAsia="Arial" w:hAnsi="Arial"/>
          <w:sz w:val="17"/>
          <w:szCs w:val="17"/>
          <w:color w:val="auto"/>
        </w:rPr>
        <w:t xml:space="preserve"> that directly and adversely affects such Participant. Subject to paragraph (c)(ii) of this Section, the Borrower agrees that each Participant shall be entitled to the benefits of </w:t>
      </w:r>
      <w:r>
        <w:rPr>
          <w:rFonts w:ascii="Arial" w:cs="Arial" w:eastAsia="Arial" w:hAnsi="Arial"/>
          <w:sz w:val="17"/>
          <w:szCs w:val="17"/>
          <w:u w:val="single" w:color="auto"/>
          <w:color w:val="auto"/>
        </w:rPr>
        <w:t>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142</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u w:val="single" w:color="auto"/>
          <w:color w:val="auto"/>
        </w:rPr>
        <w:t>2.15</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to the same extent as if it were a Lender (subject to the requirements and limitations thereof, it being understood that any tax documentation required by </w:t>
      </w:r>
      <w:r>
        <w:rPr>
          <w:rFonts w:ascii="Arial" w:cs="Arial" w:eastAsia="Arial" w:hAnsi="Arial"/>
          <w:sz w:val="16"/>
          <w:szCs w:val="16"/>
          <w:u w:val="single" w:color="auto"/>
          <w:color w:val="auto"/>
        </w:rPr>
        <w:t>Section 2.17(e)</w:t>
      </w:r>
      <w:r>
        <w:rPr>
          <w:rFonts w:ascii="Arial" w:cs="Arial" w:eastAsia="Arial" w:hAnsi="Arial"/>
          <w:sz w:val="16"/>
          <w:szCs w:val="16"/>
          <w:color w:val="auto"/>
        </w:rPr>
        <w:t xml:space="preserve"> shall be provided solely to the Lender that sold the participation) and had acquired its interest by assignment pursuant to paragraph (b)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as though it were an assignee under paragraph</w:t>
      </w:r>
    </w:p>
    <w:p>
      <w:pPr>
        <w:spacing w:after="0" w:line="2" w:lineRule="exact"/>
        <w:rPr>
          <w:sz w:val="20"/>
          <w:szCs w:val="20"/>
          <w:color w:val="auto"/>
        </w:rPr>
      </w:pPr>
    </w:p>
    <w:p>
      <w:pPr>
        <w:ind w:firstLine="8"/>
        <w:spacing w:after="0" w:line="226" w:lineRule="auto"/>
        <w:tabs>
          <w:tab w:leader="none" w:pos="25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of this Section. To the extent permitted by law, each Participant also shall be entitled to the benefits of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as though it were a Lender.</w:t>
      </w:r>
    </w:p>
    <w:p>
      <w:pPr>
        <w:spacing w:after="0" w:line="161" w:lineRule="exact"/>
        <w:rPr>
          <w:rFonts w:ascii="Arial" w:cs="Arial" w:eastAsia="Arial" w:hAnsi="Arial"/>
          <w:sz w:val="18"/>
          <w:szCs w:val="18"/>
          <w:color w:val="auto"/>
        </w:rPr>
      </w:pPr>
    </w:p>
    <w:p>
      <w:pPr>
        <w:jc w:val="both"/>
        <w:ind w:firstLine="217"/>
        <w:spacing w:after="0" w:line="229" w:lineRule="auto"/>
        <w:tabs>
          <w:tab w:leader="none" w:pos="63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 xml:space="preserve">A Participant shall not be entitled to receive any greater payment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w:t>
      </w:r>
    </w:p>
    <w:p>
      <w:pPr>
        <w:spacing w:after="0" w:line="164" w:lineRule="exact"/>
        <w:rPr>
          <w:sz w:val="20"/>
          <w:szCs w:val="20"/>
          <w:color w:val="auto"/>
        </w:rPr>
      </w:pPr>
    </w:p>
    <w:p>
      <w:pPr>
        <w:jc w:val="both"/>
        <w:ind w:firstLine="203"/>
        <w:spacing w:after="0" w:line="227" w:lineRule="auto"/>
        <w:tabs>
          <w:tab w:leader="none" w:pos="659" w:val="left"/>
        </w:tabs>
        <w:numPr>
          <w:ilvl w:val="0"/>
          <w:numId w:val="225"/>
        </w:numPr>
        <w:rPr>
          <w:rFonts w:ascii="Arial" w:cs="Arial" w:eastAsia="Arial" w:hAnsi="Arial"/>
          <w:sz w:val="17"/>
          <w:szCs w:val="17"/>
          <w:color w:val="auto"/>
        </w:rPr>
      </w:pPr>
      <w:r>
        <w:rPr>
          <w:rFonts w:ascii="Arial" w:cs="Arial" w:eastAsia="Arial" w:hAnsi="Arial"/>
          <w:sz w:val="17"/>
          <w:szCs w:val="17"/>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any Loan Document) except to the extent that such disclosure is necessary in connection with a Tax audit or other proceeding to establish that such Commitment, Loan, or other obligation is in registered form under the Code or Treasury Regulations, including, without limitation, Section 5f.103-1(c) of the United States Treasury Regulations. The entries in the Participant Register shall be conclusive (absent manifest error), and each Person whose name is recorded in the Participant Register pursuant to the terms hereof shall be treated as a Participant for all purposes of this Agreement, notwithstanding notice to the contrary. For the avoidance of doubt, the Administrative Agent (in its capacity as Administrative Agent) shall have no responsibility for maintaining a Participant Register.</w:t>
      </w:r>
    </w:p>
    <w:p>
      <w:pPr>
        <w:spacing w:after="0" w:line="176" w:lineRule="exact"/>
        <w:rPr>
          <w:rFonts w:ascii="Arial" w:cs="Arial" w:eastAsia="Arial" w:hAnsi="Arial"/>
          <w:sz w:val="17"/>
          <w:szCs w:val="17"/>
          <w:color w:val="auto"/>
        </w:rPr>
      </w:pPr>
    </w:p>
    <w:p>
      <w:pPr>
        <w:jc w:val="both"/>
        <w:ind w:firstLine="656"/>
        <w:spacing w:after="0" w:line="219" w:lineRule="auto"/>
        <w:tabs>
          <w:tab w:leader="none" w:pos="1069"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62" w:lineRule="exact"/>
        <w:rPr>
          <w:rFonts w:ascii="Arial" w:cs="Arial" w:eastAsia="Arial" w:hAnsi="Arial"/>
          <w:sz w:val="18"/>
          <w:szCs w:val="18"/>
          <w:color w:val="auto"/>
        </w:rPr>
      </w:pPr>
    </w:p>
    <w:p>
      <w:pPr>
        <w:jc w:val="both"/>
        <w:ind w:firstLine="656"/>
        <w:spacing w:after="0" w:line="241" w:lineRule="auto"/>
        <w:tabs>
          <w:tab w:leader="none" w:pos="1029" w:val="left"/>
        </w:tabs>
        <w:numPr>
          <w:ilvl w:val="1"/>
          <w:numId w:val="225"/>
        </w:numPr>
        <w:rPr>
          <w:rFonts w:ascii="Arial" w:cs="Arial" w:eastAsia="Arial" w:hAnsi="Arial"/>
          <w:sz w:val="16"/>
          <w:szCs w:val="16"/>
          <w:color w:val="auto"/>
        </w:rPr>
      </w:pPr>
      <w:r>
        <w:rPr>
          <w:rFonts w:ascii="Arial" w:cs="Arial" w:eastAsia="Arial" w:hAnsi="Arial"/>
          <w:sz w:val="16"/>
          <w:szCs w:val="16"/>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7" w:lineRule="exact"/>
        <w:rPr>
          <w:rFonts w:ascii="Arial" w:cs="Arial" w:eastAsia="Arial" w:hAnsi="Arial"/>
          <w:sz w:val="16"/>
          <w:szCs w:val="16"/>
          <w:color w:val="auto"/>
        </w:rPr>
      </w:pPr>
    </w:p>
    <w:p>
      <w:pPr>
        <w:jc w:val="both"/>
        <w:ind w:firstLine="656"/>
        <w:spacing w:after="0" w:line="226" w:lineRule="auto"/>
        <w:tabs>
          <w:tab w:leader="none" w:pos="1018" w:val="left"/>
        </w:tabs>
        <w:numPr>
          <w:ilvl w:val="1"/>
          <w:numId w:val="225"/>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any Lender (a “</w:t>
      </w:r>
      <w:r>
        <w:rPr>
          <w:rFonts w:ascii="Arial" w:cs="Arial" w:eastAsia="Arial" w:hAnsi="Arial"/>
          <w:sz w:val="17"/>
          <w:szCs w:val="17"/>
          <w:u w:val="single" w:color="auto"/>
          <w:color w:val="auto"/>
        </w:rPr>
        <w:t>Granting Lender</w:t>
      </w:r>
      <w:r>
        <w:rPr>
          <w:rFonts w:ascii="Arial" w:cs="Arial" w:eastAsia="Arial" w:hAnsi="Arial"/>
          <w:sz w:val="17"/>
          <w:szCs w:val="17"/>
          <w:color w:val="auto"/>
        </w:rPr>
        <w:t>”) may grant to a special purpose funding vehicle (an “</w:t>
      </w:r>
      <w:r>
        <w:rPr>
          <w:rFonts w:ascii="Arial" w:cs="Arial" w:eastAsia="Arial" w:hAnsi="Arial"/>
          <w:sz w:val="17"/>
          <w:szCs w:val="17"/>
          <w:u w:val="single" w:color="auto"/>
          <w:color w:val="auto"/>
        </w:rPr>
        <w:t>SPV</w:t>
      </w:r>
      <w:r>
        <w:rPr>
          <w:rFonts w:ascii="Arial" w:cs="Arial" w:eastAsia="Arial" w:hAnsi="Arial"/>
          <w:sz w:val="17"/>
          <w:szCs w:val="17"/>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such party will not institute against, or join any other person in instituting against, such SPV any bankruptcy, reorganization, arrangement, insolvency or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143</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proceedings under the laws of the United States or any State thereof. In addition, notwithstanding anything to the contrary contained in this </w:t>
      </w:r>
      <w:r>
        <w:rPr>
          <w:rFonts w:ascii="Arial" w:cs="Arial" w:eastAsia="Arial" w:hAnsi="Arial"/>
          <w:sz w:val="16"/>
          <w:szCs w:val="16"/>
          <w:u w:val="single" w:color="auto"/>
          <w:color w:val="auto"/>
        </w:rPr>
        <w:t>Section 9.04</w:t>
      </w:r>
      <w:r>
        <w:rPr>
          <w:rFonts w:ascii="Arial" w:cs="Arial" w:eastAsia="Arial" w:hAnsi="Arial"/>
          <w:sz w:val="16"/>
          <w:szCs w:val="16"/>
          <w:color w:val="auto"/>
        </w:rPr>
        <w:t>,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Administrative Agent) providing liquidity or credit support to or for the account of such SPV to support the funding or maintenance of Loans and (ii) disclose on a confidential basis any non-public information relating to its Loans to any rating agency, commercial paper dealer or provider of any surety, guarantee or credit or liquidity enhancement to such SPV. The borrower agrees that each SPV shall be entitled to the benefits of </w:t>
      </w:r>
      <w:r>
        <w:rPr>
          <w:rFonts w:ascii="Arial" w:cs="Arial" w:eastAsia="Arial" w:hAnsi="Arial"/>
          <w:sz w:val="16"/>
          <w:szCs w:val="16"/>
          <w:u w:val="single" w:color="auto"/>
          <w:color w:val="auto"/>
        </w:rPr>
        <w:t>Sections 2.15</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2.16</w:t>
      </w:r>
      <w:r>
        <w:rPr>
          <w:rFonts w:ascii="Arial" w:cs="Arial" w:eastAsia="Arial" w:hAnsi="Arial"/>
          <w:sz w:val="16"/>
          <w:szCs w:val="16"/>
          <w:color w:val="auto"/>
        </w:rPr>
        <w:t xml:space="preserve">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u w:val="single" w:color="auto"/>
          <w:color w:val="auto"/>
        </w:rPr>
        <w:t>2.17</w:t>
      </w:r>
      <w:r>
        <w:rPr>
          <w:rFonts w:ascii="Arial" w:cs="Arial" w:eastAsia="Arial" w:hAnsi="Arial"/>
          <w:sz w:val="16"/>
          <w:szCs w:val="16"/>
          <w:color w:val="auto"/>
        </w:rPr>
        <w:t xml:space="preserve"> to the same extent as if it were a Lender (subject to the requirements and limitations thereof, it being understood that any tax documentation required by </w:t>
      </w:r>
      <w:r>
        <w:rPr>
          <w:rFonts w:ascii="Arial" w:cs="Arial" w:eastAsia="Arial" w:hAnsi="Arial"/>
          <w:sz w:val="16"/>
          <w:szCs w:val="16"/>
          <w:u w:val="single" w:color="auto"/>
          <w:color w:val="auto"/>
        </w:rPr>
        <w:t>Section 2.17(e)</w:t>
      </w:r>
      <w:r>
        <w:rPr>
          <w:rFonts w:ascii="Arial" w:cs="Arial" w:eastAsia="Arial" w:hAnsi="Arial"/>
          <w:sz w:val="16"/>
          <w:szCs w:val="16"/>
          <w:color w:val="auto"/>
        </w:rPr>
        <w:t xml:space="preserve"> shall be provided solely to the Granting Lender) and had acquired its interest by assignment pursuant to paragraph (b)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as though it were an assignee under paragraph (b) of this Section; provided that an SPV</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shall not be entitled to receive any greater payment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than the applicable Granting Lender would have been entitled to receive, unless the grant o such SPV is made with the Borrower’s prior written consent (not to be unreasonable withheld, conditioned or delayed).</w:t>
      </w:r>
    </w:p>
    <w:p>
      <w:pPr>
        <w:spacing w:after="0" w:line="162" w:lineRule="exact"/>
        <w:rPr>
          <w:sz w:val="20"/>
          <w:szCs w:val="20"/>
          <w:color w:val="auto"/>
        </w:rPr>
      </w:pPr>
    </w:p>
    <w:p>
      <w:pPr>
        <w:ind w:firstLine="656"/>
        <w:spacing w:after="0" w:line="246" w:lineRule="auto"/>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Lender may, at any time, assign all or a portion of its rights and obligations under this Agreement to the Affiliated Lenders (and such Affiliated Lenders may contribute the same to the Borrower), subject to the following limitations:</w:t>
      </w:r>
    </w:p>
    <w:p>
      <w:pPr>
        <w:spacing w:after="0" w:line="156" w:lineRule="exact"/>
        <w:rPr>
          <w:rFonts w:ascii="Arial" w:cs="Arial" w:eastAsia="Arial" w:hAnsi="Arial"/>
          <w:sz w:val="18"/>
          <w:szCs w:val="18"/>
          <w:color w:val="auto"/>
        </w:rPr>
      </w:pPr>
    </w:p>
    <w:p>
      <w:pPr>
        <w:jc w:val="both"/>
        <w:ind w:left="660" w:firstLine="644"/>
        <w:spacing w:after="0" w:line="254" w:lineRule="auto"/>
        <w:tabs>
          <w:tab w:leader="none" w:pos="1726" w:val="left"/>
        </w:tabs>
        <w:numPr>
          <w:ilvl w:val="1"/>
          <w:numId w:val="226"/>
        </w:numPr>
        <w:rPr>
          <w:rFonts w:ascii="Arial" w:cs="Arial" w:eastAsia="Arial" w:hAnsi="Arial"/>
          <w:sz w:val="16"/>
          <w:szCs w:val="16"/>
          <w:color w:val="010000"/>
        </w:rPr>
      </w:pPr>
      <w:r>
        <w:rPr>
          <w:rFonts w:ascii="Arial" w:cs="Arial" w:eastAsia="Arial" w:hAnsi="Arial"/>
          <w:sz w:val="16"/>
          <w:szCs w:val="16"/>
          <w:color w:val="auto"/>
        </w:rPr>
        <w:t xml:space="preserve">Affiliated Lenders will not receive information provided solely to Lenders by the Administrative Agent or any Lender and will not be permitted to attend or participate in meetings attended solely by the Lenders and the Administrative Agent, other than the right to receive notices of Borrowings, notices of prepayments and other administrative notices in respect of its Loans or Commitments required to be delivered to Lenders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provisions of this clause will not apply to any Affiliated Debt Fund;</w:t>
      </w:r>
    </w:p>
    <w:p>
      <w:pPr>
        <w:spacing w:after="0" w:line="152" w:lineRule="exact"/>
        <w:rPr>
          <w:rFonts w:ascii="Arial" w:cs="Arial" w:eastAsia="Arial" w:hAnsi="Arial"/>
          <w:sz w:val="16"/>
          <w:szCs w:val="16"/>
          <w:color w:val="010000"/>
        </w:rPr>
      </w:pPr>
    </w:p>
    <w:p>
      <w:pPr>
        <w:jc w:val="both"/>
        <w:ind w:left="660" w:firstLine="644"/>
        <w:spacing w:after="0" w:line="243" w:lineRule="auto"/>
        <w:tabs>
          <w:tab w:leader="none" w:pos="1853" w:val="left"/>
        </w:tabs>
        <w:numPr>
          <w:ilvl w:val="1"/>
          <w:numId w:val="226"/>
        </w:numPr>
        <w:rPr>
          <w:rFonts w:ascii="Arial" w:cs="Arial" w:eastAsia="Arial" w:hAnsi="Arial"/>
          <w:sz w:val="16"/>
          <w:szCs w:val="16"/>
          <w:color w:val="010000"/>
        </w:rPr>
      </w:pPr>
      <w:r>
        <w:rPr>
          <w:rFonts w:ascii="Arial" w:cs="Arial" w:eastAsia="Arial" w:hAnsi="Arial"/>
          <w:sz w:val="16"/>
          <w:szCs w:val="16"/>
          <w:color w:val="auto"/>
        </w:rPr>
        <w:t xml:space="preserve">for purposes of any amendment, waiver or modification of any Loan Document (including such modifications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or, subject to </w:t>
      </w:r>
      <w:r>
        <w:rPr>
          <w:rFonts w:ascii="Arial" w:cs="Arial" w:eastAsia="Arial" w:hAnsi="Arial"/>
          <w:sz w:val="16"/>
          <w:szCs w:val="16"/>
          <w:u w:val="single" w:color="auto"/>
          <w:color w:val="auto"/>
        </w:rPr>
        <w:t>Section 9.02(d)</w:t>
      </w:r>
      <w:r>
        <w:rPr>
          <w:rFonts w:ascii="Arial" w:cs="Arial" w:eastAsia="Arial" w:hAnsi="Arial"/>
          <w:sz w:val="16"/>
          <w:szCs w:val="16"/>
          <w:color w:val="auto"/>
        </w:rPr>
        <w:t xml:space="preserve">, any plan of reorganization or similar dispositive restructuring plan pursuant to the U.S. Bankruptcy Code, that in either case does not require the consent of each Lender or each affected Lender or does not adversely affect such Affiliated Lender in any material respect as compared to other Lenders,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U.S. Bankruptcy Code is not deemed to have been so voted, then such vote will be (x) deemed not to be in good faith and (y) “designated” pursuant to Section 1126(e) of the U.S. Bankruptcy Code such that the vote is not counted in determining whether the applicable class has accepted or rejected such plan in accordance with Section 1126(c) of the U.S. Bankruptcy Code;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Affiliated Debt Funds will not be subject to such voting limitations and will be entitled to vote as any other Lender;</w:t>
      </w:r>
    </w:p>
    <w:p>
      <w:pPr>
        <w:spacing w:after="0" w:line="159" w:lineRule="exact"/>
        <w:rPr>
          <w:rFonts w:ascii="Arial" w:cs="Arial" w:eastAsia="Arial" w:hAnsi="Arial"/>
          <w:sz w:val="16"/>
          <w:szCs w:val="16"/>
          <w:color w:val="010000"/>
        </w:rPr>
      </w:pPr>
    </w:p>
    <w:p>
      <w:pPr>
        <w:jc w:val="both"/>
        <w:ind w:left="660" w:firstLine="644"/>
        <w:spacing w:after="0" w:line="252" w:lineRule="auto"/>
        <w:tabs>
          <w:tab w:leader="none" w:pos="1734" w:val="left"/>
        </w:tabs>
        <w:numPr>
          <w:ilvl w:val="1"/>
          <w:numId w:val="226"/>
        </w:numPr>
        <w:rPr>
          <w:rFonts w:ascii="Arial" w:cs="Arial" w:eastAsia="Arial" w:hAnsi="Arial"/>
          <w:sz w:val="16"/>
          <w:szCs w:val="16"/>
          <w:color w:val="010000"/>
        </w:rPr>
      </w:pPr>
      <w:r>
        <w:rPr>
          <w:rFonts w:ascii="Arial" w:cs="Arial" w:eastAsia="Arial" w:hAnsi="Arial"/>
          <w:sz w:val="16"/>
          <w:szCs w:val="16"/>
          <w:color w:val="auto"/>
        </w:rPr>
        <w:t xml:space="preserve">the aggregate principal amount of Term Loans purchased by assignment pursuant to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held at any one time by Affiliated Lenders (other than Affiliated Debt Funds) may not exceed 30.0% of the outstanding principal amount of all Term Loans calculated at the time such Term Loans are purchased (such percentage, the “</w:t>
      </w:r>
      <w:r>
        <w:rPr>
          <w:rFonts w:ascii="Arial" w:cs="Arial" w:eastAsia="Arial" w:hAnsi="Arial"/>
          <w:sz w:val="16"/>
          <w:szCs w:val="16"/>
          <w:u w:val="single" w:color="auto"/>
          <w:color w:val="auto"/>
        </w:rPr>
        <w:t>Affiliated Lender Cap</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any assignment to an Affiliated Lender (other than Affiliated Debt Funds) would result in the aggregate principal amount of all Term Loans held by Affiliated Lenders (other than Affiliated Debt Funds) exceeding the Affiliated Lender Cap, the assignment of such excess amount will be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154" w:lineRule="exact"/>
        <w:rPr>
          <w:rFonts w:ascii="Arial" w:cs="Arial" w:eastAsia="Arial" w:hAnsi="Arial"/>
          <w:sz w:val="16"/>
          <w:szCs w:val="16"/>
          <w:color w:val="010000"/>
        </w:rPr>
      </w:pPr>
    </w:p>
    <w:p>
      <w:pPr>
        <w:ind w:left="1700" w:hanging="396"/>
        <w:spacing w:after="0"/>
        <w:tabs>
          <w:tab w:leader="none" w:pos="1700" w:val="left"/>
        </w:tabs>
        <w:numPr>
          <w:ilvl w:val="1"/>
          <w:numId w:val="226"/>
        </w:numPr>
        <w:rPr>
          <w:rFonts w:ascii="Arial" w:cs="Arial" w:eastAsia="Arial" w:hAnsi="Arial"/>
          <w:sz w:val="18"/>
          <w:szCs w:val="18"/>
          <w:color w:val="010000"/>
        </w:rPr>
      </w:pPr>
      <w:r>
        <w:rPr>
          <w:rFonts w:ascii="Arial" w:cs="Arial" w:eastAsia="Arial" w:hAnsi="Arial"/>
          <w:sz w:val="18"/>
          <w:szCs w:val="18"/>
          <w:color w:val="auto"/>
        </w:rPr>
        <w:t>Affiliated Lenders may not purchase Revolving Loans; and</w:t>
      </w:r>
    </w:p>
    <w:p>
      <w:pPr>
        <w:spacing w:after="0" w:line="184" w:lineRule="exact"/>
        <w:rPr>
          <w:rFonts w:ascii="Arial" w:cs="Arial" w:eastAsia="Arial" w:hAnsi="Arial"/>
          <w:sz w:val="18"/>
          <w:szCs w:val="18"/>
          <w:color w:val="010000"/>
        </w:rPr>
      </w:pPr>
    </w:p>
    <w:p>
      <w:pPr>
        <w:jc w:val="both"/>
        <w:ind w:left="660" w:firstLine="644"/>
        <w:spacing w:after="0" w:line="222" w:lineRule="auto"/>
        <w:tabs>
          <w:tab w:leader="none" w:pos="1779" w:val="left"/>
        </w:tabs>
        <w:numPr>
          <w:ilvl w:val="1"/>
          <w:numId w:val="226"/>
        </w:numPr>
        <w:rPr>
          <w:rFonts w:ascii="Arial" w:cs="Arial" w:eastAsia="Arial" w:hAnsi="Arial"/>
          <w:sz w:val="18"/>
          <w:szCs w:val="18"/>
          <w:color w:val="010000"/>
        </w:rPr>
      </w:pPr>
      <w:r>
        <w:rPr>
          <w:rFonts w:ascii="Arial" w:cs="Arial" w:eastAsia="Arial" w:hAnsi="Arial"/>
          <w:sz w:val="18"/>
          <w:szCs w:val="18"/>
          <w:color w:val="auto"/>
        </w:rPr>
        <w:t xml:space="preserve">the assigning Lender and the Affiliated Lender purchasing such Lender’s Loans shall execute and deliver to the Administrative Agent an assignment agreement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 “</w:t>
      </w:r>
      <w:r>
        <w:rPr>
          <w:rFonts w:ascii="Arial" w:cs="Arial" w:eastAsia="Arial" w:hAnsi="Arial"/>
          <w:sz w:val="18"/>
          <w:szCs w:val="18"/>
          <w:u w:val="single" w:color="auto"/>
          <w:color w:val="auto"/>
        </w:rPr>
        <w:t>Affiliated Lender Assignment and Assumption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Affiliated Lender agrees to notify the Administrative Agent and the Borrower promptly (and in any event within 10 Business Days) if it acquires any Person who is also a Lender, and each Lender agrees to notify the Administrative Agent and the Borrower promptly (and in any event within 10 Business Days) if it becomes an Affiliated Lender.</w:t>
      </w:r>
    </w:p>
    <w:p>
      <w:pPr>
        <w:spacing w:after="0" w:line="16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Notwithstanding anything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or the definition of “Required Lenders” to the contrary, for purposes of determining whether the Required Lenders have (i) consented (or not consented) to any amendment, modification, waiver, consent or other action with respect to any of the terms of any Loan</w:t>
      </w:r>
    </w:p>
    <w:p>
      <w:pPr>
        <w:spacing w:after="0"/>
        <w:rPr>
          <w:sz w:val="20"/>
          <w:szCs w:val="20"/>
          <w:color w:val="auto"/>
        </w:rPr>
      </w:pPr>
      <w:r>
        <w:rPr>
          <w:rFonts w:ascii="Arial" w:cs="Arial" w:eastAsia="Arial" w:hAnsi="Arial"/>
          <w:sz w:val="18"/>
          <w:szCs w:val="18"/>
          <w:color w:val="auto"/>
        </w:rPr>
        <w:t>Document or any departure by any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144</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Party therefrom, (ii) otherwise acted on any matter related to any Loan Document, or (iii) directed or required the Administrative Agent, Collateral Agent or any Lender to undertake any action (or refrain from taking any action) with respect to or under any Loan Document, the aggregate amount of Loans held by any Affiliated Debt Funds shall be deemed to be not outstanding to the extent in excess of 49.9% of the amount required for all purposes of calculating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whether the Required Lenders have taken any actions.</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Each Affiliated Lender by its acquisition of any Loans outstanding hereunder will be deemed to have waived any right it may otherwise have had to bring any action in connection with such Loans against the Administrative Agent, in its capacity as such, and will be deemed to have acknowledged and</w:t>
      </w:r>
    </w:p>
    <w:p>
      <w:pPr>
        <w:jc w:val="both"/>
        <w:spacing w:after="0" w:line="226" w:lineRule="auto"/>
        <w:rPr>
          <w:sz w:val="20"/>
          <w:szCs w:val="20"/>
          <w:color w:val="auto"/>
        </w:rPr>
      </w:pPr>
      <w:r>
        <w:rPr>
          <w:rFonts w:ascii="Arial" w:cs="Arial" w:eastAsia="Arial" w:hAnsi="Arial"/>
          <w:sz w:val="18"/>
          <w:szCs w:val="18"/>
          <w:color w:val="auto"/>
        </w:rPr>
        <w:t>agreed that the Administrative Agent shall have no liability for any losses suffered by any Person as a result of any purported assignment to or from an Affiliated Lender.</w:t>
      </w:r>
    </w:p>
    <w:p>
      <w:pPr>
        <w:spacing w:after="0" w:line="161" w:lineRule="exact"/>
        <w:rPr>
          <w:sz w:val="20"/>
          <w:szCs w:val="20"/>
          <w:color w:val="auto"/>
        </w:rPr>
      </w:pPr>
    </w:p>
    <w:p>
      <w:pPr>
        <w:jc w:val="both"/>
        <w:ind w:firstLine="656"/>
        <w:spacing w:after="0" w:line="222" w:lineRule="auto"/>
        <w:tabs>
          <w:tab w:leader="none" w:pos="107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Assignments of Term Loans to any Purchasing Borrower Party shall be permitted through open market purchases and/or “Dutch auctions”, so long as any offer to purchase or take by assignment (other than through open market purchases) by such Purchasing Borrower Party shall have been made to all Term Lenders with respect to the applicable Class so long as (i) no Event of Default has occurred and is continuing, (ii) the Term Loans purchased are immediately cancelled and (iii) no proceeds from any loan under the Revolving Credit Facility shall be used to fund such assignments. Purchasing Borrower Parties may not purchase Revolving Loans.</w:t>
      </w:r>
    </w:p>
    <w:p>
      <w:pPr>
        <w:spacing w:after="0" w:line="163" w:lineRule="exact"/>
        <w:rPr>
          <w:rFonts w:ascii="Arial" w:cs="Arial" w:eastAsia="Arial" w:hAnsi="Arial"/>
          <w:sz w:val="18"/>
          <w:szCs w:val="18"/>
          <w:color w:val="auto"/>
        </w:rPr>
      </w:pPr>
    </w:p>
    <w:p>
      <w:pPr>
        <w:jc w:val="both"/>
        <w:ind w:firstLine="656"/>
        <w:spacing w:after="0" w:line="232" w:lineRule="auto"/>
        <w:tabs>
          <w:tab w:leader="none" w:pos="1053" w:val="left"/>
        </w:tabs>
        <w:numPr>
          <w:ilvl w:val="0"/>
          <w:numId w:val="227"/>
        </w:numPr>
        <w:rPr>
          <w:rFonts w:ascii="Arial" w:cs="Arial" w:eastAsia="Arial" w:hAnsi="Arial"/>
          <w:sz w:val="17"/>
          <w:szCs w:val="17"/>
          <w:color w:val="auto"/>
        </w:rPr>
      </w:pPr>
      <w:r>
        <w:rPr>
          <w:rFonts w:ascii="Arial" w:cs="Arial" w:eastAsia="Arial" w:hAnsi="Arial"/>
          <w:sz w:val="17"/>
          <w:szCs w:val="17"/>
          <w:color w:val="auto"/>
        </w:rPr>
        <w:t>Upon any contribution of Loans to the Borrower or any Restricted Subsidiary and upon any purchase of Loans by a Purchasing Borrower Party, (A) the aggregate principal amount (calculated on the face amount thereof) of such Loans shall automatically be cancelled and retired by the Borrower on the date of such contribution or purchase (and, if requested by the Administrative Agent, with respect to a contribution of Loans, any applicable contributing Lender shall execute and deliver to the Administrative Agent an Assignment and Assumption, or such other form as may be reasonably requested by the Administrative Agent, in respect thereof pursuant to which the respective Lender assigns its interest in such Loans to the Borrower for immediate cancellation) and (B) the Administrative Agent shall record such cancellation or retirement in the Register.</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SECTION 9.05 Survival. All covenants, agreements, representations and warranties made by the Loan Parties in the Loan Documents and in the certificates or other instruments delivered in connection with or pursuant to any Loan Document shall be considered to have been relied upon by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-120015</wp:posOffset>
            </wp:positionV>
            <wp:extent cx="5073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507365"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parties hereto and shall survive the execution and delivery of the Loan Documents and the making of any Loans and issuance, amendment, renewal, increase, or extension of any Letter of Credit, regardless of any investigation made by any such other party or on its behalf and notwithstanding that the Administrative Agent, any Issuing Bank, or any Lender may have had notice or knowledge of any Default or incorrect representation or warranty at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time any credit is extended hereunder, and shall continue in full force and effect as long as the principal of or any accrued interest on any Loan or any fee or any other amount payable under this Agreement is outstanding and unpaid or any Letter of Credit is outstanding (without any drawing having been made thereunder that has not been rejected or honored) and all amounts drawn or paid thereunder having been reimbursed in full, and so long as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Commitments have not expired or terminated. The provisions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2.</w:t>
      </w:r>
      <w:r>
        <w:rPr>
          <w:rFonts w:ascii="Arial" w:cs="Arial" w:eastAsia="Arial" w:hAnsi="Arial"/>
          <w:sz w:val="16"/>
          <w:szCs w:val="16"/>
          <w:u w:val="single" w:color="auto"/>
          <w:color w:val="FF0000"/>
        </w:rPr>
        <w:t>16</w:t>
      </w:r>
      <w:r>
        <w:rPr>
          <w:rFonts w:ascii="Arial" w:cs="Arial" w:eastAsia="Arial" w:hAnsi="Arial"/>
          <w:sz w:val="16"/>
          <w:szCs w:val="16"/>
          <w:color w:val="auto"/>
        </w:rPr>
        <w:t xml:space="preserve"> </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survive and remain in full force and effect regardless of the occurrence of the Termination Date. Notwithstanding the foregoing or anything else to the contrary set forth in this Agreement, in the event that, in connection with the refinancing or repayment in full of the credit facilities provided for herein, an Issuing Bank shall have provided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w:t>
      </w:r>
      <w:r>
        <w:rPr>
          <w:rFonts w:ascii="Arial" w:cs="Arial" w:eastAsia="Arial" w:hAnsi="Arial"/>
          <w:sz w:val="18"/>
          <w:szCs w:val="18"/>
          <w:u w:val="single" w:color="auto"/>
          <w:color w:val="auto"/>
        </w:rPr>
        <w:t>Section 2.05(e)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2.05(f)</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SECTION 9.06 Counterparts; Integration; Effectiveness.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and the Collateral Agent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-230505</wp:posOffset>
            </wp:positionV>
            <wp:extent cx="19970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 xml:space="preserve">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that, when taken together, bear the signatures of each of the other parties hereto, and thereafter shall be binding upon and inure to the benefit of the parties hereto and their respective successors and assigns. Delivery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145</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an executed counterpart of a signature page of this Agreement by facsimile or other electronic means shall be effective as delivery of a manually executed counterpart of this Agreement.</w:t>
      </w:r>
    </w:p>
    <w:p>
      <w:pPr>
        <w:spacing w:after="0" w:line="160"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SECTION 9.07</w:t>
      </w:r>
      <w:r>
        <w:rPr>
          <w:sz w:val="20"/>
          <w:szCs w:val="20"/>
          <w:color w:val="auto"/>
        </w:rPr>
        <w:tab/>
      </w:r>
      <w:r>
        <w:rPr>
          <w:rFonts w:ascii="Arial" w:cs="Arial" w:eastAsia="Arial" w:hAnsi="Arial"/>
          <w:sz w:val="17"/>
          <w:szCs w:val="17"/>
          <w:color w:val="auto"/>
        </w:rPr>
        <w:t>Severability. Any provision of this Agreement held to be invalid, illegal or unenforceable in any jurisdiction shall, as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-8890</wp:posOffset>
            </wp:positionV>
            <wp:extent cx="695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695325" cy="8255"/>
                    </a:xfrm>
                    <a:prstGeom prst="rect">
                      <a:avLst/>
                    </a:prstGeom>
                    <a:noFill/>
                  </pic:spPr>
                </pic:pic>
              </a:graphicData>
            </a:graphic>
          </wp:anchor>
        </w:drawing>
      </w:r>
    </w:p>
    <w:p>
      <w:pPr>
        <w:jc w:val="both"/>
        <w:spacing w:after="0" w:line="218" w:lineRule="auto"/>
        <w:rPr>
          <w:sz w:val="20"/>
          <w:szCs w:val="20"/>
          <w:color w:val="auto"/>
        </w:rPr>
      </w:pPr>
      <w:r>
        <w:rPr>
          <w:rFonts w:ascii="Arial" w:cs="Arial" w:eastAsia="Arial" w:hAnsi="Arial"/>
          <w:sz w:val="18"/>
          <w:szCs w:val="18"/>
          <w:color w:val="auto"/>
        </w:rPr>
        <w:t>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 xml:space="preserve">SECTION 9.08 Right of Setoff. If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at any time held and other obligations (in whatever currency)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-230505</wp:posOffset>
            </wp:positionV>
            <wp:extent cx="8229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any time owing by such Lender or such Issuing Bank to or for the credit or the account of the Borrower against any of and all the obligations of the Borrower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the branch or office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and, pending such payment, shall be segregated by such Defaulting Lender from its other funds and deemed held in trust for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benefit of the Administrative Agent and the Lenders and (b) the Defaulting Lender shall provide promptly to the Administrative Agent a statement describing in reasonable detail the Secured Obligations owing to such Defaulting Lender as to which it exercised such right of setoff. The applicable Lender and applicable Issuing Bank shall notify the Borrower and the Administrative Agent of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failure to give</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or any delay in giving such notice shall not affect the validity of any such setoff and application under this Section. The rights of each Lender and each Issuing Bank under this Section are in addition to other rights and remedies (including other rights of setoff) that such Lender or such Issuing Bank may have. Notwithstanding the foregoing, no amount set off from any Guarantor shall be applied to any Excluded Swap Obligation of such Guarantor.</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9.09</w:t>
      </w:r>
      <w:r>
        <w:rPr>
          <w:sz w:val="20"/>
          <w:szCs w:val="20"/>
          <w:color w:val="auto"/>
        </w:rPr>
        <w:tab/>
      </w:r>
      <w:r>
        <w:rPr>
          <w:rFonts w:ascii="Arial" w:cs="Arial" w:eastAsia="Arial" w:hAnsi="Arial"/>
          <w:sz w:val="16"/>
          <w:szCs w:val="16"/>
          <w:color w:val="auto"/>
        </w:rPr>
        <w:t>Governing Law; Jurisdiction; Consent to Service of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28530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165" w:lineRule="exact"/>
        <w:rPr>
          <w:sz w:val="20"/>
          <w:szCs w:val="20"/>
          <w:color w:val="auto"/>
        </w:rPr>
      </w:pPr>
    </w:p>
    <w:p>
      <w:pPr>
        <w:ind w:left="1040" w:hanging="384"/>
        <w:spacing w:after="0"/>
        <w:tabs>
          <w:tab w:leader="none" w:pos="10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 of the State of New York.</w:t>
      </w:r>
    </w:p>
    <w:p>
      <w:pPr>
        <w:spacing w:after="0" w:line="184" w:lineRule="exact"/>
        <w:rPr>
          <w:rFonts w:ascii="Arial" w:cs="Arial" w:eastAsia="Arial" w:hAnsi="Arial"/>
          <w:sz w:val="18"/>
          <w:szCs w:val="18"/>
          <w:color w:val="auto"/>
        </w:rPr>
      </w:pPr>
    </w:p>
    <w:p>
      <w:pPr>
        <w:jc w:val="both"/>
        <w:ind w:firstLine="656"/>
        <w:spacing w:after="0" w:line="245" w:lineRule="auto"/>
        <w:tabs>
          <w:tab w:leader="none" w:pos="104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Each of parties hereto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any Agent, any Issuing Bank or any Lender may otherwise have to bring any action or proceeding relating to any Loan Document against Holdings, the Borrower or their respective properties in the courts of any jurisdiction.</w:t>
      </w:r>
    </w:p>
    <w:p>
      <w:pPr>
        <w:spacing w:after="0" w:line="157" w:lineRule="exact"/>
        <w:rPr>
          <w:rFonts w:ascii="Arial" w:cs="Arial" w:eastAsia="Arial" w:hAnsi="Arial"/>
          <w:sz w:val="16"/>
          <w:szCs w:val="16"/>
          <w:color w:val="auto"/>
        </w:rPr>
      </w:pPr>
    </w:p>
    <w:p>
      <w:pPr>
        <w:jc w:val="both"/>
        <w:ind w:firstLine="656"/>
        <w:spacing w:after="0" w:line="223" w:lineRule="auto"/>
        <w:tabs>
          <w:tab w:leader="none" w:pos="104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Each of parties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62" w:lineRule="exact"/>
        <w:rPr>
          <w:rFonts w:ascii="Arial" w:cs="Arial" w:eastAsia="Arial" w:hAnsi="Arial"/>
          <w:sz w:val="18"/>
          <w:szCs w:val="18"/>
          <w:color w:val="auto"/>
        </w:rPr>
      </w:pPr>
    </w:p>
    <w:p>
      <w:pPr>
        <w:ind w:firstLine="656"/>
        <w:spacing w:after="0" w:line="246" w:lineRule="auto"/>
        <w:tabs>
          <w:tab w:leader="none" w:pos="107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Each party to this Agreement irrevocably consents to service of process in the manner provided for notices in </w:t>
      </w:r>
      <w:r>
        <w:rPr>
          <w:rFonts w:ascii="Arial" w:cs="Arial" w:eastAsia="Arial" w:hAnsi="Arial"/>
          <w:sz w:val="18"/>
          <w:szCs w:val="18"/>
          <w:u w:val="single" w:color="auto"/>
          <w:color w:val="auto"/>
        </w:rPr>
        <w:t>Section 9.01</w:t>
      </w:r>
      <w:r>
        <w:rPr>
          <w:rFonts w:ascii="Arial" w:cs="Arial" w:eastAsia="Arial" w:hAnsi="Arial"/>
          <w:sz w:val="18"/>
          <w:szCs w:val="18"/>
          <w:color w:val="auto"/>
        </w:rPr>
        <w:t>. Nothing in any Loan Document will affect the right of any party to this Agreement to serve process in any other manner permitted by law.</w:t>
      </w:r>
    </w:p>
    <w:p>
      <w:pPr>
        <w:spacing w:after="0" w:line="156" w:lineRule="exact"/>
        <w:rPr>
          <w:sz w:val="20"/>
          <w:szCs w:val="20"/>
          <w:color w:val="auto"/>
        </w:rPr>
      </w:pPr>
    </w:p>
    <w:p>
      <w:pPr>
        <w:ind w:firstLine="648"/>
        <w:spacing w:after="0" w:line="233" w:lineRule="auto"/>
        <w:rPr>
          <w:sz w:val="20"/>
          <w:szCs w:val="20"/>
          <w:color w:val="auto"/>
        </w:rPr>
      </w:pPr>
      <w:r>
        <w:rPr>
          <w:rFonts w:ascii="Arial" w:cs="Arial" w:eastAsia="Arial" w:hAnsi="Arial"/>
          <w:sz w:val="17"/>
          <w:szCs w:val="17"/>
          <w:color w:val="auto"/>
        </w:rPr>
        <w:t>SECTION 9.10 WAIVER OF JURY TRIAL. EACH PARTY HERETO HEREBY WAIVES, TO THE FULLEST EXTENT PERMITTED BY APPLICABLE LAW, ANY RIGHT IT MAY HAVE TO A TRIAL BY JURY IN ANY LEGAL PROCEEDING DIRECTLY OR INDIRECTLY ARISING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1135380</wp:posOffset>
            </wp:positionH>
            <wp:positionV relativeFrom="paragraph">
              <wp:posOffset>-120015</wp:posOffset>
            </wp:positionV>
            <wp:extent cx="14541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1454150" cy="8890"/>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8"/>
          <w:szCs w:val="18"/>
          <w:color w:val="auto"/>
        </w:rPr>
        <w:t>OUT OF OR RELATING TO ANY LOAN DOCUMENT OR THE TRANSACTIONS CONTEMPLATED THEREBY (WHETHER BASED ON CONTRACT, TORT OR ANY OTHER THEORY). EACH PARTY HERETO (A) CERTIFIES THAT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146</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63"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MUTUAL WAIVERS AND CERTIFICATIONS IN THIS SECTION.</w:t>
      </w:r>
    </w:p>
    <w:p>
      <w:pPr>
        <w:spacing w:after="0" w:line="16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SECTION 9.11 Headings. Article and Section headings and the Table of Contents used herein are for convenience of reference only, are not part of this Agreement and shall not affect the construction of, or be taken into consideration in interpreting,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1125220</wp:posOffset>
            </wp:positionH>
            <wp:positionV relativeFrom="paragraph">
              <wp:posOffset>-136525</wp:posOffset>
            </wp:positionV>
            <wp:extent cx="5524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552450" cy="8255"/>
                    </a:xfrm>
                    <a:prstGeom prst="rect">
                      <a:avLst/>
                    </a:prstGeom>
                    <a:noFill/>
                  </pic:spPr>
                </pic:pic>
              </a:graphicData>
            </a:graphic>
          </wp:anchor>
        </w:drawing>
      </w:r>
    </w:p>
    <w:p>
      <w:pPr>
        <w:spacing w:after="0" w:line="15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9.12</w:t>
      </w:r>
      <w:r>
        <w:rPr>
          <w:sz w:val="20"/>
          <w:szCs w:val="20"/>
          <w:color w:val="auto"/>
        </w:rPr>
        <w:tab/>
      </w:r>
      <w:r>
        <w:rPr>
          <w:rFonts w:ascii="Arial" w:cs="Arial" w:eastAsia="Arial" w:hAnsi="Arial"/>
          <w:sz w:val="17"/>
          <w:szCs w:val="17"/>
          <w:color w:val="auto"/>
        </w:rPr>
        <w:t>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7988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98830" cy="8255"/>
                    </a:xfrm>
                    <a:prstGeom prst="rect">
                      <a:avLst/>
                    </a:prstGeom>
                    <a:noFill/>
                  </pic:spPr>
                </pic:pic>
              </a:graphicData>
            </a:graphic>
          </wp:anchor>
        </w:drawing>
      </w:r>
    </w:p>
    <w:p>
      <w:pPr>
        <w:spacing w:after="0" w:line="165" w:lineRule="exact"/>
        <w:rPr>
          <w:sz w:val="20"/>
          <w:szCs w:val="20"/>
          <w:color w:val="auto"/>
        </w:rPr>
      </w:pPr>
    </w:p>
    <w:p>
      <w:pPr>
        <w:jc w:val="both"/>
        <w:ind w:firstLine="656"/>
        <w:spacing w:after="0" w:line="236" w:lineRule="auto"/>
        <w:tabs>
          <w:tab w:leader="none" w:pos="1113" w:val="left"/>
        </w:tabs>
        <w:numPr>
          <w:ilvl w:val="1"/>
          <w:numId w:val="229"/>
        </w:numPr>
        <w:rPr>
          <w:rFonts w:ascii="Arial" w:cs="Arial" w:eastAsia="Arial" w:hAnsi="Arial"/>
          <w:sz w:val="16"/>
          <w:szCs w:val="16"/>
          <w:color w:val="auto"/>
        </w:rPr>
      </w:pPr>
      <w:r>
        <w:rPr>
          <w:rFonts w:ascii="Arial" w:cs="Arial" w:eastAsia="Arial" w:hAnsi="Arial"/>
          <w:sz w:val="16"/>
          <w:szCs w:val="16"/>
          <w:color w:val="auto"/>
        </w:rPr>
        <w:t xml:space="preserve">Each of the Administrative Agent, the Collateral Agent, the Issuing Banks and the Lenders agrees to maintain the confidentiality of the Information (as defined below), except that Information may be disclosed (a) to their and their Affiliates’ directors, officers, employees, members, partners, trustees and agents, including accountants, legal counsel and other agents and advisors (it being understood that the Persons to whom such disclosure is made will be informed of the confidential nature of such Information and instructed to keep such Information confidential and any failure of such Persons to comply with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shall constitute a breach of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by the Administrative Agent, the Collateral Agent, the relevant Issuing Bank, or the relevant Lender, as applicable), (b) (x) to the extent requested by any regulatory authority, required by applicable law or by any subpoena or similar legal process or (y) necessary in connection with the exercise of remedies;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each case, unless specifically prohibited by applicable law or court order, each Lender and the Administrative Agent shall notify the Borrower of any request by any governmental agency or representative thereof (other than any such request in connection with an examination of the financial condition of such Lender by such governmental agency or other routine examinations of such Lender by such governmental agency) for disclosure of any such non-public information prior to disclosure of such information and</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in the case of clause (y) only, each Lender and the Administrative Agent shall use its reasonable best efforts to ensure that such Information is kept</w:t>
      </w:r>
    </w:p>
    <w:p>
      <w:pPr>
        <w:spacing w:after="0" w:line="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confidential in connection with the exercise of such remedies,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no event shall any Lender or the Administrative Agent be obligated or required to return any materials furnished by Holdings, the Borrower or any of their Subsidiaries, (c) to any other party to this Agreement, (d) subject to an agreement containing confidentiality undertakings substantially similar to those of this Section, to (i) any assignee of or Participant in, or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prospective assignee of or Participant in, any of its rights or obligations under this Agreement or (ii) any actual or prospective counterparty (or its advisors) to any Swap Agreement relating to any Loan Party or their Subsidiaries and its obligations under the Loan Documents, (e) with the consent of the Borrower, in the case of Information provided by Holdings, the Borrower or any other Subsidiary, (f) to the extent such Information (i) becomes publicly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available other than as a result of a breach of this Section or (ii) becomes available to the Administrative Agent, the Collateral Agent, any Issuing Bank or any Lender on a non-confidential basis from a source other than Holdings or the Borrower or (g) to any ratings agency or the CUSIP Service Bureau on a confidential basis. In addition, each of the Administrative Agent, the Collateral Agent and the Lenders may disclose the existence of this Agreement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publicly available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Borrowings hereunder. For the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received from Holdings, the Borrower or any Subsidiary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relating to Holdings, the Borrower, any Subsidiary or their business, other than any such information that is available to the Administrative Agent, the Collateral Agent, any Issuing Bank or any Lender on a non-confidential basis prior to disclosure by Holdings or the Borrower. Any Person required to maintain the confidentiality of Information as provided in this Section shall be considered to have complied with its obligation to do so if such Person has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exercised the same degree of care to maintain the confidentiality of such Information as such Person would accord to its own confidential information.</w:t>
      </w:r>
    </w:p>
    <w:p>
      <w:pPr>
        <w:spacing w:after="0" w:line="180" w:lineRule="exact"/>
        <w:rPr>
          <w:sz w:val="20"/>
          <w:szCs w:val="20"/>
          <w:color w:val="auto"/>
        </w:rPr>
      </w:pPr>
    </w:p>
    <w:p>
      <w:pPr>
        <w:jc w:val="both"/>
        <w:ind w:firstLine="656"/>
        <w:spacing w:after="0" w:line="219" w:lineRule="auto"/>
        <w:tabs>
          <w:tab w:leader="none" w:pos="106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EACH LENDER ACKNOWLEDGES THAT INFORMATION AS DEFINED IN </w:t>
      </w:r>
      <w:r>
        <w:rPr>
          <w:rFonts w:ascii="Arial" w:cs="Arial" w:eastAsia="Arial" w:hAnsi="Arial"/>
          <w:sz w:val="18"/>
          <w:szCs w:val="18"/>
          <w:u w:val="single" w:color="auto"/>
          <w:color w:val="auto"/>
        </w:rPr>
        <w:t>SECTION 9.12(a)</w:t>
      </w:r>
      <w:r>
        <w:rPr>
          <w:rFonts w:ascii="Arial" w:cs="Arial" w:eastAsia="Arial" w:hAnsi="Arial"/>
          <w:sz w:val="18"/>
          <w:szCs w:val="18"/>
          <w:color w:val="auto"/>
        </w:rPr>
        <w:t xml:space="preserve">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62" w:lineRule="exact"/>
        <w:rPr>
          <w:rFonts w:ascii="Arial" w:cs="Arial" w:eastAsia="Arial" w:hAnsi="Arial"/>
          <w:sz w:val="18"/>
          <w:szCs w:val="18"/>
          <w:color w:val="auto"/>
        </w:rPr>
      </w:pPr>
    </w:p>
    <w:p>
      <w:pPr>
        <w:jc w:val="both"/>
        <w:ind w:firstLine="656"/>
        <w:spacing w:after="0" w:line="229" w:lineRule="auto"/>
        <w:tabs>
          <w:tab w:leader="none" w:pos="104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HOLDINGS,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147</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63"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INFORMATION IN ACCORDANCE WITH ITS COMPLIANCE PROCEDURES AND APPLICABLE LAW, INCLUDING FEDERAL AND STATE SECURITIES LAWS.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9.13</w:t>
      </w:r>
      <w:r>
        <w:rPr>
          <w:sz w:val="20"/>
          <w:szCs w:val="20"/>
          <w:color w:val="auto"/>
        </w:rPr>
        <w:tab/>
      </w:r>
      <w:r>
        <w:rPr>
          <w:rFonts w:ascii="Arial" w:cs="Arial" w:eastAsia="Arial" w:hAnsi="Arial"/>
          <w:sz w:val="16"/>
          <w:szCs w:val="16"/>
          <w:color w:val="auto"/>
        </w:rPr>
        <w:t>USA Patriot Act. Each Lender that is subject to the USA Patriot Act and the Administrative Agent (for itself and not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-8890</wp:posOffset>
            </wp:positionV>
            <wp:extent cx="8623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862330" cy="8255"/>
                    </a:xfrm>
                    <a:prstGeom prst="rect">
                      <a:avLst/>
                    </a:prstGeom>
                    <a:noFill/>
                  </pic:spPr>
                </pic:pic>
              </a:graphicData>
            </a:graphic>
          </wp:anchor>
        </w:drawing>
      </w:r>
    </w:p>
    <w:p>
      <w:pPr>
        <w:jc w:val="both"/>
        <w:spacing w:after="0" w:line="231" w:lineRule="auto"/>
        <w:rPr>
          <w:sz w:val="20"/>
          <w:szCs w:val="20"/>
          <w:color w:val="auto"/>
        </w:rPr>
      </w:pPr>
      <w:r>
        <w:rPr>
          <w:rFonts w:ascii="Arial" w:cs="Arial" w:eastAsia="Arial" w:hAnsi="Arial"/>
          <w:sz w:val="17"/>
          <w:szCs w:val="17"/>
          <w:color w:val="auto"/>
        </w:rPr>
        <w:t>any Lender) hereby notifies each Loan Party that pursuant to the requirements of Title III of the USA Patriot Act, it is required to obtain, verify and record information that identifies each Loan Party, which information includes the name and address of such Loan Party and other information that will allow such Lender or the Administrative Agent, as applicable, to identify each Loan Party in accordance with the Title III of the USA Patriot Act.</w:t>
      </w:r>
    </w:p>
    <w:p>
      <w:pPr>
        <w:spacing w:after="0" w:line="17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9.14</w:t>
      </w:r>
      <w:r>
        <w:rPr>
          <w:sz w:val="20"/>
          <w:szCs w:val="20"/>
          <w:color w:val="auto"/>
        </w:rPr>
        <w:tab/>
      </w:r>
      <w:r>
        <w:rPr>
          <w:rFonts w:ascii="Arial" w:cs="Arial" w:eastAsia="Arial" w:hAnsi="Arial"/>
          <w:sz w:val="15"/>
          <w:szCs w:val="15"/>
          <w:color w:val="auto"/>
        </w:rPr>
        <w:t>Judgment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0045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1004570" cy="8255"/>
                    </a:xfrm>
                    <a:prstGeom prst="rect">
                      <a:avLst/>
                    </a:prstGeom>
                    <a:noFill/>
                  </pic:spPr>
                </pic:pic>
              </a:graphicData>
            </a:graphic>
          </wp:anchor>
        </w:drawing>
      </w:r>
    </w:p>
    <w:p>
      <w:pPr>
        <w:spacing w:after="0" w:line="165" w:lineRule="exact"/>
        <w:rPr>
          <w:sz w:val="20"/>
          <w:szCs w:val="20"/>
          <w:color w:val="auto"/>
        </w:rPr>
      </w:pPr>
    </w:p>
    <w:p>
      <w:pPr>
        <w:jc w:val="both"/>
        <w:ind w:firstLine="656"/>
        <w:spacing w:after="0" w:line="223" w:lineRule="auto"/>
        <w:tabs>
          <w:tab w:leader="none" w:pos="112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62" w:lineRule="exact"/>
        <w:rPr>
          <w:rFonts w:ascii="Arial" w:cs="Arial" w:eastAsia="Arial" w:hAnsi="Arial"/>
          <w:sz w:val="18"/>
          <w:szCs w:val="18"/>
          <w:color w:val="auto"/>
        </w:rPr>
      </w:pPr>
    </w:p>
    <w:p>
      <w:pPr>
        <w:jc w:val="both"/>
        <w:ind w:firstLine="656"/>
        <w:spacing w:after="0" w:line="230" w:lineRule="auto"/>
        <w:tabs>
          <w:tab w:leader="none" w:pos="1145"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obligations of the Borrower in respect of any sum due to any party hereto or any holder of any obligation owing hereunder (the “</w:t>
      </w:r>
      <w:r>
        <w:rPr>
          <w:rFonts w:ascii="Arial" w:cs="Arial" w:eastAsia="Arial" w:hAnsi="Arial"/>
          <w:sz w:val="17"/>
          <w:szCs w:val="17"/>
          <w:u w:val="single" w:color="auto"/>
          <w:color w:val="auto"/>
        </w:rPr>
        <w:t>Applicable Creditor</w:t>
      </w:r>
      <w:r>
        <w:rPr>
          <w:rFonts w:ascii="Arial" w:cs="Arial" w:eastAsia="Arial" w:hAnsi="Arial"/>
          <w:sz w:val="17"/>
          <w:szCs w:val="17"/>
          <w:color w:val="auto"/>
        </w:rPr>
        <w:t>”)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the currency in which such sum is stated to be due hereunder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under this Section shall survive the termination of this Agreement and the payment of all other amounts owing hereunder.</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SECTION 9.15 Release of Liens and Guarantees. A Subsidiary Loan Party shall automatically be released from its obligations under the Loan Documents, and all security interests created by the Security Documents in Collateral owned by (and, in the case of clause (1), (2) and (3), in each case,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-120015</wp:posOffset>
            </wp:positionV>
            <wp:extent cx="16611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1661160" cy="8890"/>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the extent constituting Excluded Assets, upon the request of the Borrower, the Equity Interests of) such Subsidiary Loan Party shall be automatically released, (1) upon the consummation of any transaction permitted by this Agreement as a result of which such Subsidiary Loan Party ceases to be a Restricted Subsidiary (including pursuant to a merger with a Subsidiary that is not a Loan Party or a designation as an Unrestricted Subsidiary), (2) upon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request of the Borrower, upon any Subsidiary Loan Party becoming an Excluded Subsidiary or (3) upon the request of the Borrower, in connection with a transaction permitted under this Agreement, as a result of which such Subsidiary Loan Party ceases to be a wholly-owned Subsidiary or otherwise becomes an Excluded Subsidiary. Upon (i) any sale or other transfer by any Loan Party (other than to Holdings, the Borrower or any other Loan Party)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any Collateral in a transaction permitted under this Agreement or (ii) the effectiveness of any written consent to the release of the security interest created under any Security Document in any Collateral or the release of any Loan Party from its Guarantee under the Guarantee Agreement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the security interests in such Collateral created by the Security Documents or such guarantee shall be automatically released. Upon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occurrence of the Termination Date, all obligations under the Loan Documents and all security interests created by the Security Documents shall be automatically released. In connection with any termination or release pursuant to this Section, the Administrative Agent shall execute and deliver to any Loan Party, at such Loan Party’s expense, all documents that such Loan Party shall reasonably request to evidence such termination or release.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execution and delivery of documents pursuant to this Section shall be without recourse to or warranty by the Administrative Agent. The Administrative Agent and Collateral Agent will, and the Lenders irrevocably authorize the Administrative Agent and Collateral Agent to, release or subordinate any Lien on any property granted to or held by the Administrative Agent or the Collateral Agent under any Loan Document to the holder of any Lien on such</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property that is permitted by </w:t>
      </w:r>
      <w:r>
        <w:rPr>
          <w:rFonts w:ascii="Arial" w:cs="Arial" w:eastAsia="Arial" w:hAnsi="Arial"/>
          <w:sz w:val="18"/>
          <w:szCs w:val="18"/>
          <w:u w:val="single" w:color="auto"/>
          <w:color w:val="auto"/>
        </w:rPr>
        <w:t>Section 6.02(iv)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(xxii)</w:t>
      </w:r>
      <w:r>
        <w:rPr>
          <w:rFonts w:ascii="Arial" w:cs="Arial" w:eastAsia="Arial" w:hAnsi="Arial"/>
          <w:sz w:val="18"/>
          <w:szCs w:val="18"/>
          <w:color w:val="auto"/>
        </w:rPr>
        <w:t xml:space="preserve"> to the extent required by the terms of the obligations secured by such Liens pursuant to documents reasonably acceptable to the Administrative Agent and Collateral Agent).</w:t>
      </w:r>
    </w:p>
    <w:p>
      <w:pPr>
        <w:spacing w:after="0" w:line="15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9.16</w:t>
      </w:r>
      <w:r>
        <w:rPr>
          <w:sz w:val="20"/>
          <w:szCs w:val="20"/>
          <w:color w:val="auto"/>
        </w:rPr>
        <w:tab/>
      </w:r>
      <w:r>
        <w:rPr>
          <w:rFonts w:ascii="Arial" w:cs="Arial" w:eastAsia="Arial" w:hAnsi="Arial"/>
          <w:sz w:val="16"/>
          <w:szCs w:val="16"/>
          <w:color w:val="auto"/>
        </w:rPr>
        <w:t>No Fiduciary Relationship. Holdings and the Borrower, on behalf of itself and its subsidiaries, agrees that in connection with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1129665</wp:posOffset>
            </wp:positionH>
            <wp:positionV relativeFrom="paragraph">
              <wp:posOffset>-8890</wp:posOffset>
            </wp:positionV>
            <wp:extent cx="133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jc w:val="both"/>
        <w:spacing w:after="0" w:line="239" w:lineRule="auto"/>
        <w:rPr>
          <w:sz w:val="20"/>
          <w:szCs w:val="20"/>
          <w:color w:val="auto"/>
        </w:rPr>
      </w:pPr>
      <w:r>
        <w:rPr>
          <w:rFonts w:ascii="Arial" w:cs="Arial" w:eastAsia="Arial" w:hAnsi="Arial"/>
          <w:sz w:val="17"/>
          <w:szCs w:val="17"/>
          <w:color w:val="auto"/>
        </w:rPr>
        <w:t>aspects of the transactions contemplated hereby and any communications in connection therewith, Holdings, the Borrower, the other Subsidiaries and their Affiliates, on the one hand, and the Agents, the Lenders and their respective Affiliates, on the other hand, will have a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148</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relationship that does not create, by implication or otherwise, any fiduciary duty on the part of the Agents, the Lenders or their respective Affiliates, and no such duty will be deemed to have arisen in connection with any such transactions or communications. The Borrower acknowledges that each Agent, Lender and their respective Affiliates may have economic interests that conflict with those of Holdings, the Borrower, its Subsidiaries and Affiliates.</w:t>
      </w:r>
    </w:p>
    <w:p>
      <w:pPr>
        <w:spacing w:after="0" w:line="16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SECTION 9.17 Interest Rate Limitation.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1130935</wp:posOffset>
            </wp:positionH>
            <wp:positionV relativeFrom="paragraph">
              <wp:posOffset>-230505</wp:posOffset>
            </wp:positionV>
            <wp:extent cx="12242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1224280"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amortize, prorate, allocate and spread in equal or unequal parts the total amount of interest throughout the contemplated term of the obligations hereunder.</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SECTION 9.18 Acknowledgement and Consent to Bail-In of Affected Financial Institutions. Notwithstanding anything to the contrary in any Loan Document or in any other agreement, arrangement or understanding among any such parties, each party hereto acknowledges that any liability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1136015</wp:posOffset>
            </wp:positionH>
            <wp:positionV relativeFrom="paragraph">
              <wp:posOffset>-120015</wp:posOffset>
            </wp:positionV>
            <wp:extent cx="36874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3687445" cy="8255"/>
                    </a:xfrm>
                    <a:prstGeom prst="rect">
                      <a:avLst/>
                    </a:prstGeom>
                    <a:noFill/>
                  </pic:spPr>
                </pic:pic>
              </a:graphicData>
            </a:graphic>
          </wp:anchor>
        </w:drawing>
      </w:r>
    </w:p>
    <w:p>
      <w:pPr>
        <w:spacing w:after="0" w:line="215" w:lineRule="auto"/>
        <w:rPr>
          <w:sz w:val="20"/>
          <w:szCs w:val="20"/>
          <w:color w:val="auto"/>
        </w:rPr>
      </w:pPr>
      <w:r>
        <w:rPr>
          <w:rFonts w:ascii="Arial" w:cs="Arial" w:eastAsia="Arial" w:hAnsi="Arial"/>
          <w:sz w:val="17"/>
          <w:szCs w:val="17"/>
          <w:color w:val="auto"/>
        </w:rPr>
        <w:t>Affected Financial Institution arising under any Loan Document, to the extent such liability is unsecured, may be subject to the Write-Down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Conversion Powers of the applicable Resolution Authority and agrees and consents to, and acknowledges and agrees to be bound by:</w:t>
      </w:r>
    </w:p>
    <w:p>
      <w:pPr>
        <w:spacing w:after="0" w:line="169" w:lineRule="exact"/>
        <w:rPr>
          <w:sz w:val="20"/>
          <w:szCs w:val="20"/>
          <w:color w:val="auto"/>
        </w:rPr>
      </w:pPr>
    </w:p>
    <w:p>
      <w:pPr>
        <w:ind w:left="660" w:firstLine="644"/>
        <w:spacing w:after="0" w:line="246" w:lineRule="auto"/>
        <w:tabs>
          <w:tab w:leader="none" w:pos="175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6" w:lineRule="exact"/>
        <w:rPr>
          <w:rFonts w:ascii="Arial" w:cs="Arial" w:eastAsia="Arial" w:hAnsi="Arial"/>
          <w:sz w:val="18"/>
          <w:szCs w:val="18"/>
          <w:color w:val="auto"/>
        </w:rPr>
      </w:pPr>
    </w:p>
    <w:p>
      <w:pPr>
        <w:ind w:left="1700" w:hanging="396"/>
        <w:spacing w:after="0"/>
        <w:tabs>
          <w:tab w:leader="none" w:pos="17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84" w:lineRule="exact"/>
        <w:rPr>
          <w:rFonts w:ascii="Arial" w:cs="Arial" w:eastAsia="Arial" w:hAnsi="Arial"/>
          <w:sz w:val="18"/>
          <w:szCs w:val="18"/>
          <w:color w:val="auto"/>
        </w:rPr>
      </w:pPr>
    </w:p>
    <w:p>
      <w:pPr>
        <w:ind w:left="1840" w:hanging="356"/>
        <w:spacing w:after="0"/>
        <w:tabs>
          <w:tab w:leader="none" w:pos="184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98" w:lineRule="exact"/>
        <w:rPr>
          <w:rFonts w:ascii="Arial" w:cs="Arial" w:eastAsia="Arial" w:hAnsi="Arial"/>
          <w:sz w:val="18"/>
          <w:szCs w:val="18"/>
          <w:color w:val="auto"/>
        </w:rPr>
      </w:pPr>
    </w:p>
    <w:p>
      <w:pPr>
        <w:jc w:val="both"/>
        <w:ind w:left="1300" w:firstLine="275"/>
        <w:spacing w:after="0" w:line="223" w:lineRule="auto"/>
        <w:tabs>
          <w:tab w:leader="none" w:pos="2061" w:val="left"/>
        </w:tabs>
        <w:numPr>
          <w:ilvl w:val="2"/>
          <w:numId w:val="233"/>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2" w:lineRule="exact"/>
        <w:rPr>
          <w:sz w:val="20"/>
          <w:szCs w:val="20"/>
          <w:color w:val="auto"/>
        </w:rPr>
      </w:pPr>
    </w:p>
    <w:p>
      <w:pPr>
        <w:ind w:left="1300" w:firstLine="244"/>
        <w:spacing w:after="0" w:line="235" w:lineRule="auto"/>
        <w:tabs>
          <w:tab w:leader="none" w:pos="205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9.19</w:t>
      </w:r>
      <w:r>
        <w:rPr>
          <w:sz w:val="20"/>
          <w:szCs w:val="20"/>
          <w:color w:val="auto"/>
        </w:rPr>
        <w:tab/>
      </w:r>
      <w:r>
        <w:rPr>
          <w:rFonts w:ascii="Arial" w:cs="Arial" w:eastAsia="Arial" w:hAnsi="Arial"/>
          <w:sz w:val="16"/>
          <w:szCs w:val="16"/>
          <w:color w:val="auto"/>
        </w:rPr>
        <w:t>Certain ERISA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-10160</wp:posOffset>
            </wp:positionV>
            <wp:extent cx="118046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1180465" cy="8890"/>
                    </a:xfrm>
                    <a:prstGeom prst="rect">
                      <a:avLst/>
                    </a:prstGeom>
                    <a:noFill/>
                  </pic:spPr>
                </pic:pic>
              </a:graphicData>
            </a:graphic>
          </wp:anchor>
        </w:drawing>
      </w:r>
    </w:p>
    <w:p>
      <w:pPr>
        <w:spacing w:after="0" w:line="165" w:lineRule="exact"/>
        <w:rPr>
          <w:sz w:val="20"/>
          <w:szCs w:val="20"/>
          <w:color w:val="auto"/>
        </w:rPr>
      </w:pPr>
    </w:p>
    <w:p>
      <w:pPr>
        <w:jc w:val="both"/>
        <w:ind w:right="100" w:firstLine="656"/>
        <w:spacing w:after="0" w:line="223" w:lineRule="auto"/>
        <w:tabs>
          <w:tab w:leader="none" w:pos="102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Arrangers and their respective Affiliates, and not, for the avoidance of doubt, to or for the benefit of the Borrower or any other Loan Party, that at least one of the following is and will be true:</w:t>
      </w:r>
    </w:p>
    <w:p>
      <w:pPr>
        <w:spacing w:after="0" w:line="162" w:lineRule="exact"/>
        <w:rPr>
          <w:rFonts w:ascii="Arial" w:cs="Arial" w:eastAsia="Arial" w:hAnsi="Arial"/>
          <w:sz w:val="18"/>
          <w:szCs w:val="18"/>
          <w:color w:val="auto"/>
        </w:rPr>
      </w:pPr>
    </w:p>
    <w:p>
      <w:pPr>
        <w:jc w:val="both"/>
        <w:ind w:left="660" w:firstLine="903"/>
        <w:spacing w:after="0" w:line="229" w:lineRule="auto"/>
        <w:tabs>
          <w:tab w:leader="none" w:pos="1976" w:val="left"/>
        </w:tabs>
        <w:numPr>
          <w:ilvl w:val="1"/>
          <w:numId w:val="235"/>
        </w:numPr>
        <w:rPr>
          <w:rFonts w:ascii="Arial" w:cs="Arial" w:eastAsia="Arial" w:hAnsi="Arial"/>
          <w:sz w:val="18"/>
          <w:szCs w:val="18"/>
          <w:color w:val="010000"/>
        </w:rPr>
      </w:pPr>
      <w:r>
        <w:rPr>
          <w:rFonts w:ascii="Arial" w:cs="Arial" w:eastAsia="Arial" w:hAnsi="Arial"/>
          <w:sz w:val="18"/>
          <w:szCs w:val="18"/>
          <w:color w:val="auto"/>
        </w:rPr>
        <w:t>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Letters of Credit, the Commitments or this Agreement;</w:t>
      </w:r>
    </w:p>
    <w:p>
      <w:pPr>
        <w:spacing w:after="0" w:line="163" w:lineRule="exact"/>
        <w:rPr>
          <w:rFonts w:ascii="Arial" w:cs="Arial" w:eastAsia="Arial" w:hAnsi="Arial"/>
          <w:sz w:val="18"/>
          <w:szCs w:val="18"/>
          <w:color w:val="010000"/>
        </w:rPr>
      </w:pPr>
    </w:p>
    <w:p>
      <w:pPr>
        <w:jc w:val="both"/>
        <w:ind w:left="660" w:firstLine="903"/>
        <w:spacing w:after="0" w:line="217" w:lineRule="auto"/>
        <w:tabs>
          <w:tab w:leader="none" w:pos="2113" w:val="left"/>
        </w:tabs>
        <w:numPr>
          <w:ilvl w:val="1"/>
          <w:numId w:val="235"/>
        </w:numPr>
        <w:rPr>
          <w:rFonts w:ascii="Arial" w:cs="Arial" w:eastAsia="Arial" w:hAnsi="Arial"/>
          <w:sz w:val="18"/>
          <w:szCs w:val="18"/>
          <w:color w:val="010000"/>
        </w:rPr>
      </w:pPr>
      <w:r>
        <w:rPr>
          <w:rFonts w:ascii="Arial" w:cs="Arial" w:eastAsia="Arial" w:hAnsi="Arial"/>
          <w:sz w:val="18"/>
          <w:szCs w:val="18"/>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prohibitions of Section 406 of ERISA and Section 4975 of the Code such Lender’s entrance into, participation in, administration of and performance of the Loans, the Letters of Credit, the Commitments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149</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63" w:lineRule="exact"/>
        <w:rPr>
          <w:sz w:val="20"/>
          <w:szCs w:val="20"/>
          <w:color w:val="auto"/>
        </w:rPr>
      </w:pPr>
    </w:p>
    <w:p>
      <w:pPr>
        <w:jc w:val="both"/>
        <w:ind w:left="660" w:firstLine="903"/>
        <w:spacing w:after="0" w:line="217" w:lineRule="auto"/>
        <w:tabs>
          <w:tab w:leader="none" w:pos="2021" w:val="left"/>
        </w:tabs>
        <w:numPr>
          <w:ilvl w:val="1"/>
          <w:numId w:val="236"/>
        </w:numPr>
        <w:rPr>
          <w:rFonts w:ascii="Arial" w:cs="Arial" w:eastAsia="Arial" w:hAnsi="Arial"/>
          <w:sz w:val="18"/>
          <w:szCs w:val="18"/>
          <w:color w:val="010000"/>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61" w:lineRule="exact"/>
        <w:rPr>
          <w:rFonts w:ascii="Arial" w:cs="Arial" w:eastAsia="Arial" w:hAnsi="Arial"/>
          <w:sz w:val="18"/>
          <w:szCs w:val="18"/>
          <w:color w:val="010000"/>
        </w:rPr>
      </w:pPr>
    </w:p>
    <w:p>
      <w:pPr>
        <w:ind w:left="660" w:firstLine="903"/>
        <w:spacing w:after="0" w:line="235" w:lineRule="auto"/>
        <w:tabs>
          <w:tab w:leader="none" w:pos="2076" w:val="left"/>
        </w:tabs>
        <w:numPr>
          <w:ilvl w:val="1"/>
          <w:numId w:val="236"/>
        </w:numPr>
        <w:rPr>
          <w:rFonts w:ascii="Arial" w:cs="Arial" w:eastAsia="Arial" w:hAnsi="Arial"/>
          <w:sz w:val="18"/>
          <w:szCs w:val="18"/>
          <w:color w:val="010000"/>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5" w:lineRule="exact"/>
        <w:rPr>
          <w:rFonts w:ascii="Arial" w:cs="Arial" w:eastAsia="Arial" w:hAnsi="Arial"/>
          <w:sz w:val="18"/>
          <w:szCs w:val="18"/>
          <w:color w:val="010000"/>
        </w:rPr>
      </w:pPr>
    </w:p>
    <w:p>
      <w:pPr>
        <w:jc w:val="both"/>
        <w:ind w:firstLine="656"/>
        <w:spacing w:after="0" w:line="214" w:lineRule="auto"/>
        <w:tabs>
          <w:tab w:leader="none" w:pos="111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 addition, unless either (I) sub-clause (i) in the immediately preceding clause (a) is true with respect to a Lender or (II)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Arrangers and their respective Affiliates, and not, for the avoidance of doubt, to or for the benefit of the Borrower or any other Loan Party, that the Administrative Agent, the Lead Arrangers or any of their respective Affiliates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SECTION 9.20 Electronic Execution of Assignments and Certain Other Documents(a) . The words “execution,” “execute,” “signed,” “signature,” and words of like import in or related to any document to be signed in connection with this Agreement and the transactions contemplated hereby (including without limitation Assignment and Assumptions, amendments or other Borrowing Requests, waivers and consents) (collectively, each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1149350</wp:posOffset>
            </wp:positionH>
            <wp:positionV relativeFrom="paragraph">
              <wp:posOffset>-230505</wp:posOffset>
            </wp:positionV>
            <wp:extent cx="344551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3445510" cy="82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Ancillary Document</w:t>
      </w:r>
      <w:r>
        <w:rPr>
          <w:rFonts w:ascii="Arial" w:cs="Arial" w:eastAsia="Arial" w:hAnsi="Arial"/>
          <w:sz w:val="16"/>
          <w:szCs w:val="16"/>
          <w:color w:val="auto"/>
        </w:rPr>
        <w: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require the Administrative Agent to accept Electronic Signatures in any form or format without its prior written consent and pursuant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further</w:t>
      </w:r>
      <w:r>
        <w:rPr>
          <w:rFonts w:ascii="Arial" w:cs="Arial" w:eastAsia="Arial" w:hAnsi="Arial"/>
          <w:sz w:val="16"/>
          <w:szCs w:val="16"/>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signature and (ii) upon the request of the Administrative Agent or any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Administrative Agent,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Lenders, and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150</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63"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 xml:space="preserve">SECTION 9.21 </w:t>
      </w:r>
      <w:r>
        <w:rPr>
          <w:rFonts w:ascii="Arial" w:cs="Arial" w:eastAsia="Arial" w:hAnsi="Arial"/>
          <w:sz w:val="16"/>
          <w:szCs w:val="16"/>
          <w:u w:val="single" w:color="auto"/>
          <w:color w:val="auto"/>
        </w:rPr>
        <w:t>Acknowledgement Regarding Any Supported QFCs</w:t>
      </w:r>
      <w:r>
        <w:rPr>
          <w:rFonts w:ascii="Arial" w:cs="Arial" w:eastAsia="Arial" w:hAnsi="Arial"/>
          <w:sz w:val="16"/>
          <w:szCs w:val="16"/>
          <w:color w:val="auto"/>
        </w:rPr>
        <w:t>. To the extent that the Loan Documents provide support, through a guarantee or otherwise, for any Swap Agreement or any other agreement or instrument that is a QFC (such support, “QFC Credit Support”, and each such QFC, a “Supported QFC”), the parties acknowledge and agree as follows with respect to the resolution power of the Federal Deposit Insurance Corporation</w:t>
      </w:r>
    </w:p>
    <w:p>
      <w:pPr>
        <w:spacing w:after="0" w:line="2" w:lineRule="exact"/>
        <w:rPr>
          <w:sz w:val="20"/>
          <w:szCs w:val="20"/>
          <w:color w:val="auto"/>
        </w:rPr>
      </w:pPr>
    </w:p>
    <w:p>
      <w:pPr>
        <w:jc w:val="both"/>
        <w:ind w:right="280"/>
        <w:spacing w:after="0" w:line="234" w:lineRule="auto"/>
        <w:rPr>
          <w:sz w:val="20"/>
          <w:szCs w:val="20"/>
          <w:color w:val="auto"/>
        </w:rPr>
      </w:pPr>
      <w:r>
        <w:rPr>
          <w:rFonts w:ascii="Arial" w:cs="Arial" w:eastAsia="Arial" w:hAnsi="Arial"/>
          <w:sz w:val="16"/>
          <w:szCs w:val="16"/>
          <w:color w:val="auto"/>
        </w:rPr>
        <w:t>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and/or of the United States or any other state of the United States):</w:t>
      </w:r>
    </w:p>
    <w:p>
      <w:pPr>
        <w:spacing w:after="0" w:line="169" w:lineRule="exact"/>
        <w:rPr>
          <w:sz w:val="20"/>
          <w:szCs w:val="20"/>
          <w:color w:val="auto"/>
        </w:rPr>
      </w:pPr>
    </w:p>
    <w:p>
      <w:pPr>
        <w:jc w:val="both"/>
        <w:ind w:left="660" w:firstLine="644"/>
        <w:spacing w:after="0" w:line="226" w:lineRule="auto"/>
        <w:tabs>
          <w:tab w:leader="none" w:pos="1716"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rFonts w:ascii="Arial" w:cs="Arial" w:eastAsia="Arial" w:hAnsi="Arial"/>
          <w:sz w:val="17"/>
          <w:szCs w:val="17"/>
          <w:color w:val="auto"/>
        </w:rPr>
      </w:pPr>
    </w:p>
    <w:p>
      <w:pPr>
        <w:spacing w:after="0" w:line="210" w:lineRule="exact"/>
        <w:rPr>
          <w:rFonts w:ascii="Arial" w:cs="Arial" w:eastAsia="Arial" w:hAnsi="Arial"/>
          <w:sz w:val="17"/>
          <w:szCs w:val="17"/>
          <w:color w:val="auto"/>
        </w:rPr>
      </w:pPr>
    </w:p>
    <w:p>
      <w:pPr>
        <w:ind w:left="1700" w:hanging="396"/>
        <w:spacing w:after="0"/>
        <w:tabs>
          <w:tab w:leader="none" w:pos="17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9.21</w:t>
      </w:r>
      <w:r>
        <w:rPr>
          <w:rFonts w:ascii="Arial" w:cs="Arial" w:eastAsia="Arial" w:hAnsi="Arial"/>
          <w:sz w:val="18"/>
          <w:szCs w:val="18"/>
          <w:color w:val="auto"/>
        </w:rPr>
        <w:t>, the following terms have the following meanings:</w:t>
      </w:r>
    </w:p>
    <w:p>
      <w:pPr>
        <w:spacing w:after="0" w:line="18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1841(k)) of such party.</w:t>
      </w:r>
    </w:p>
    <w:p>
      <w:pPr>
        <w:spacing w:after="0" w:line="169" w:lineRule="exact"/>
        <w:rPr>
          <w:sz w:val="20"/>
          <w:szCs w:val="20"/>
          <w:color w:val="auto"/>
        </w:rPr>
      </w:pPr>
    </w:p>
    <w:p>
      <w:pPr>
        <w:ind w:left="1300" w:firstLine="648"/>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Entity</w:t>
      </w:r>
      <w:r>
        <w:rPr>
          <w:rFonts w:ascii="Arial" w:cs="Arial" w:eastAsia="Arial" w:hAnsi="Arial"/>
          <w:sz w:val="16"/>
          <w:szCs w:val="16"/>
          <w:color w:val="auto"/>
        </w:rPr>
        <w:t>” means any of the following: (i) a “covered entity” as that term is defined in, and interpreted in accordance with, 12 C.F.R. § 252.82(b); (ii) a “covered bank” as that term is defined in, and interpreted in accordance with, 12 C.F.R. § 47.3(b); or</w:t>
      </w:r>
    </w:p>
    <w:p>
      <w:pPr>
        <w:ind w:left="1300"/>
        <w:spacing w:after="0"/>
        <w:rPr>
          <w:sz w:val="20"/>
          <w:szCs w:val="20"/>
          <w:color w:val="auto"/>
        </w:rPr>
      </w:pPr>
      <w:r>
        <w:rPr>
          <w:rFonts w:ascii="Arial" w:cs="Arial" w:eastAsia="Arial" w:hAnsi="Arial"/>
          <w:sz w:val="18"/>
          <w:szCs w:val="18"/>
          <w:color w:val="auto"/>
        </w:rPr>
        <w:t>(iii) a “covered FSI” as that term is defined in, and interpreted in accordance with, 12 C.F.R. § 382.2(b).</w:t>
      </w:r>
    </w:p>
    <w:p>
      <w:pPr>
        <w:spacing w:after="0" w:line="169" w:lineRule="exact"/>
        <w:rPr>
          <w:sz w:val="20"/>
          <w:szCs w:val="20"/>
          <w:color w:val="auto"/>
        </w:rPr>
      </w:pPr>
    </w:p>
    <w:p>
      <w:pPr>
        <w:ind w:left="130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5" w:lineRule="exact"/>
        <w:rPr>
          <w:sz w:val="20"/>
          <w:szCs w:val="20"/>
          <w:color w:val="auto"/>
        </w:rPr>
      </w:pPr>
    </w:p>
    <w:p>
      <w:pPr>
        <w:ind w:left="130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highlight w:val="lightGray"/>
        </w:rPr>
        <w:t>151</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03"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EXHIBIT B</w:t>
      </w:r>
    </w:p>
    <w:p>
      <w:pPr>
        <w:spacing w:after="0" w:line="200" w:lineRule="exact"/>
        <w:rPr>
          <w:sz w:val="20"/>
          <w:szCs w:val="20"/>
          <w:color w:val="auto"/>
        </w:rPr>
      </w:pPr>
    </w:p>
    <w:p>
      <w:pPr>
        <w:spacing w:after="0" w:line="265" w:lineRule="exact"/>
        <w:rPr>
          <w:sz w:val="20"/>
          <w:szCs w:val="20"/>
          <w:color w:val="auto"/>
        </w:rPr>
      </w:pPr>
    </w:p>
    <w:p>
      <w:pPr>
        <w:ind w:left="3000"/>
        <w:spacing w:after="0"/>
        <w:rPr>
          <w:sz w:val="20"/>
          <w:szCs w:val="20"/>
          <w:color w:val="auto"/>
        </w:rPr>
      </w:pPr>
      <w:r>
        <w:rPr>
          <w:rFonts w:ascii="Arial" w:cs="Arial" w:eastAsia="Arial" w:hAnsi="Arial"/>
          <w:sz w:val="20"/>
          <w:szCs w:val="20"/>
          <w:u w:val="single" w:color="auto"/>
          <w:color w:val="auto"/>
        </w:rPr>
        <w:t>Amended Borrowing Request Exhibit</w:t>
      </w:r>
    </w:p>
    <w:p>
      <w:pPr>
        <w:sectPr>
          <w:pgSz w:w="11900" w:h="16838" w:orient="portrait"/>
          <w:cols w:equalWidth="0" w:num="1">
            <w:col w:w="10120"/>
          </w:cols>
          <w:pgMar w:left="1440" w:top="1440"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0"/>
          <w:szCs w:val="20"/>
          <w:b w:val="1"/>
          <w:bCs w:val="1"/>
          <w:u w:val="single" w:color="auto"/>
          <w:color w:val="auto"/>
        </w:rPr>
        <w:t>EXHIBIT C</w:t>
      </w:r>
    </w:p>
    <w:p>
      <w:pPr>
        <w:spacing w:after="0" w:line="200" w:lineRule="exact"/>
        <w:rPr>
          <w:sz w:val="20"/>
          <w:szCs w:val="20"/>
          <w:color w:val="auto"/>
        </w:rPr>
      </w:pPr>
    </w:p>
    <w:p>
      <w:pPr>
        <w:spacing w:after="0" w:line="265" w:lineRule="exact"/>
        <w:rPr>
          <w:sz w:val="20"/>
          <w:szCs w:val="20"/>
          <w:color w:val="auto"/>
        </w:rPr>
      </w:pPr>
    </w:p>
    <w:p>
      <w:pPr>
        <w:ind w:left="2780"/>
        <w:spacing w:after="0"/>
        <w:rPr>
          <w:sz w:val="20"/>
          <w:szCs w:val="20"/>
          <w:color w:val="auto"/>
        </w:rPr>
      </w:pPr>
      <w:r>
        <w:rPr>
          <w:rFonts w:ascii="Arial" w:cs="Arial" w:eastAsia="Arial" w:hAnsi="Arial"/>
          <w:sz w:val="20"/>
          <w:szCs w:val="20"/>
          <w:u w:val="single" w:color="auto"/>
          <w:color w:val="auto"/>
        </w:rPr>
        <w:t>Amended Interest Election Request Exhibit</w:t>
      </w:r>
    </w:p>
    <w:p>
      <w:pPr>
        <w:sectPr>
          <w:pgSz w:w="11900" w:h="16838" w:orient="portrait"/>
          <w:cols w:equalWidth="0" w:num="1">
            <w:col w:w="10120"/>
          </w:cols>
          <w:pgMar w:left="1440" w:top="1399" w:right="339" w:bottom="1440" w:gutter="0" w:footer="0" w:header="0"/>
        </w:sectPr>
      </w:pPr>
    </w:p>
    <w:bookmarkStart w:id="211" w:name="page212"/>
    <w:bookmarkEnd w:id="211"/>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Eric Remer, certify that:</w:t>
      </w:r>
    </w:p>
    <w:p>
      <w:pPr>
        <w:spacing w:after="0" w:line="198" w:lineRule="exact"/>
        <w:rPr>
          <w:sz w:val="20"/>
          <w:szCs w:val="20"/>
          <w:color w:val="auto"/>
        </w:rPr>
      </w:pPr>
    </w:p>
    <w:p>
      <w:pPr>
        <w:ind w:left="440" w:hanging="432"/>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EverCommerce Inc.;</w:t>
      </w:r>
    </w:p>
    <w:p>
      <w:pPr>
        <w:spacing w:after="0" w:line="184" w:lineRule="exact"/>
        <w:rPr>
          <w:rFonts w:ascii="Arial" w:cs="Arial" w:eastAsia="Arial" w:hAnsi="Arial"/>
          <w:sz w:val="18"/>
          <w:szCs w:val="18"/>
          <w:color w:val="auto"/>
        </w:rPr>
      </w:pPr>
    </w:p>
    <w:p>
      <w:pPr>
        <w:jc w:val="both"/>
        <w:ind w:left="440" w:hanging="432"/>
        <w:spacing w:after="0" w:line="229" w:lineRule="auto"/>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hanging="432"/>
        <w:spacing w:after="0" w:line="235" w:lineRule="auto"/>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left="420" w:hanging="412"/>
        <w:spacing w:after="0" w:line="224" w:lineRule="auto"/>
        <w:tabs>
          <w:tab w:leader="none" w:pos="42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900" w:hanging="451"/>
        <w:spacing w:after="0" w:line="224" w:lineRule="auto"/>
        <w:tabs>
          <w:tab w:leader="none" w:pos="874"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jc w:val="both"/>
        <w:ind w:left="900" w:hanging="451"/>
        <w:spacing w:after="0" w:line="224" w:lineRule="auto"/>
        <w:tabs>
          <w:tab w:leader="none" w:pos="951"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2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51"/>
        <w:spacing w:after="0" w:line="229" w:lineRule="auto"/>
        <w:tabs>
          <w:tab w:leader="none" w:pos="886"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440" w:hanging="432"/>
        <w:spacing w:after="0" w:line="274" w:lineRule="auto"/>
        <w:tabs>
          <w:tab w:leader="none" w:pos="44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7"/>
          <w:szCs w:val="17"/>
          <w:color w:val="auto"/>
        </w:rPr>
      </w:pPr>
    </w:p>
    <w:p>
      <w:pPr>
        <w:ind w:left="900" w:hanging="451"/>
        <w:spacing w:after="0" w:line="235" w:lineRule="auto"/>
        <w:tabs>
          <w:tab w:leader="none" w:pos="857"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900" w:hanging="451"/>
        <w:spacing w:after="0" w:line="235" w:lineRule="auto"/>
        <w:tabs>
          <w:tab w:leader="none" w:pos="8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5320" w:val="left"/>
          <w:tab w:leader="none" w:pos="622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31750</wp:posOffset>
            </wp:positionV>
            <wp:extent cx="31807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3180715" cy="8255"/>
                    </a:xfrm>
                    <a:prstGeom prst="rect">
                      <a:avLst/>
                    </a:prstGeom>
                    <a:noFill/>
                  </pic:spPr>
                </pic:pic>
              </a:graphicData>
            </a:graphic>
          </wp:anchor>
        </w:drawing>
      </w:r>
    </w:p>
    <w:p>
      <w:pPr>
        <w:spacing w:after="0" w:line="39"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Eric Remer</w:t>
      </w:r>
    </w:p>
    <w:p>
      <w:pPr>
        <w:spacing w:after="0" w:line="6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08" w:right="339" w:bottom="1440" w:gutter="0" w:footer="0" w:header="0"/>
        </w:sectPr>
      </w:pPr>
    </w:p>
    <w:bookmarkStart w:id="212" w:name="page213"/>
    <w:bookmarkEnd w:id="212"/>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Marc Thompson, certify that:</w:t>
      </w:r>
    </w:p>
    <w:p>
      <w:pPr>
        <w:spacing w:after="0" w:line="198" w:lineRule="exact"/>
        <w:rPr>
          <w:sz w:val="20"/>
          <w:szCs w:val="20"/>
          <w:color w:val="auto"/>
        </w:rPr>
      </w:pPr>
    </w:p>
    <w:p>
      <w:pPr>
        <w:ind w:left="420" w:hanging="412"/>
        <w:spacing w:after="0"/>
        <w:tabs>
          <w:tab w:leader="none" w:pos="4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EverCommerce Inc.;</w:t>
      </w:r>
    </w:p>
    <w:p>
      <w:pPr>
        <w:spacing w:after="0" w:line="184" w:lineRule="exact"/>
        <w:rPr>
          <w:rFonts w:ascii="Arial" w:cs="Arial" w:eastAsia="Arial" w:hAnsi="Arial"/>
          <w:sz w:val="18"/>
          <w:szCs w:val="18"/>
          <w:color w:val="auto"/>
        </w:rPr>
      </w:pPr>
    </w:p>
    <w:p>
      <w:pPr>
        <w:jc w:val="both"/>
        <w:ind w:left="420" w:hanging="412"/>
        <w:spacing w:after="0" w:line="229" w:lineRule="auto"/>
        <w:tabs>
          <w:tab w:leader="none" w:pos="4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20" w:hanging="412"/>
        <w:spacing w:after="0" w:line="235" w:lineRule="auto"/>
        <w:tabs>
          <w:tab w:leader="none" w:pos="4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left="420" w:hanging="412"/>
        <w:spacing w:after="0" w:line="224" w:lineRule="auto"/>
        <w:tabs>
          <w:tab w:leader="none" w:pos="4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900" w:hanging="451"/>
        <w:spacing w:after="0" w:line="224" w:lineRule="auto"/>
        <w:tabs>
          <w:tab w:leader="none" w:pos="874"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jc w:val="both"/>
        <w:ind w:left="900" w:hanging="451"/>
        <w:spacing w:after="0" w:line="224" w:lineRule="auto"/>
        <w:tabs>
          <w:tab w:leader="none" w:pos="951"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2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51"/>
        <w:spacing w:after="0" w:line="229" w:lineRule="auto"/>
        <w:tabs>
          <w:tab w:leader="none" w:pos="886"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420" w:hanging="412"/>
        <w:spacing w:after="0" w:line="274" w:lineRule="auto"/>
        <w:tabs>
          <w:tab w:leader="none" w:pos="42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7"/>
          <w:szCs w:val="17"/>
          <w:color w:val="auto"/>
        </w:rPr>
      </w:pPr>
    </w:p>
    <w:p>
      <w:pPr>
        <w:ind w:left="900" w:hanging="451"/>
        <w:spacing w:after="0" w:line="235" w:lineRule="auto"/>
        <w:tabs>
          <w:tab w:leader="none" w:pos="857"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900" w:hanging="451"/>
        <w:spacing w:after="0" w:line="235" w:lineRule="auto"/>
        <w:tabs>
          <w:tab w:leader="none" w:pos="8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5320" w:val="left"/>
          <w:tab w:leader="none" w:pos="622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31750</wp:posOffset>
            </wp:positionV>
            <wp:extent cx="31807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3180715" cy="8255"/>
                    </a:xfrm>
                    <a:prstGeom prst="rect">
                      <a:avLst/>
                    </a:prstGeom>
                    <a:noFill/>
                  </pic:spPr>
                </pic:pic>
              </a:graphicData>
            </a:graphic>
          </wp:anchor>
        </w:drawing>
      </w:r>
    </w:p>
    <w:p>
      <w:pPr>
        <w:spacing w:after="0" w:line="39"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Marc Thompson</w:t>
      </w:r>
    </w:p>
    <w:p>
      <w:pPr>
        <w:spacing w:after="0" w:line="6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Chief Financial Officer</w:t>
      </w:r>
    </w:p>
    <w:p>
      <w:pPr>
        <w:spacing w:after="0" w:line="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08" w:right="339" w:bottom="1440" w:gutter="0" w:footer="0" w:header="0"/>
        </w:sectPr>
      </w:pPr>
    </w:p>
    <w:bookmarkStart w:id="213" w:name="page214"/>
    <w:bookmarkEnd w:id="213"/>
    <w:p>
      <w:pPr>
        <w:ind w:left="10320"/>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60"/>
        <w:spacing w:after="0" w:line="219" w:lineRule="auto"/>
        <w:rPr>
          <w:sz w:val="20"/>
          <w:szCs w:val="20"/>
          <w:color w:val="auto"/>
        </w:rPr>
      </w:pPr>
      <w:r>
        <w:rPr>
          <w:rFonts w:ascii="Arial" w:cs="Arial" w:eastAsia="Arial" w:hAnsi="Arial"/>
          <w:sz w:val="18"/>
          <w:szCs w:val="18"/>
          <w:b w:val="1"/>
          <w:bCs w:val="1"/>
          <w:color w:val="auto"/>
        </w:rPr>
        <w:t>18 U.S.C. SECTION 1350, AS ADOPTED PURSUANT TO</w:t>
      </w: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firstLine="441"/>
        <w:spacing w:after="0" w:line="248" w:lineRule="auto"/>
        <w:rPr>
          <w:sz w:val="20"/>
          <w:szCs w:val="20"/>
          <w:color w:val="auto"/>
        </w:rPr>
      </w:pPr>
      <w:r>
        <w:rPr>
          <w:rFonts w:ascii="Arial" w:cs="Arial" w:eastAsia="Arial" w:hAnsi="Arial"/>
          <w:sz w:val="16"/>
          <w:szCs w:val="16"/>
          <w:color w:val="auto"/>
        </w:rPr>
        <w:t>In connection with the Quarterly Report on Form 10-Q of EverCommerce Inc. (the “Company”) for the period ended June 30, 2023 as filed with the Securities and Exchange Commission on the date hereof (the “Report”), I certify, pursuant to 18 U.S.C. § 1350, as adopted pursuant to § 906 of the</w:t>
      </w:r>
    </w:p>
    <w:p>
      <w:pPr>
        <w:spacing w:after="0"/>
        <w:rPr>
          <w:sz w:val="20"/>
          <w:szCs w:val="20"/>
          <w:color w:val="auto"/>
        </w:rPr>
      </w:pPr>
      <w:r>
        <w:rPr>
          <w:rFonts w:ascii="Arial" w:cs="Arial" w:eastAsia="Arial" w:hAnsi="Arial"/>
          <w:sz w:val="18"/>
          <w:szCs w:val="18"/>
          <w:color w:val="auto"/>
        </w:rPr>
        <w:t>Sarbanes-Oxley Act of 2002, that, to the best of my knowledge:</w:t>
      </w:r>
    </w:p>
    <w:p>
      <w:pPr>
        <w:spacing w:after="0" w:line="169" w:lineRule="exact"/>
        <w:rPr>
          <w:sz w:val="20"/>
          <w:szCs w:val="20"/>
          <w:color w:val="auto"/>
        </w:rPr>
      </w:pPr>
    </w:p>
    <w:p>
      <w:pPr>
        <w:ind w:left="840" w:hanging="391"/>
        <w:spacing w:after="0"/>
        <w:tabs>
          <w:tab w:leader="none" w:pos="8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40" w:hanging="391"/>
        <w:spacing w:after="0"/>
        <w:tabs>
          <w:tab w:leader="none" w:pos="8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15" w:lineRule="exact"/>
        <w:rPr>
          <w:sz w:val="20"/>
          <w:szCs w:val="20"/>
          <w:color w:val="auto"/>
        </w:rPr>
      </w:pPr>
    </w:p>
    <w:p>
      <w:pPr>
        <w:ind w:left="20"/>
        <w:spacing w:after="0"/>
        <w:tabs>
          <w:tab w:leader="none" w:pos="5640" w:val="left"/>
          <w:tab w:leader="none" w:pos="606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36"/>
          <w:szCs w:val="36"/>
          <w:color w:val="auto"/>
          <w:vertAlign w:val="superscript"/>
        </w:rPr>
        <w:t>By:</w:t>
      </w:r>
      <w:r>
        <w:rPr>
          <w:sz w:val="20"/>
          <w:szCs w:val="20"/>
          <w:color w:val="auto"/>
        </w:rPr>
        <w:tab/>
      </w:r>
      <w:r>
        <w:rPr>
          <w:rFonts w:ascii="Arial" w:cs="Arial" w:eastAsia="Arial" w:hAnsi="Arial"/>
          <w:sz w:val="16"/>
          <w:szCs w:val="16"/>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-17780</wp:posOffset>
            </wp:positionV>
            <wp:extent cx="32835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ind w:left="8200"/>
        <w:spacing w:after="0"/>
        <w:rPr>
          <w:sz w:val="20"/>
          <w:szCs w:val="20"/>
          <w:color w:val="auto"/>
        </w:rPr>
      </w:pPr>
      <w:r>
        <w:rPr>
          <w:rFonts w:ascii="Arial" w:cs="Arial" w:eastAsia="Arial" w:hAnsi="Arial"/>
          <w:sz w:val="18"/>
          <w:szCs w:val="18"/>
          <w:b w:val="1"/>
          <w:bCs w:val="1"/>
          <w:color w:val="auto"/>
        </w:rPr>
        <w:t>Eric Remer</w:t>
      </w:r>
    </w:p>
    <w:p>
      <w:pPr>
        <w:spacing w:after="0" w:line="45"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Chief Executive Officer and Director</w:t>
      </w:r>
    </w:p>
    <w:p>
      <w:pPr>
        <w:ind w:left="76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08" w:right="339" w:bottom="1440" w:gutter="0" w:footer="0" w:header="0"/>
        </w:sectPr>
      </w:pPr>
    </w:p>
    <w:bookmarkStart w:id="214" w:name="page215"/>
    <w:bookmarkEnd w:id="214"/>
    <w:p>
      <w:pPr>
        <w:ind w:left="10320"/>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60"/>
        <w:spacing w:after="0" w:line="219" w:lineRule="auto"/>
        <w:rPr>
          <w:sz w:val="20"/>
          <w:szCs w:val="20"/>
          <w:color w:val="auto"/>
        </w:rPr>
      </w:pPr>
      <w:r>
        <w:rPr>
          <w:rFonts w:ascii="Arial" w:cs="Arial" w:eastAsia="Arial" w:hAnsi="Arial"/>
          <w:sz w:val="18"/>
          <w:szCs w:val="18"/>
          <w:b w:val="1"/>
          <w:bCs w:val="1"/>
          <w:color w:val="auto"/>
        </w:rPr>
        <w:t>18 U.S.C. SECTION 1350, AS ADOPTED PURSUANT TO</w:t>
      </w: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firstLine="441"/>
        <w:spacing w:after="0" w:line="248" w:lineRule="auto"/>
        <w:rPr>
          <w:sz w:val="20"/>
          <w:szCs w:val="20"/>
          <w:color w:val="auto"/>
        </w:rPr>
      </w:pPr>
      <w:r>
        <w:rPr>
          <w:rFonts w:ascii="Arial" w:cs="Arial" w:eastAsia="Arial" w:hAnsi="Arial"/>
          <w:sz w:val="16"/>
          <w:szCs w:val="16"/>
          <w:color w:val="auto"/>
        </w:rPr>
        <w:t>In connection with the Quarterly Report on Form 10-Q of EverCommerce Inc. (the “Company”) for the period ended June 30, 2023 as filed with the Securities and Exchange Commission on the date hereof (the “Report”), I certify, pursuant to 18 U.S.C. § 1350, as adopted pursuant to § 906 of the</w:t>
      </w:r>
    </w:p>
    <w:p>
      <w:pPr>
        <w:spacing w:after="0"/>
        <w:rPr>
          <w:sz w:val="20"/>
          <w:szCs w:val="20"/>
          <w:color w:val="auto"/>
        </w:rPr>
      </w:pPr>
      <w:r>
        <w:rPr>
          <w:rFonts w:ascii="Arial" w:cs="Arial" w:eastAsia="Arial" w:hAnsi="Arial"/>
          <w:sz w:val="18"/>
          <w:szCs w:val="18"/>
          <w:color w:val="auto"/>
        </w:rPr>
        <w:t>Sarbanes-Oxley Act of 2002, that, to the best of my knowledge:</w:t>
      </w:r>
    </w:p>
    <w:p>
      <w:pPr>
        <w:spacing w:after="0" w:line="169" w:lineRule="exact"/>
        <w:rPr>
          <w:sz w:val="20"/>
          <w:szCs w:val="20"/>
          <w:color w:val="auto"/>
        </w:rPr>
      </w:pPr>
    </w:p>
    <w:p>
      <w:pPr>
        <w:ind w:left="840" w:hanging="391"/>
        <w:spacing w:after="0"/>
        <w:tabs>
          <w:tab w:leader="none" w:pos="8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40" w:hanging="391"/>
        <w:spacing w:after="0"/>
        <w:tabs>
          <w:tab w:leader="none" w:pos="8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15" w:lineRule="exact"/>
        <w:rPr>
          <w:sz w:val="20"/>
          <w:szCs w:val="20"/>
          <w:color w:val="auto"/>
        </w:rPr>
      </w:pPr>
    </w:p>
    <w:p>
      <w:pPr>
        <w:ind w:left="20"/>
        <w:spacing w:after="0"/>
        <w:tabs>
          <w:tab w:leader="none" w:pos="5640" w:val="left"/>
          <w:tab w:leader="none" w:pos="606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36"/>
          <w:szCs w:val="36"/>
          <w:color w:val="auto"/>
          <w:vertAlign w:val="superscript"/>
        </w:rPr>
        <w:t>By:</w:t>
      </w:r>
      <w:r>
        <w:rPr>
          <w:sz w:val="20"/>
          <w:szCs w:val="20"/>
          <w:color w:val="auto"/>
        </w:rPr>
        <w:tab/>
      </w: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-17780</wp:posOffset>
            </wp:positionV>
            <wp:extent cx="328358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ind w:left="8020"/>
        <w:spacing w:after="0"/>
        <w:rPr>
          <w:sz w:val="20"/>
          <w:szCs w:val="20"/>
          <w:color w:val="auto"/>
        </w:rPr>
      </w:pPr>
      <w:r>
        <w:rPr>
          <w:rFonts w:ascii="Arial" w:cs="Arial" w:eastAsia="Arial" w:hAnsi="Arial"/>
          <w:sz w:val="18"/>
          <w:szCs w:val="18"/>
          <w:b w:val="1"/>
          <w:bCs w:val="1"/>
          <w:color w:val="auto"/>
        </w:rPr>
        <w:t>Marc Thompson</w:t>
      </w:r>
    </w:p>
    <w:p>
      <w:pPr>
        <w:spacing w:after="0" w:line="45"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Chief Financial Officer</w:t>
      </w:r>
    </w:p>
    <w:p>
      <w:pPr>
        <w:ind w:left="762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B012B3"/>
    <w:multiLevelType w:val="hybridMultilevel"/>
    <w:lvl w:ilvl="0">
      <w:lvlJc w:val="left"/>
      <w:lvlText w:val="☒"/>
      <w:numFmt w:val="bullet"/>
      <w:start w:val="1"/>
    </w:lvl>
  </w:abstractNum>
  <w:abstractNum w:abstractNumId="1">
    <w:nsid w:val="2708C9AF"/>
    <w:multiLevelType w:val="hybridMultilevel"/>
    <w:lvl w:ilvl="0">
      <w:lvlJc w:val="left"/>
      <w:lvlText w:val="☐"/>
      <w:numFmt w:val="bullet"/>
      <w:start w:val="1"/>
    </w:lvl>
  </w:abstractNum>
  <w:abstractNum w:abstractNumId="2">
    <w:nsid w:val="5B25ACE2"/>
    <w:multiLevelType w:val="hybridMultilevel"/>
    <w:lvl w:ilvl="0">
      <w:lvlJc w:val="left"/>
      <w:lvlText w:val="•"/>
      <w:numFmt w:val="bullet"/>
      <w:start w:val="1"/>
    </w:lvl>
  </w:abstractNum>
  <w:abstractNum w:abstractNumId="3">
    <w:nsid w:val="175DFCF0"/>
    <w:multiLevelType w:val="hybridMultilevel"/>
    <w:lvl w:ilvl="0">
      <w:lvlJc w:val="left"/>
      <w:lvlText w:val="•"/>
      <w:numFmt w:val="bullet"/>
      <w:start w:val="1"/>
    </w:lvl>
  </w:abstractNum>
  <w:abstractNum w:abstractNumId="4">
    <w:nsid w:val="4F97E3E4"/>
    <w:multiLevelType w:val="hybridMultilevel"/>
    <w:lvl w:ilvl="0">
      <w:lvlJc w:val="left"/>
      <w:lvlText w:val="•"/>
      <w:numFmt w:val="bullet"/>
      <w:start w:val="1"/>
    </w:lvl>
  </w:abstractNum>
  <w:abstractNum w:abstractNumId="5">
    <w:nsid w:val="53B0A9E"/>
    <w:multiLevelType w:val="hybridMultilevel"/>
    <w:lvl w:ilvl="0">
      <w:lvlJc w:val="left"/>
      <w:lvlText w:val="•"/>
      <w:numFmt w:val="bullet"/>
      <w:start w:val="1"/>
    </w:lvl>
  </w:abstractNum>
  <w:abstractNum w:abstractNumId="6">
    <w:nsid w:val="34FD6B4F"/>
    <w:multiLevelType w:val="hybridMultilevel"/>
    <w:lvl w:ilvl="0">
      <w:lvlJc w:val="left"/>
      <w:lvlText w:val="\endash "/>
      <w:numFmt w:val="bullet"/>
      <w:start w:val="1"/>
    </w:lvl>
  </w:abstractNum>
  <w:abstractNum w:abstractNumId="7">
    <w:nsid w:val="5915FF32"/>
    <w:multiLevelType w:val="hybridMultilevel"/>
    <w:lvl w:ilvl="0">
      <w:lvlJc w:val="left"/>
      <w:lvlText w:val="(%1)"/>
      <w:numFmt w:val="decimal"/>
      <w:start w:val="1"/>
    </w:lvl>
  </w:abstractNum>
  <w:abstractNum w:abstractNumId="8">
    <w:nsid w:val="56438D15"/>
    <w:multiLevelType w:val="hybridMultilevel"/>
    <w:lvl w:ilvl="0">
      <w:lvlJc w:val="left"/>
      <w:lvlText w:val="(%1)"/>
      <w:numFmt w:val="lowerLetter"/>
      <w:start w:val="1"/>
    </w:lvl>
  </w:abstractNum>
  <w:abstractNum w:abstractNumId="9">
    <w:nsid w:val="519E3149"/>
    <w:multiLevelType w:val="hybridMultilevel"/>
    <w:lvl w:ilvl="0">
      <w:lvlJc w:val="left"/>
      <w:lvlText w:val="(%1)"/>
      <w:numFmt w:val="lowerLetter"/>
      <w:start w:val="3"/>
    </w:lvl>
  </w:abstractNum>
  <w:abstractNum w:abstractNumId="10">
    <w:nsid w:val="2C6E4AFD"/>
    <w:multiLevelType w:val="hybridMultilevel"/>
    <w:lvl w:ilvl="0">
      <w:lvlJc w:val="left"/>
      <w:lvlText w:val="(%1)"/>
      <w:numFmt w:val="lowerLetter"/>
      <w:start w:val="1"/>
    </w:lvl>
  </w:abstractNum>
  <w:abstractNum w:abstractNumId="11">
    <w:nsid w:val="17A1B582"/>
    <w:multiLevelType w:val="hybridMultilevel"/>
    <w:lvl w:ilvl="0">
      <w:lvlJc w:val="left"/>
      <w:lvlText w:val="(%1)"/>
      <w:numFmt w:val="lowerLetter"/>
      <w:start w:val="1"/>
    </w:lvl>
  </w:abstractNum>
  <w:abstractNum w:abstractNumId="12">
    <w:nsid w:val="4DF72E4E"/>
    <w:multiLevelType w:val="hybridMultilevel"/>
    <w:lvl w:ilvl="0">
      <w:lvlJc w:val="left"/>
      <w:lvlText w:val="(%1)"/>
      <w:numFmt w:val="lowerLetter"/>
      <w:start w:val="1"/>
    </w:lvl>
  </w:abstractNum>
  <w:abstractNum w:abstractNumId="13">
    <w:nsid w:val="5046B5A9"/>
    <w:multiLevelType w:val="hybridMultilevel"/>
    <w:lvl w:ilvl="0">
      <w:lvlJc w:val="left"/>
      <w:lvlText w:val="(%1)"/>
      <w:numFmt w:val="lowerLetter"/>
      <w:start w:val="1"/>
    </w:lvl>
  </w:abstractNum>
  <w:abstractNum w:abstractNumId="14">
    <w:nsid w:val="5D888A08"/>
    <w:multiLevelType w:val="hybridMultilevel"/>
    <w:lvl w:ilvl="0">
      <w:lvlJc w:val="left"/>
      <w:lvlText w:val="1"/>
      <w:numFmt w:val="bullet"/>
      <w:start w:val="1"/>
    </w:lvl>
  </w:abstractNum>
  <w:abstractNum w:abstractNumId="15">
    <w:nsid w:val="2A082C70"/>
    <w:multiLevelType w:val="hybridMultilevel"/>
    <w:lvl w:ilvl="0">
      <w:lvlJc w:val="left"/>
      <w:lvlText w:val="(%1)"/>
      <w:numFmt w:val="upperLetter"/>
      <w:start w:val="4"/>
    </w:lvl>
  </w:abstractNum>
  <w:abstractNum w:abstractNumId="16">
    <w:nsid w:val="5EC6AFD4"/>
    <w:multiLevelType w:val="hybridMultilevel"/>
    <w:lvl w:ilvl="0">
      <w:lvlJc w:val="left"/>
      <w:lvlText w:val="(%1)"/>
      <w:numFmt w:val="decimal"/>
      <w:start w:val="2"/>
    </w:lvl>
    <w:lvl w:ilvl="1">
      <w:lvlJc w:val="left"/>
      <w:lvlText w:val="(%2)"/>
      <w:numFmt w:val="lowerRoman"/>
      <w:start w:val="1"/>
    </w:lvl>
  </w:abstractNum>
  <w:abstractNum w:abstractNumId="17">
    <w:nsid w:val="19E21BB2"/>
    <w:multiLevelType w:val="hybridMultilevel"/>
    <w:lvl w:ilvl="0">
      <w:lvlJc w:val="left"/>
      <w:lvlText w:val="(%1)"/>
      <w:numFmt w:val="lowerRoman"/>
      <w:start w:val="2"/>
    </w:lvl>
  </w:abstractNum>
  <w:abstractNum w:abstractNumId="18">
    <w:nsid w:val="75E0858A"/>
    <w:multiLevelType w:val="hybridMultilevel"/>
    <w:lvl w:ilvl="0">
      <w:lvlJc w:val="left"/>
      <w:lvlText w:val="%1"/>
      <w:numFmt w:val="decimal"/>
      <w:start w:val="1"/>
    </w:lvl>
    <w:lvl w:ilvl="1">
      <w:lvlJc w:val="left"/>
      <w:lvlText w:val="(%2)"/>
      <w:numFmt w:val="lowerLetter"/>
      <w:start w:val="1"/>
    </w:lvl>
  </w:abstractNum>
  <w:abstractNum w:abstractNumId="19">
    <w:nsid w:val="57A61A29"/>
    <w:multiLevelType w:val="hybridMultilevel"/>
    <w:lvl w:ilvl="0">
      <w:lvlJc w:val="left"/>
      <w:lvlText w:val="(%1)"/>
      <w:numFmt w:val="decimal"/>
      <w:start w:val="3"/>
    </w:lvl>
    <w:lvl w:ilvl="1">
      <w:lvlJc w:val="left"/>
      <w:lvlText w:val="(%2)"/>
      <w:numFmt w:val="lowerLetter"/>
      <w:start w:val="3"/>
    </w:lvl>
  </w:abstractNum>
  <w:abstractNum w:abstractNumId="20">
    <w:nsid w:val="5399C654"/>
    <w:multiLevelType w:val="hybridMultilevel"/>
    <w:lvl w:ilvl="0">
      <w:lvlJc w:val="left"/>
      <w:lvlText w:val="(%1)"/>
      <w:numFmt w:val="lowerLetter"/>
      <w:start w:val="1"/>
    </w:lvl>
  </w:abstractNum>
  <w:abstractNum w:abstractNumId="21">
    <w:nsid w:val="20EE1348"/>
    <w:multiLevelType w:val="hybridMultilevel"/>
    <w:lvl w:ilvl="0">
      <w:lvlJc w:val="left"/>
      <w:lvlText w:val="(%1)"/>
      <w:numFmt w:val="lowerLetter"/>
      <w:start w:val="1"/>
    </w:lvl>
  </w:abstractNum>
  <w:abstractNum w:abstractNumId="22">
    <w:nsid w:val="4427069A"/>
    <w:multiLevelType w:val="hybridMultilevel"/>
    <w:lvl w:ilvl="0">
      <w:lvlJc w:val="left"/>
      <w:lvlText w:val="(%1)"/>
      <w:numFmt w:val="lowerLetter"/>
      <w:start w:val="1"/>
    </w:lvl>
  </w:abstractNum>
  <w:abstractNum w:abstractNumId="23">
    <w:nsid w:val="B37E80A"/>
    <w:multiLevelType w:val="hybridMultilevel"/>
    <w:lvl w:ilvl="0">
      <w:lvlJc w:val="left"/>
      <w:lvlText w:val="(%1)"/>
      <w:numFmt w:val="lowerLetter"/>
      <w:start w:val="1"/>
    </w:lvl>
  </w:abstractNum>
  <w:abstractNum w:abstractNumId="24">
    <w:nsid w:val="2157F6BC"/>
    <w:multiLevelType w:val="hybridMultilevel"/>
    <w:lvl w:ilvl="0">
      <w:lvlJc w:val="left"/>
      <w:lvlText w:val="(%1)"/>
      <w:numFmt w:val="lowerLetter"/>
      <w:start w:val="1"/>
    </w:lvl>
  </w:abstractNum>
  <w:abstractNum w:abstractNumId="25">
    <w:nsid w:val="704E1DD5"/>
    <w:multiLevelType w:val="hybridMultilevel"/>
    <w:lvl w:ilvl="0">
      <w:lvlJc w:val="left"/>
      <w:lvlText w:val="(%1)"/>
      <w:numFmt w:val="lowerLetter"/>
      <w:start w:val="4"/>
    </w:lvl>
  </w:abstractNum>
  <w:abstractNum w:abstractNumId="26">
    <w:nsid w:val="57D2F10E"/>
    <w:multiLevelType w:val="hybridMultilevel"/>
    <w:lvl w:ilvl="0">
      <w:lvlJc w:val="left"/>
      <w:lvlText w:val="(%1)"/>
      <w:numFmt w:val="lowerLetter"/>
      <w:start w:val="1"/>
    </w:lvl>
    <w:lvl w:ilvl="1">
      <w:lvlJc w:val="left"/>
      <w:lvlText w:val="(%2)"/>
      <w:numFmt w:val="lowerLetter"/>
      <w:start w:val="9"/>
    </w:lvl>
  </w:abstractNum>
  <w:abstractNum w:abstractNumId="27">
    <w:nsid w:val="BFFAE18"/>
    <w:multiLevelType w:val="hybridMultilevel"/>
    <w:lvl w:ilvl="0">
      <w:lvlJc w:val="left"/>
      <w:lvlText w:val="(%1)"/>
      <w:numFmt w:val="lowerRoman"/>
      <w:start w:val="2"/>
    </w:lvl>
    <w:lvl w:ilvl="1">
      <w:lvlJc w:val="left"/>
      <w:lvlText w:val="%2"/>
      <w:numFmt w:val="lowerRoman"/>
      <w:start w:val="1"/>
    </w:lvl>
    <w:lvl w:ilvl="2">
      <w:lvlJc w:val="left"/>
      <w:lvlText w:val="(%3)"/>
      <w:numFmt w:val="lowerRoman"/>
      <w:start w:val="3"/>
    </w:lvl>
    <w:lvl w:ilvl="3">
      <w:lvlJc w:val="left"/>
      <w:lvlText w:val="(%4)"/>
      <w:numFmt w:val="lowerRoman"/>
      <w:start w:val="3"/>
    </w:lvl>
  </w:abstractNum>
  <w:abstractNum w:abstractNumId="28">
    <w:nsid w:val="E3E47A8"/>
    <w:multiLevelType w:val="hybridMultilevel"/>
    <w:lvl w:ilvl="0">
      <w:lvlJc w:val="left"/>
      <w:lvlText w:val="(%1)"/>
      <w:numFmt w:val="lowerRoman"/>
      <w:start w:val="5"/>
    </w:lvl>
    <w:lvl w:ilvl="1">
      <w:lvlJc w:val="left"/>
      <w:lvlText w:val="(%2)"/>
      <w:numFmt w:val="lowerRoman"/>
      <w:start w:val="6"/>
    </w:lvl>
    <w:lvl w:ilvl="2">
      <w:lvlJc w:val="left"/>
      <w:lvlText w:val="%3"/>
      <w:numFmt w:val="lowerRoman"/>
      <w:start w:val="1"/>
    </w:lvl>
    <w:lvl w:ilvl="3">
      <w:lvlJc w:val="left"/>
      <w:lvlText w:val="%4"/>
      <w:numFmt w:val="lowerRoman"/>
      <w:start w:val="1"/>
    </w:lvl>
  </w:abstractNum>
  <w:abstractNum w:abstractNumId="29">
    <w:nsid w:val="2E48F044"/>
    <w:multiLevelType w:val="hybridMultilevel"/>
    <w:lvl w:ilvl="0">
      <w:lvlJc w:val="left"/>
      <w:lvlText w:val="(%1)"/>
      <w:numFmt w:val="lowerRoman"/>
      <w:start w:val="7"/>
    </w:lvl>
    <w:lvl w:ilvl="1">
      <w:lvlJc w:val="left"/>
      <w:lvlText w:val="(%2)"/>
      <w:numFmt w:val="lowerRoman"/>
      <w:start w:val="9"/>
    </w:lvl>
  </w:abstractNum>
  <w:abstractNum w:abstractNumId="30">
    <w:nsid w:val="49D0FEAC"/>
    <w:multiLevelType w:val="hybridMultilevel"/>
    <w:lvl w:ilvl="0">
      <w:lvlJc w:val="left"/>
      <w:lvlText w:val="(%1)"/>
      <w:numFmt w:val="lowerRoman"/>
      <w:start w:val="10"/>
    </w:lvl>
  </w:abstractNum>
  <w:abstractNum w:abstractNumId="31">
    <w:nsid w:val="4BEE5A5B"/>
    <w:multiLevelType w:val="hybridMultilevel"/>
    <w:lvl w:ilvl="0">
      <w:lvlJc w:val="left"/>
      <w:lvlText w:val="(%1)"/>
      <w:numFmt w:val="lowerRoman"/>
      <w:start w:val="11"/>
    </w:lvl>
  </w:abstractNum>
  <w:abstractNum w:abstractNumId="32">
    <w:nsid w:val="5551B9F3"/>
    <w:multiLevelType w:val="hybridMultilevel"/>
    <w:lvl w:ilvl="0">
      <w:lvlJc w:val="left"/>
      <w:lvlText w:val="(%1)"/>
      <w:numFmt w:val="lowerRoman"/>
      <w:start w:val="12"/>
    </w:lvl>
    <w:lvl w:ilvl="1">
      <w:lvlJc w:val="left"/>
      <w:lvlText w:val="(%2)"/>
      <w:numFmt w:val="lowerRoman"/>
      <w:start w:val="13"/>
    </w:lvl>
  </w:abstractNum>
  <w:abstractNum w:abstractNumId="33">
    <w:nsid w:val="24F6AB8E"/>
    <w:multiLevelType w:val="hybridMultilevel"/>
    <w:lvl w:ilvl="0">
      <w:lvlJc w:val="left"/>
      <w:lvlText w:val="(%1)"/>
      <w:numFmt w:val="lowerLetter"/>
      <w:start w:val="2"/>
    </w:lvl>
  </w:abstractNum>
  <w:abstractNum w:abstractNumId="34">
    <w:nsid w:val="634C574C"/>
    <w:multiLevelType w:val="hybridMultilevel"/>
    <w:lvl w:ilvl="0">
      <w:lvlJc w:val="left"/>
      <w:lvlText w:val="(%1)"/>
      <w:numFmt w:val="lowerLetter"/>
      <w:start w:val="3"/>
    </w:lvl>
  </w:abstractNum>
  <w:abstractNum w:abstractNumId="35">
    <w:nsid w:val="24E99DD7"/>
    <w:multiLevelType w:val="hybridMultilevel"/>
    <w:lvl w:ilvl="0">
      <w:lvlJc w:val="left"/>
      <w:lvlText w:val="(%1)"/>
      <w:numFmt w:val="lowerLetter"/>
      <w:start w:val="4"/>
    </w:lvl>
  </w:abstractNum>
  <w:abstractNum w:abstractNumId="36">
    <w:nsid w:val="2A31B62D"/>
    <w:multiLevelType w:val="hybridMultilevel"/>
    <w:lvl w:ilvl="0">
      <w:lvlJc w:val="left"/>
      <w:lvlText w:val="(%1)"/>
      <w:numFmt w:val="lowerLetter"/>
      <w:start w:val="5"/>
    </w:lvl>
  </w:abstractNum>
  <w:abstractNum w:abstractNumId="37">
    <w:nsid w:val="1849C29B"/>
    <w:multiLevelType w:val="hybridMultilevel"/>
    <w:lvl w:ilvl="0">
      <w:lvlJc w:val="left"/>
      <w:lvlText w:val="(%1)"/>
      <w:numFmt w:val="lowerLetter"/>
      <w:start w:val="6"/>
    </w:lvl>
  </w:abstractNum>
  <w:abstractNum w:abstractNumId="38">
    <w:nsid w:val="7DFF9D09"/>
    <w:multiLevelType w:val="hybridMultilevel"/>
    <w:lvl w:ilvl="0">
      <w:lvlJc w:val="left"/>
      <w:lvlText w:val="(%1)"/>
      <w:numFmt w:val="lowerLetter"/>
      <w:start w:val="7"/>
    </w:lvl>
    <w:lvl w:ilvl="1">
      <w:lvlJc w:val="left"/>
      <w:lvlText w:val="(%2)"/>
      <w:numFmt w:val="lowerRoman"/>
      <w:start w:val="1"/>
    </w:lvl>
  </w:abstractNum>
  <w:abstractNum w:abstractNumId="39">
    <w:nsid w:val="754342"/>
    <w:multiLevelType w:val="hybridMultilevel"/>
    <w:lvl w:ilvl="0">
      <w:lvlJc w:val="left"/>
      <w:lvlText w:val="%1"/>
      <w:numFmt w:val="decimal"/>
      <w:start w:val="1"/>
    </w:lvl>
    <w:lvl w:ilvl="1">
      <w:lvlJc w:val="left"/>
      <w:lvlText w:val="(%2)"/>
      <w:numFmt w:val="upperLetter"/>
      <w:start w:val="9"/>
    </w:lvl>
  </w:abstractNum>
  <w:abstractNum w:abstractNumId="40">
    <w:nsid w:val="69E7F3E5"/>
    <w:multiLevelType w:val="hybridMultilevel"/>
    <w:lvl w:ilvl="0">
      <w:lvlJc w:val="left"/>
      <w:lvlText w:val="(%1)"/>
      <w:numFmt w:val="decimal"/>
      <w:start w:val="2"/>
    </w:lvl>
    <w:lvl w:ilvl="1">
      <w:lvlJc w:val="left"/>
      <w:lvlText w:val="%2"/>
      <w:numFmt w:val="upperLetter"/>
      <w:start w:val="1"/>
    </w:lvl>
  </w:abstractNum>
  <w:abstractNum w:abstractNumId="41">
    <w:nsid w:val="2A6DE806"/>
    <w:multiLevelType w:val="hybridMultilevel"/>
    <w:lvl w:ilvl="0">
      <w:lvlJc w:val="left"/>
      <w:lvlText w:val="(%1)"/>
      <w:numFmt w:val="upperLetter"/>
      <w:start w:val="35"/>
    </w:lvl>
  </w:abstractNum>
  <w:abstractNum w:abstractNumId="42">
    <w:nsid w:val="1816F8C4"/>
    <w:multiLevelType w:val="hybridMultilevel"/>
    <w:lvl w:ilvl="0">
      <w:lvlJc w:val="left"/>
      <w:lvlText w:val="(%1)"/>
      <w:numFmt w:val="lowerLetter"/>
      <w:start w:val="6"/>
    </w:lvl>
  </w:abstractNum>
  <w:abstractNum w:abstractNumId="43">
    <w:nsid w:val="37DF2233"/>
    <w:multiLevelType w:val="hybridMultilevel"/>
    <w:lvl w:ilvl="0">
      <w:lvlJc w:val="left"/>
      <w:lvlText w:val="(%1)"/>
      <w:numFmt w:val="lowerRoman"/>
      <w:start w:val="14"/>
    </w:lvl>
  </w:abstractNum>
  <w:abstractNum w:abstractNumId="44">
    <w:nsid w:val="7AB49DAF"/>
    <w:multiLevelType w:val="hybridMultilevel"/>
    <w:lvl w:ilvl="0">
      <w:lvlJc w:val="left"/>
      <w:lvlText w:val="(%1)"/>
      <w:numFmt w:val="lowerLetter"/>
      <w:start w:val="1"/>
    </w:lvl>
  </w:abstractNum>
  <w:abstractNum w:abstractNumId="45">
    <w:nsid w:val="759F82CD"/>
    <w:multiLevelType w:val="hybridMultilevel"/>
    <w:lvl w:ilvl="0">
      <w:lvlJc w:val="left"/>
      <w:lvlText w:val="(%1)"/>
      <w:numFmt w:val="lowerLetter"/>
      <w:start w:val="2"/>
    </w:lvl>
  </w:abstractNum>
  <w:abstractNum w:abstractNumId="46">
    <w:nsid w:val="61E74EA3"/>
    <w:multiLevelType w:val="hybridMultilevel"/>
    <w:lvl w:ilvl="0">
      <w:lvlJc w:val="left"/>
      <w:lvlText w:val="(%1)"/>
      <w:numFmt w:val="lowerLetter"/>
      <w:start w:val="15"/>
    </w:lvl>
  </w:abstractNum>
  <w:abstractNum w:abstractNumId="47">
    <w:nsid w:val="597B4D84"/>
    <w:multiLevelType w:val="hybridMultilevel"/>
    <w:lvl w:ilvl="0">
      <w:lvlJc w:val="left"/>
      <w:lvlText w:val="(%1)"/>
      <w:numFmt w:val="lowerLetter"/>
      <w:start w:val="1"/>
    </w:lvl>
  </w:abstractNum>
  <w:abstractNum w:abstractNumId="48">
    <w:nsid w:val="F819E7F"/>
    <w:multiLevelType w:val="hybridMultilevel"/>
    <w:lvl w:ilvl="0">
      <w:lvlJc w:val="left"/>
      <w:lvlText w:val="(%1)"/>
      <w:numFmt w:val="lowerLetter"/>
      <w:start w:val="1"/>
    </w:lvl>
  </w:abstractNum>
  <w:abstractNum w:abstractNumId="49">
    <w:nsid w:val="57C7D42D"/>
    <w:multiLevelType w:val="hybridMultilevel"/>
    <w:lvl w:ilvl="0">
      <w:lvlJc w:val="left"/>
      <w:lvlText w:val="(%1)"/>
      <w:numFmt w:val="lowerLetter"/>
      <w:start w:val="1"/>
    </w:lvl>
  </w:abstractNum>
  <w:abstractNum w:abstractNumId="50">
    <w:nsid w:val="312167A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lvl w:ilvl="3">
      <w:lvlJc w:val="left"/>
      <w:lvlText w:val="(%4)"/>
      <w:numFmt w:val="lowerRoman"/>
      <w:start w:val="2"/>
    </w:lvl>
    <w:lvl w:ilvl="4">
      <w:lvlJc w:val="left"/>
      <w:lvlText w:val="(%5)"/>
      <w:numFmt w:val="lowerLetter"/>
      <w:start w:val="22"/>
    </w:lvl>
  </w:abstractNum>
  <w:abstractNum w:abstractNumId="51">
    <w:nsid w:val="631B64D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Letter"/>
      <w:start w:val="1"/>
    </w:lvl>
  </w:abstractNum>
  <w:abstractNum w:abstractNumId="52">
    <w:nsid w:val="78B5E77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lowerRoman"/>
      <w:start w:val="1"/>
    </w:lvl>
    <w:lvl w:ilvl="4">
      <w:lvlJc w:val="left"/>
      <w:lvlText w:val="%5"/>
      <w:numFmt w:val="lowerLetter"/>
      <w:start w:val="1"/>
    </w:lvl>
  </w:abstractNum>
  <w:abstractNum w:abstractNumId="53">
    <w:nsid w:val="75486E47"/>
    <w:multiLevelType w:val="hybridMultilevel"/>
    <w:lvl w:ilvl="0">
      <w:lvlJc w:val="left"/>
      <w:lvlText w:val="(%1)"/>
      <w:numFmt w:val="lowerRoman"/>
      <w:start w:val="3"/>
    </w:lvl>
  </w:abstractNum>
  <w:abstractNum w:abstractNumId="54">
    <w:nsid w:val="6E534CDE"/>
    <w:multiLevelType w:val="hybridMultilevel"/>
    <w:lvl w:ilvl="0">
      <w:lvlJc w:val="left"/>
      <w:lvlText w:val="(%1)"/>
      <w:numFmt w:val="lowerRoman"/>
      <w:start w:val="5"/>
    </w:lvl>
  </w:abstractNum>
  <w:abstractNum w:abstractNumId="55">
    <w:nsid w:val="1A0DDE32"/>
    <w:multiLevelType w:val="hybridMultilevel"/>
    <w:lvl w:ilvl="0">
      <w:lvlJc w:val="left"/>
      <w:lvlText w:val="(%1)"/>
      <w:numFmt w:val="lowerRoman"/>
      <w:start w:val="6"/>
    </w:lvl>
  </w:abstractNum>
  <w:abstractNum w:abstractNumId="56">
    <w:nsid w:val="65968C1C"/>
    <w:multiLevelType w:val="hybridMultilevel"/>
    <w:lvl w:ilvl="0">
      <w:lvlJc w:val="left"/>
      <w:lvlText w:val="(%1)"/>
      <w:numFmt w:val="lowerRoman"/>
      <w:start w:val="7"/>
    </w:lvl>
    <w:lvl w:ilvl="1">
      <w:lvlJc w:val="left"/>
      <w:lvlText w:val="(%2)"/>
      <w:numFmt w:val="lowerRoman"/>
      <w:start w:val="8"/>
    </w:lvl>
  </w:abstractNum>
  <w:abstractNum w:abstractNumId="57">
    <w:nsid w:val="46263DEC"/>
    <w:multiLevelType w:val="hybridMultilevel"/>
    <w:lvl w:ilvl="0">
      <w:lvlJc w:val="left"/>
      <w:lvlText w:val="%1"/>
      <w:numFmt w:val="lowerRoman"/>
      <w:start w:val="1"/>
    </w:lvl>
    <w:lvl w:ilvl="1">
      <w:lvlJc w:val="left"/>
      <w:lvlText w:val="(%2)"/>
      <w:numFmt w:val="lowerRoman"/>
      <w:start w:val="9"/>
    </w:lvl>
  </w:abstractNum>
  <w:abstractNum w:abstractNumId="58">
    <w:nsid w:val="260D8C4A"/>
    <w:multiLevelType w:val="hybridMultilevel"/>
    <w:lvl w:ilvl="0">
      <w:lvlJc w:val="left"/>
      <w:lvlText w:val="(%1)"/>
      <w:numFmt w:val="lowerRoman"/>
      <w:start w:val="10"/>
    </w:lvl>
    <w:lvl w:ilvl="1">
      <w:lvlJc w:val="left"/>
      <w:lvlText w:val="%2"/>
      <w:numFmt w:val="lowerRoman"/>
      <w:start w:val="1"/>
    </w:lvl>
  </w:abstractNum>
  <w:abstractNum w:abstractNumId="59">
    <w:nsid w:val="73D4D3C4"/>
    <w:multiLevelType w:val="hybridMultilevel"/>
    <w:lvl w:ilvl="0">
      <w:lvlJc w:val="left"/>
      <w:lvlText w:val="(%1)"/>
      <w:numFmt w:val="upperLetter"/>
      <w:start w:val="9"/>
    </w:lvl>
    <w:lvl w:ilvl="1">
      <w:lvlJc w:val="left"/>
      <w:lvlText w:val="(%2)"/>
      <w:numFmt w:val="lowerLetter"/>
      <w:start w:val="1"/>
    </w:lvl>
  </w:abstractNum>
  <w:abstractNum w:abstractNumId="60">
    <w:nsid w:val="746F2E30"/>
    <w:multiLevelType w:val="hybridMultilevel"/>
    <w:lvl w:ilvl="0">
      <w:lvlJc w:val="left"/>
      <w:lvlText w:val="%1"/>
      <w:numFmt w:val="upperLetter"/>
      <w:start w:val="1"/>
    </w:lvl>
    <w:lvl w:ilvl="1">
      <w:lvlJc w:val="left"/>
      <w:lvlText w:val="(%2)"/>
      <w:numFmt w:val="lowerLetter"/>
      <w:start w:val="5"/>
    </w:lvl>
  </w:abstractNum>
  <w:abstractNum w:abstractNumId="61">
    <w:nsid w:val="6FDE8AF6"/>
    <w:multiLevelType w:val="hybridMultilevel"/>
    <w:lvl w:ilvl="0">
      <w:lvlJc w:val="left"/>
      <w:lvlText w:val="(%1)"/>
      <w:numFmt w:val="upperLetter"/>
      <w:start w:val="35"/>
    </w:lvl>
    <w:lvl w:ilvl="1">
      <w:lvlJc w:val="left"/>
      <w:lvlText w:val="%2"/>
      <w:numFmt w:val="lowerLetter"/>
      <w:start w:val="1"/>
    </w:lvl>
  </w:abstractNum>
  <w:abstractNum w:abstractNumId="62">
    <w:nsid w:val="3FC32E20"/>
    <w:multiLevelType w:val="hybridMultilevel"/>
    <w:lvl w:ilvl="0">
      <w:lvlJc w:val="left"/>
      <w:lvlText w:val="(%1)"/>
      <w:numFmt w:val="lowerLetter"/>
      <w:start w:val="7"/>
    </w:lvl>
  </w:abstractNum>
  <w:abstractNum w:abstractNumId="63">
    <w:nsid w:val="49C0E823"/>
    <w:multiLevelType w:val="hybridMultilevel"/>
    <w:lvl w:ilvl="0">
      <w:lvlJc w:val="left"/>
      <w:lvlText w:val="(%1)"/>
      <w:numFmt w:val="lowerRoman"/>
      <w:start w:val="1"/>
    </w:lvl>
  </w:abstractNum>
  <w:abstractNum w:abstractNumId="64">
    <w:nsid w:val="14D53685"/>
    <w:multiLevelType w:val="hybridMultilevel"/>
    <w:lvl w:ilvl="0">
      <w:lvlJc w:val="left"/>
      <w:lvlText w:val="2"/>
      <w:numFmt w:val="bullet"/>
      <w:start w:val="1"/>
    </w:lvl>
  </w:abstractNum>
  <w:abstractNum w:abstractNumId="65">
    <w:nsid w:val="230F856C"/>
    <w:multiLevelType w:val="hybridMultilevel"/>
    <w:lvl w:ilvl="0">
      <w:lvlJc w:val="left"/>
      <w:lvlText w:val="(%1)"/>
      <w:numFmt w:val="lowerLetter"/>
      <w:start w:val="1"/>
    </w:lvl>
  </w:abstractNum>
  <w:abstractNum w:abstractNumId="66">
    <w:nsid w:val="6EAA85FB"/>
    <w:multiLevelType w:val="hybridMultilevel"/>
    <w:lvl w:ilvl="0">
      <w:lvlJc w:val="left"/>
      <w:lvlText w:val="3"/>
      <w:numFmt w:val="bullet"/>
      <w:start w:val="1"/>
    </w:lvl>
  </w:abstractNum>
  <w:abstractNum w:abstractNumId="67">
    <w:nsid w:val="3F06ECB2"/>
    <w:multiLevelType w:val="hybridMultilevel"/>
    <w:lvl w:ilvl="0">
      <w:lvlJc w:val="left"/>
      <w:lvlText w:val="(%1)"/>
      <w:numFmt w:val="lowerLetter"/>
      <w:start w:val="1"/>
    </w:lvl>
  </w:abstractNum>
  <w:abstractNum w:abstractNumId="68">
    <w:nsid w:val="3B594807"/>
    <w:multiLevelType w:val="hybridMultilevel"/>
    <w:lvl w:ilvl="0">
      <w:lvlJc w:val="left"/>
      <w:lvlText w:val="(%1)"/>
      <w:numFmt w:val="lowerLetter"/>
      <w:start w:val="1"/>
    </w:lvl>
  </w:abstractNum>
  <w:abstractNum w:abstractNumId="69">
    <w:nsid w:val="6CAA2304"/>
    <w:multiLevelType w:val="hybridMultilevel"/>
    <w:lvl w:ilvl="0">
      <w:lvlJc w:val="left"/>
      <w:lvlText w:val="(%1)"/>
      <w:numFmt w:val="lowerLetter"/>
      <w:start w:val="7"/>
    </w:lvl>
  </w:abstractNum>
  <w:abstractNum w:abstractNumId="70">
    <w:nsid w:val="3F7C2FF4"/>
    <w:multiLevelType w:val="hybridMultilevel"/>
    <w:lvl w:ilvl="0">
      <w:lvlJc w:val="left"/>
      <w:lvlText w:val="(%1)"/>
      <w:numFmt w:val="lowerLetter"/>
      <w:start w:val="1"/>
    </w:lvl>
  </w:abstractNum>
  <w:abstractNum w:abstractNumId="71">
    <w:nsid w:val="25413BEC"/>
    <w:multiLevelType w:val="hybridMultilevel"/>
    <w:lvl w:ilvl="0">
      <w:lvlJc w:val="left"/>
      <w:lvlText w:val="(%1)"/>
      <w:numFmt w:val="lowerLetter"/>
      <w:start w:val="1"/>
    </w:lvl>
  </w:abstractNum>
  <w:abstractNum w:abstractNumId="72">
    <w:nsid w:val="17180B0B"/>
    <w:multiLevelType w:val="hybridMultilevel"/>
    <w:lvl w:ilvl="0">
      <w:lvlJc w:val="left"/>
      <w:lvlText w:val="(%1)"/>
      <w:numFmt w:val="lowerLetter"/>
      <w:start w:val="6"/>
    </w:lvl>
  </w:abstractNum>
  <w:abstractNum w:abstractNumId="73">
    <w:nsid w:val="579328B9"/>
    <w:multiLevelType w:val="hybridMultilevel"/>
    <w:lvl w:ilvl="0">
      <w:lvlJc w:val="left"/>
      <w:lvlText w:val="(%1)"/>
      <w:numFmt w:val="lowerLetter"/>
      <w:start w:val="1"/>
    </w:lvl>
  </w:abstractNum>
  <w:abstractNum w:abstractNumId="74">
    <w:nsid w:val="5D205E20"/>
    <w:multiLevelType w:val="hybridMultilevel"/>
    <w:lvl w:ilvl="0">
      <w:lvlJc w:val="left"/>
      <w:lvlText w:val="(%1)"/>
      <w:numFmt w:val="lowerLetter"/>
      <w:start w:val="1"/>
    </w:lvl>
  </w:abstractNum>
  <w:abstractNum w:abstractNumId="75">
    <w:nsid w:val="11CCA8BA"/>
    <w:multiLevelType w:val="hybridMultilevel"/>
    <w:lvl w:ilvl="0">
      <w:lvlJc w:val="left"/>
      <w:lvlText w:val="(%1)"/>
      <w:numFmt w:val="lowerRoman"/>
      <w:start w:val="1"/>
    </w:lvl>
  </w:abstractNum>
  <w:abstractNum w:abstractNumId="76">
    <w:nsid w:val="4D32AB86"/>
    <w:multiLevelType w:val="hybridMultilevel"/>
    <w:lvl w:ilvl="0">
      <w:lvlJc w:val="left"/>
      <w:lvlText w:val="(%1)"/>
      <w:numFmt w:val="lowerRoman"/>
      <w:start w:val="3"/>
    </w:lvl>
  </w:abstractNum>
  <w:abstractNum w:abstractNumId="77">
    <w:nsid w:val="3F07ACC3"/>
    <w:multiLevelType w:val="hybridMultilevel"/>
    <w:lvl w:ilvl="0">
      <w:lvlJc w:val="left"/>
      <w:lvlText w:val="(%1)"/>
      <w:numFmt w:val="lowerLetter"/>
      <w:start w:val="1"/>
    </w:lvl>
  </w:abstractNum>
  <w:abstractNum w:abstractNumId="78">
    <w:nsid w:val="6B47F63E"/>
    <w:multiLevelType w:val="hybridMultilevel"/>
    <w:lvl w:ilvl="0">
      <w:lvlJc w:val="left"/>
      <w:lvlText w:val="(%1)"/>
      <w:numFmt w:val="lowerRoman"/>
      <w:start w:val="1"/>
    </w:lvl>
  </w:abstractNum>
  <w:abstractNum w:abstractNumId="79">
    <w:nsid w:val="5CB44A05"/>
    <w:multiLevelType w:val="hybridMultilevel"/>
    <w:lvl w:ilvl="0">
      <w:lvlJc w:val="left"/>
      <w:lvlText w:val="(%1)"/>
      <w:numFmt w:val="lowerRoman"/>
      <w:start w:val="4"/>
    </w:lvl>
  </w:abstractNum>
  <w:abstractNum w:abstractNumId="80">
    <w:nsid w:val="16CF80F1"/>
    <w:multiLevelType w:val="hybridMultilevel"/>
    <w:lvl w:ilvl="0">
      <w:lvlJc w:val="left"/>
      <w:lvlText w:val="(%1)"/>
      <w:numFmt w:val="lowerLetter"/>
      <w:start w:val="1"/>
    </w:lvl>
  </w:abstractNum>
  <w:abstractNum w:abstractNumId="81">
    <w:nsid w:val="1C695DEC"/>
    <w:multiLevelType w:val="hybridMultilevel"/>
    <w:lvl w:ilvl="0">
      <w:lvlJc w:val="left"/>
      <w:lvlText w:val="(%1)"/>
      <w:numFmt w:val="lowerLetter"/>
      <w:start w:val="3"/>
    </w:lvl>
    <w:lvl w:ilvl="1">
      <w:lvlJc w:val="left"/>
      <w:lvlText w:val="(%2)"/>
      <w:numFmt w:val="lowerRoman"/>
      <w:start w:val="1"/>
    </w:lvl>
  </w:abstractNum>
  <w:abstractNum w:abstractNumId="82">
    <w:nsid w:val="3FCFAED9"/>
    <w:multiLevelType w:val="hybridMultilevel"/>
    <w:lvl w:ilvl="0">
      <w:lvlJc w:val="left"/>
      <w:lvlText w:val="(%1)"/>
      <w:numFmt w:val="lowerLetter"/>
      <w:start w:val="9"/>
    </w:lvl>
    <w:lvl w:ilvl="1">
      <w:lvlJc w:val="left"/>
      <w:lvlText w:val="%2"/>
      <w:numFmt w:val="lowerRoman"/>
      <w:start w:val="1"/>
    </w:lvl>
  </w:abstractNum>
  <w:abstractNum w:abstractNumId="83">
    <w:nsid w:val="F856867"/>
    <w:multiLevelType w:val="hybridMultilevel"/>
    <w:lvl w:ilvl="0">
      <w:lvlJc w:val="left"/>
      <w:lvlText w:val="(%1)"/>
      <w:numFmt w:val="lowerLetter"/>
      <w:start w:val="6"/>
    </w:lvl>
  </w:abstractNum>
  <w:abstractNum w:abstractNumId="84">
    <w:nsid w:val="11B1CC33"/>
    <w:multiLevelType w:val="hybridMultilevel"/>
    <w:lvl w:ilvl="0">
      <w:lvlJc w:val="left"/>
      <w:lvlText w:val="(%1)"/>
      <w:numFmt w:val="lowerLetter"/>
      <w:start w:val="8"/>
    </w:lvl>
  </w:abstractNum>
  <w:abstractNum w:abstractNumId="85">
    <w:nsid w:val="2E22FBB7"/>
    <w:multiLevelType w:val="hybridMultilevel"/>
    <w:lvl w:ilvl="0">
      <w:lvlJc w:val="left"/>
      <w:lvlText w:val="(%1)"/>
      <w:numFmt w:val="decimal"/>
      <w:start w:val="3"/>
    </w:lvl>
    <w:lvl w:ilvl="1">
      <w:lvlJc w:val="left"/>
      <w:lvlText w:val="(%2)"/>
      <w:numFmt w:val="lowerLetter"/>
      <w:start w:val="11"/>
    </w:lvl>
    <w:lvl w:ilvl="2">
      <w:lvlJc w:val="left"/>
      <w:lvlText w:val="(%3)"/>
      <w:numFmt w:val="lowerRoman"/>
      <w:start w:val="1"/>
    </w:lvl>
    <w:lvl w:ilvl="3">
      <w:lvlJc w:val="left"/>
      <w:lvlText w:val="(%4)"/>
      <w:numFmt w:val="lowerRoman"/>
      <w:start w:val="1"/>
    </w:lvl>
  </w:abstractNum>
  <w:abstractNum w:abstractNumId="86">
    <w:nsid w:val="29934699"/>
    <w:multiLevelType w:val="hybridMultilevel"/>
    <w:lvl w:ilvl="0">
      <w:lvlJc w:val="left"/>
      <w:lvlText w:val="&amp;"/>
      <w:numFmt w:val="bullet"/>
      <w:start w:val="1"/>
    </w:lvl>
    <w:lvl w:ilvl="1">
      <w:lvlJc w:val="left"/>
      <w:lvlText w:val="(%2)"/>
      <w:numFmt w:val="lowerLetter"/>
      <w:start w:val="14"/>
    </w:lvl>
  </w:abstractNum>
  <w:abstractNum w:abstractNumId="87">
    <w:nsid w:val="77485850"/>
    <w:multiLevelType w:val="hybridMultilevel"/>
    <w:lvl w:ilvl="0">
      <w:lvlJc w:val="left"/>
      <w:lvlText w:val="&amp;"/>
      <w:numFmt w:val="bullet"/>
      <w:start w:val="1"/>
    </w:lvl>
    <w:lvl w:ilvl="1">
      <w:lvlJc w:val="left"/>
      <w:lvlText w:val="(%2)"/>
      <w:numFmt w:val="lowerLetter"/>
      <w:start w:val="15"/>
    </w:lvl>
  </w:abstractNum>
  <w:abstractNum w:abstractNumId="88">
    <w:nsid w:val="744939A3"/>
    <w:multiLevelType w:val="hybridMultilevel"/>
    <w:lvl w:ilvl="0">
      <w:lvlJc w:val="left"/>
      <w:lvlText w:val="(%1)"/>
      <w:numFmt w:val="lowerLetter"/>
      <w:start w:val="1"/>
    </w:lvl>
  </w:abstractNum>
  <w:abstractNum w:abstractNumId="89">
    <w:nsid w:val="4FA0D2E3"/>
    <w:multiLevelType w:val="hybridMultilevel"/>
    <w:lvl w:ilvl="0">
      <w:lvlJc w:val="left"/>
      <w:lvlText w:val="(%1)"/>
      <w:numFmt w:val="lowerLetter"/>
      <w:start w:val="1"/>
    </w:lvl>
    <w:lvl w:ilvl="1">
      <w:lvlJc w:val="left"/>
      <w:lvlText w:val="(%2)"/>
      <w:numFmt w:val="lowerRoman"/>
      <w:start w:val="1"/>
    </w:lvl>
  </w:abstractNum>
  <w:abstractNum w:abstractNumId="90">
    <w:nsid w:val="6B1D2C14"/>
    <w:multiLevelType w:val="hybridMultilevel"/>
    <w:lvl w:ilvl="0">
      <w:lvlJc w:val="left"/>
      <w:lvlText w:val="(%1)"/>
      <w:numFmt w:val="lowerLetter"/>
      <w:start w:val="61"/>
    </w:lvl>
    <w:lvl w:ilvl="1">
      <w:lvlJc w:val="left"/>
      <w:lvlText w:val="(%2)"/>
      <w:numFmt w:val="lowerRoman"/>
      <w:start w:val="2"/>
    </w:lvl>
  </w:abstractNum>
  <w:abstractNum w:abstractNumId="91">
    <w:nsid w:val="68B867D3"/>
    <w:multiLevelType w:val="hybridMultilevel"/>
    <w:lvl w:ilvl="0">
      <w:lvlJc w:val="left"/>
      <w:lvlText w:val="(%1)"/>
      <w:numFmt w:val="lowerLetter"/>
      <w:start w:val="5"/>
    </w:lvl>
  </w:abstractNum>
  <w:abstractNum w:abstractNumId="92">
    <w:nsid w:val="3F7F5DD9"/>
    <w:multiLevelType w:val="hybridMultilevel"/>
    <w:lvl w:ilvl="0">
      <w:lvlJc w:val="left"/>
      <w:lvlText w:val="(%1)"/>
      <w:numFmt w:val="lowerLetter"/>
      <w:start w:val="1"/>
    </w:lvl>
  </w:abstractNum>
  <w:abstractNum w:abstractNumId="93">
    <w:nsid w:val="2AE05A34"/>
    <w:multiLevelType w:val="hybridMultilevel"/>
    <w:lvl w:ilvl="0">
      <w:lvlJc w:val="left"/>
      <w:lvlText w:val="(%1)"/>
      <w:numFmt w:val="lowerLetter"/>
      <w:start w:val="3"/>
    </w:lvl>
  </w:abstractNum>
  <w:abstractNum w:abstractNumId="94">
    <w:nsid w:val="32794FF7"/>
    <w:multiLevelType w:val="hybridMultilevel"/>
    <w:lvl w:ilvl="0">
      <w:lvlJc w:val="left"/>
      <w:lvlText w:val="(%1)"/>
      <w:numFmt w:val="lowerLetter"/>
      <w:start w:val="1"/>
    </w:lvl>
  </w:abstractNum>
  <w:abstractNum w:abstractNumId="95">
    <w:nsid w:val="5454945E"/>
    <w:multiLevelType w:val="hybridMultilevel"/>
    <w:lvl w:ilvl="0">
      <w:lvlJc w:val="left"/>
      <w:lvlText w:val="(%1)"/>
      <w:numFmt w:val="lowerLetter"/>
      <w:start w:val="1"/>
    </w:lvl>
  </w:abstractNum>
  <w:abstractNum w:abstractNumId="96">
    <w:nsid w:val="4DEFDFA0"/>
    <w:multiLevelType w:val="hybridMultilevel"/>
    <w:lvl w:ilvl="0">
      <w:lvlJc w:val="left"/>
      <w:lvlText w:val="(%1)"/>
      <w:numFmt w:val="lowerLetter"/>
      <w:start w:val="2"/>
    </w:lvl>
  </w:abstractNum>
  <w:abstractNum w:abstractNumId="97">
    <w:nsid w:val="2123D5F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98">
    <w:nsid w:val="135B8110"/>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99">
    <w:nsid w:val="94927A8"/>
    <w:multiLevelType w:val="hybridMultilevel"/>
    <w:lvl w:ilvl="0">
      <w:lvlJc w:val="left"/>
      <w:lvlText w:val="(%1)"/>
      <w:numFmt w:val="decimal"/>
      <w:start w:val="2"/>
    </w:lvl>
  </w:abstractNum>
  <w:abstractNum w:abstractNumId="100">
    <w:nsid w:val="DCDF8F6"/>
    <w:multiLevelType w:val="hybridMultilevel"/>
    <w:lvl w:ilvl="0">
      <w:lvlJc w:val="left"/>
      <w:lvlText w:val="(%1)"/>
      <w:numFmt w:val="decimal"/>
      <w:start w:val="3"/>
    </w:lvl>
  </w:abstractNum>
  <w:abstractNum w:abstractNumId="101">
    <w:nsid w:val="52D7B105"/>
    <w:multiLevelType w:val="hybridMultilevel"/>
    <w:lvl w:ilvl="0">
      <w:lvlJc w:val="left"/>
      <w:lvlText w:val="(%1)"/>
      <w:numFmt w:val="upperLetter"/>
      <w:start w:val="3"/>
    </w:lvl>
  </w:abstractNum>
  <w:abstractNum w:abstractNumId="102">
    <w:nsid w:val="2E8A6394"/>
    <w:multiLevelType w:val="hybridMultilevel"/>
    <w:lvl w:ilvl="0">
      <w:lvlJc w:val="left"/>
      <w:lvlText w:val="(%1)"/>
      <w:numFmt w:val="decimal"/>
      <w:start w:val="2"/>
    </w:lvl>
  </w:abstractNum>
  <w:abstractNum w:abstractNumId="103">
    <w:nsid w:val="24E60401"/>
    <w:multiLevelType w:val="hybridMultilevel"/>
    <w:lvl w:ilvl="0">
      <w:lvlJc w:val="left"/>
      <w:lvlText w:val="(%1)"/>
      <w:numFmt w:val="decimal"/>
      <w:start w:val="3"/>
    </w:lvl>
  </w:abstractNum>
  <w:abstractNum w:abstractNumId="104">
    <w:nsid w:val="2A6AD9BE"/>
    <w:multiLevelType w:val="hybridMultilevel"/>
    <w:lvl w:ilvl="0">
      <w:lvlJc w:val="left"/>
      <w:lvlText w:val="(%1)"/>
      <w:numFmt w:val="upperLetter"/>
      <w:start w:val="4"/>
    </w:lvl>
  </w:abstractNum>
  <w:abstractNum w:abstractNumId="105">
    <w:nsid w:val="BAAC1B4"/>
    <w:multiLevelType w:val="hybridMultilevel"/>
    <w:lvl w:ilvl="0">
      <w:lvlJc w:val="left"/>
      <w:lvlText w:val="(%1)"/>
      <w:numFmt w:val="decimal"/>
      <w:start w:val="2"/>
    </w:lvl>
  </w:abstractNum>
  <w:abstractNum w:abstractNumId="106">
    <w:nsid w:val="36B2ACBC"/>
    <w:multiLevelType w:val="hybridMultilevel"/>
    <w:lvl w:ilvl="0">
      <w:lvlJc w:val="left"/>
      <w:lvlText w:val="(%1)"/>
      <w:numFmt w:val="decimal"/>
      <w:start w:val="3"/>
    </w:lvl>
  </w:abstractNum>
  <w:abstractNum w:abstractNumId="107">
    <w:nsid w:val="779D8544"/>
    <w:multiLevelType w:val="hybridMultilevel"/>
    <w:lvl w:ilvl="0">
      <w:lvlJc w:val="left"/>
      <w:lvlText w:val="(%1)"/>
      <w:numFmt w:val="upperLetter"/>
      <w:start w:val="5"/>
    </w:lvl>
  </w:abstractNum>
  <w:abstractNum w:abstractNumId="108">
    <w:nsid w:val="4AB26E78"/>
    <w:multiLevelType w:val="hybridMultilevel"/>
    <w:lvl w:ilvl="0">
      <w:lvlJc w:val="left"/>
      <w:lvlText w:val="(%1)"/>
      <w:numFmt w:val="upperLetter"/>
      <w:start w:val="7"/>
    </w:lvl>
  </w:abstractNum>
  <w:abstractNum w:abstractNumId="109">
    <w:nsid w:val="21FAA2FA"/>
    <w:multiLevelType w:val="hybridMultilevel"/>
    <w:lvl w:ilvl="0">
      <w:lvlJc w:val="left"/>
      <w:lvlText w:val="(%1)"/>
      <w:numFmt w:val="lowerLetter"/>
      <w:start w:val="2"/>
    </w:lvl>
  </w:abstractNum>
  <w:abstractNum w:abstractNumId="110">
    <w:nsid w:val="5451CF49"/>
    <w:multiLevelType w:val="hybridMultilevel"/>
    <w:lvl w:ilvl="0">
      <w:lvlJc w:val="left"/>
      <w:lvlText w:val="%1"/>
      <w:numFmt w:val="lowerLetter"/>
      <w:start w:val="1"/>
    </w:lvl>
    <w:lvl w:ilvl="1">
      <w:lvlJc w:val="left"/>
      <w:lvlText w:val="(%2)"/>
      <w:numFmt w:val="lowerLetter"/>
      <w:start w:val="4"/>
    </w:lvl>
  </w:abstractNum>
  <w:abstractNum w:abstractNumId="111">
    <w:nsid w:val="6181EF69"/>
    <w:multiLevelType w:val="hybridMultilevel"/>
    <w:lvl w:ilvl="0">
      <w:lvlJc w:val="left"/>
      <w:lvlText w:val="(%1)"/>
      <w:numFmt w:val="lowerLetter"/>
      <w:start w:val="24"/>
    </w:lvl>
    <w:lvl w:ilvl="1">
      <w:lvlJc w:val="left"/>
      <w:lvlText w:val="%2"/>
      <w:numFmt w:val="lowerLetter"/>
      <w:start w:val="1"/>
    </w:lvl>
  </w:abstractNum>
  <w:abstractNum w:abstractNumId="112">
    <w:nsid w:val="3E6400E6"/>
    <w:multiLevelType w:val="hybridMultilevel"/>
    <w:lvl w:ilvl="0">
      <w:lvlJc w:val="left"/>
      <w:lvlText w:val="%1"/>
      <w:numFmt w:val="upperLetter"/>
      <w:start w:val="1"/>
    </w:lvl>
    <w:lvl w:ilvl="1">
      <w:lvlJc w:val="left"/>
      <w:lvlText w:val="(%2)"/>
      <w:numFmt w:val="lowerLetter"/>
      <w:start w:val="5"/>
    </w:lvl>
  </w:abstractNum>
  <w:abstractNum w:abstractNumId="113">
    <w:nsid w:val="14217E23"/>
    <w:multiLevelType w:val="hybridMultilevel"/>
    <w:lvl w:ilvl="0">
      <w:lvlJc w:val="left"/>
      <w:lvlText w:val="(%1)"/>
      <w:numFmt w:val="upperLetter"/>
      <w:start w:val="9"/>
    </w:lvl>
    <w:lvl w:ilvl="1">
      <w:lvlJc w:val="left"/>
      <w:lvlText w:val="%2"/>
      <w:numFmt w:val="lowerLetter"/>
      <w:start w:val="1"/>
    </w:lvl>
  </w:abstractNum>
  <w:abstractNum w:abstractNumId="114">
    <w:nsid w:val="710757D0"/>
    <w:multiLevelType w:val="hybridMultilevel"/>
    <w:lvl w:ilvl="0">
      <w:lvlJc w:val="left"/>
      <w:lvlText w:val="(%1)"/>
      <w:numFmt w:val="lowerLetter"/>
      <w:start w:val="6"/>
    </w:lvl>
  </w:abstractNum>
  <w:abstractNum w:abstractNumId="115">
    <w:nsid w:val="5015CD1A"/>
    <w:multiLevelType w:val="hybridMultilevel"/>
    <w:lvl w:ilvl="0">
      <w:lvlJc w:val="left"/>
      <w:lvlText w:val="(%1)"/>
      <w:numFmt w:val="lowerLetter"/>
      <w:start w:val="1"/>
    </w:lvl>
  </w:abstractNum>
  <w:abstractNum w:abstractNumId="116">
    <w:nsid w:val="424479DA"/>
    <w:multiLevelType w:val="hybridMultilevel"/>
    <w:lvl w:ilvl="0">
      <w:lvlJc w:val="left"/>
      <w:lvlText w:val="(%1)"/>
      <w:numFmt w:val="lowerLetter"/>
      <w:start w:val="2"/>
    </w:lvl>
  </w:abstractNum>
  <w:abstractNum w:abstractNumId="117">
    <w:nsid w:val="1A9A9E69"/>
    <w:multiLevelType w:val="hybridMultilevel"/>
    <w:lvl w:ilvl="0">
      <w:lvlJc w:val="left"/>
      <w:lvlText w:val="%1"/>
      <w:numFmt w:val="lowerLetter"/>
      <w:start w:val="1"/>
    </w:lvl>
    <w:lvl w:ilvl="1">
      <w:lvlJc w:val="left"/>
      <w:lvlText w:val="(%2)"/>
      <w:numFmt w:val="lowerLetter"/>
      <w:start w:val="1"/>
    </w:lvl>
  </w:abstractNum>
  <w:abstractNum w:abstractNumId="118">
    <w:nsid w:val="475E256A"/>
    <w:multiLevelType w:val="hybridMultilevel"/>
    <w:lvl w:ilvl="0">
      <w:lvlJc w:val="left"/>
      <w:lvlText w:val="(%1)"/>
      <w:numFmt w:val="lowerLetter"/>
      <w:start w:val="9"/>
    </w:lvl>
    <w:lvl w:ilvl="1">
      <w:lvlJc w:val="left"/>
      <w:lvlText w:val="(%2)"/>
      <w:numFmt w:val="lowerLetter"/>
      <w:start w:val="4"/>
    </w:lvl>
  </w:abstractNum>
  <w:abstractNum w:abstractNumId="119">
    <w:nsid w:val="368DB37E"/>
    <w:multiLevelType w:val="hybridMultilevel"/>
    <w:lvl w:ilvl="0">
      <w:lvlJc w:val="left"/>
      <w:lvlText w:val="(%1)"/>
      <w:numFmt w:val="lowerLetter"/>
      <w:start w:val="35"/>
    </w:lvl>
    <w:lvl w:ilvl="1">
      <w:lvlJc w:val="left"/>
      <w:lvlText w:val="%2"/>
      <w:numFmt w:val="lowerLetter"/>
      <w:start w:val="1"/>
    </w:lvl>
  </w:abstractNum>
  <w:abstractNum w:abstractNumId="120">
    <w:nsid w:val="6A3B714C"/>
    <w:multiLevelType w:val="hybridMultilevel"/>
    <w:lvl w:ilvl="0">
      <w:lvlJc w:val="left"/>
      <w:lvlText w:val="(%1)"/>
      <w:numFmt w:val="lowerLetter"/>
      <w:start w:val="5"/>
    </w:lvl>
  </w:abstractNum>
  <w:abstractNum w:abstractNumId="121">
    <w:nsid w:val="327B517E"/>
    <w:multiLevelType w:val="hybridMultilevel"/>
    <w:lvl w:ilvl="0">
      <w:lvlJc w:val="left"/>
      <w:lvlText w:val="(%1)"/>
      <w:numFmt w:val="lowerLetter"/>
      <w:start w:val="1"/>
    </w:lvl>
    <w:lvl w:ilvl="1">
      <w:lvlJc w:val="left"/>
      <w:lvlText w:val="(%2)"/>
      <w:numFmt w:val="lowerRoman"/>
      <w:start w:val="1"/>
    </w:lvl>
  </w:abstractNum>
  <w:abstractNum w:abstractNumId="122">
    <w:nsid w:val="1F461B51"/>
    <w:multiLevelType w:val="hybridMultilevel"/>
    <w:lvl w:ilvl="0">
      <w:lvlJc w:val="left"/>
      <w:lvlText w:val="(%1)"/>
      <w:numFmt w:val="lowerRoman"/>
      <w:start w:val="10"/>
    </w:lvl>
  </w:abstractNum>
  <w:abstractNum w:abstractNumId="123">
    <w:nsid w:val="29BACF25"/>
    <w:multiLevelType w:val="hybridMultilevel"/>
    <w:lvl w:ilvl="0">
      <w:lvlJc w:val="left"/>
      <w:lvlText w:val="(%1)"/>
      <w:numFmt w:val="lowerLetter"/>
      <w:start w:val="2"/>
    </w:lvl>
    <w:lvl w:ilvl="1">
      <w:lvlJc w:val="left"/>
      <w:lvlText w:val="(%2)"/>
      <w:numFmt w:val="lowerLetter"/>
      <w:start w:val="9"/>
    </w:lvl>
  </w:abstractNum>
  <w:abstractNum w:abstractNumId="124">
    <w:nsid w:val="5D5BABB3"/>
    <w:multiLevelType w:val="hybridMultilevel"/>
    <w:lvl w:ilvl="0">
      <w:lvlJc w:val="left"/>
      <w:lvlText w:val="(%1)"/>
      <w:numFmt w:val="lowerRoman"/>
      <w:start w:val="1"/>
    </w:lvl>
  </w:abstractNum>
  <w:abstractNum w:abstractNumId="125">
    <w:nsid w:val="51BF6B48"/>
    <w:multiLevelType w:val="hybridMultilevel"/>
    <w:lvl w:ilvl="0">
      <w:lvlJc w:val="left"/>
      <w:lvlText w:val="(%1)"/>
      <w:numFmt w:val="lowerRoman"/>
      <w:start w:val="3"/>
    </w:lvl>
  </w:abstractNum>
  <w:abstractNum w:abstractNumId="126">
    <w:nsid w:val="7E0F6384"/>
    <w:multiLevelType w:val="hybridMultilevel"/>
    <w:lvl w:ilvl="0">
      <w:lvlJc w:val="left"/>
      <w:lvlText w:val="(%1)"/>
      <w:numFmt w:val="lowerRoman"/>
      <w:start w:val="2"/>
    </w:lvl>
  </w:abstractNum>
  <w:abstractNum w:abstractNumId="127">
    <w:nsid w:val="2B4B8B53"/>
    <w:multiLevelType w:val="hybridMultilevel"/>
    <w:lvl w:ilvl="0">
      <w:lvlJc w:val="left"/>
      <w:lvlText w:val="(%1)"/>
      <w:numFmt w:val="lowerRoman"/>
      <w:start w:val="5"/>
    </w:lvl>
  </w:abstractNum>
  <w:abstractNum w:abstractNumId="128">
    <w:nsid w:val="72E3413A"/>
    <w:multiLevelType w:val="hybridMultilevel"/>
    <w:lvl w:ilvl="0">
      <w:lvlJc w:val="left"/>
      <w:lvlText w:val="(%1)"/>
      <w:numFmt w:val="lowerLetter"/>
      <w:start w:val="1"/>
    </w:lvl>
    <w:lvl w:ilvl="1">
      <w:lvlJc w:val="left"/>
      <w:lvlText w:val="(%2)"/>
      <w:numFmt w:val="lowerRoman"/>
      <w:start w:val="1"/>
    </w:lvl>
  </w:abstractNum>
  <w:abstractNum w:abstractNumId="129">
    <w:nsid w:val="116AE494"/>
    <w:multiLevelType w:val="hybridMultilevel"/>
    <w:lvl w:ilvl="0">
      <w:lvlJc w:val="left"/>
      <w:lvlText w:val="(%1)"/>
      <w:numFmt w:val="lowerLetter"/>
      <w:start w:val="2"/>
    </w:lvl>
  </w:abstractNum>
  <w:abstractNum w:abstractNumId="130">
    <w:nsid w:val="3494B2FB"/>
    <w:multiLevelType w:val="hybridMultilevel"/>
    <w:lvl w:ilvl="0">
      <w:lvlJc w:val="left"/>
      <w:lvlText w:val="(%1)"/>
      <w:numFmt w:val="lowerLetter"/>
      <w:start w:val="4"/>
    </w:lvl>
  </w:abstractNum>
  <w:abstractNum w:abstractNumId="131">
    <w:nsid w:val="B13A31"/>
    <w:multiLevelType w:val="hybridMultilevel"/>
    <w:lvl w:ilvl="0">
      <w:lvlJc w:val="left"/>
      <w:lvlText w:val="(%1)"/>
      <w:numFmt w:val="lowerLetter"/>
      <w:start w:val="1"/>
    </w:lvl>
  </w:abstractNum>
  <w:abstractNum w:abstractNumId="132">
    <w:nsid w:val="64429599"/>
    <w:multiLevelType w:val="hybridMultilevel"/>
    <w:lvl w:ilvl="0">
      <w:lvlJc w:val="left"/>
      <w:lvlText w:val="(%1)"/>
      <w:numFmt w:val="lowerLetter"/>
      <w:start w:val="5"/>
    </w:lvl>
  </w:abstractNum>
  <w:abstractNum w:abstractNumId="133">
    <w:nsid w:val="631F1690"/>
    <w:multiLevelType w:val="hybridMultilevel"/>
    <w:lvl w:ilvl="0">
      <w:lvlJc w:val="left"/>
      <w:lvlText w:val="(%1)"/>
      <w:numFmt w:val="decimal"/>
      <w:start w:val="1"/>
    </w:lvl>
    <w:lvl w:ilvl="1">
      <w:lvlJc w:val="left"/>
      <w:lvlText w:val="(%2)"/>
      <w:numFmt w:val="upperLetter"/>
      <w:start w:val="1"/>
    </w:lvl>
  </w:abstractNum>
  <w:abstractNum w:abstractNumId="134">
    <w:nsid w:val="25973E32"/>
    <w:multiLevelType w:val="hybridMultilevel"/>
    <w:lvl w:ilvl="0">
      <w:lvlJc w:val="left"/>
      <w:lvlText w:val="(%1)"/>
      <w:numFmt w:val="decimal"/>
      <w:start w:val="3"/>
    </w:lvl>
  </w:abstractNum>
  <w:abstractNum w:abstractNumId="135">
    <w:nsid w:val="EAD6F57"/>
    <w:multiLevelType w:val="hybridMultilevel"/>
    <w:lvl w:ilvl="0">
      <w:lvlJc w:val="left"/>
      <w:lvlText w:val="(%1)"/>
      <w:numFmt w:val="lowerLetter"/>
      <w:start w:val="6"/>
    </w:lvl>
  </w:abstractNum>
  <w:abstractNum w:abstractNumId="136">
    <w:nsid w:val="6EC9D844"/>
    <w:multiLevelType w:val="hybridMultilevel"/>
    <w:lvl w:ilvl="0">
      <w:lvlJc w:val="left"/>
      <w:lvlText w:val="(%1)"/>
      <w:numFmt w:val="lowerLetter"/>
      <w:start w:val="1"/>
    </w:lvl>
  </w:abstractNum>
  <w:abstractNum w:abstractNumId="137">
    <w:nsid w:val="5C49EAEE"/>
    <w:multiLevelType w:val="hybridMultilevel"/>
    <w:lvl w:ilvl="0">
      <w:lvlJc w:val="left"/>
      <w:lvlText w:val="%1"/>
      <w:numFmt w:val="lowerLetter"/>
      <w:start w:val="1"/>
    </w:lvl>
    <w:lvl w:ilvl="1">
      <w:lvlJc w:val="left"/>
      <w:lvlText w:val="(%2)"/>
      <w:numFmt w:val="lowerLetter"/>
      <w:start w:val="2"/>
    </w:lvl>
  </w:abstractNum>
  <w:abstractNum w:abstractNumId="138">
    <w:nsid w:val="64AF49B"/>
    <w:multiLevelType w:val="hybridMultilevel"/>
    <w:lvl w:ilvl="0">
      <w:lvlJc w:val="left"/>
      <w:lvlText w:val="(%1)"/>
      <w:numFmt w:val="lowerLetter"/>
      <w:start w:val="35"/>
    </w:lvl>
    <w:lvl w:ilvl="1">
      <w:lvlJc w:val="left"/>
      <w:lvlText w:val="%2"/>
      <w:numFmt w:val="lowerLetter"/>
      <w:start w:val="1"/>
    </w:lvl>
  </w:abstractNum>
  <w:abstractNum w:abstractNumId="139">
    <w:nsid w:val="397C46BC"/>
    <w:multiLevelType w:val="hybridMultilevel"/>
    <w:lvl w:ilvl="0">
      <w:lvlJc w:val="left"/>
      <w:lvlText w:val="%1"/>
      <w:numFmt w:val="lowerLetter"/>
      <w:start w:val="1"/>
    </w:lvl>
    <w:lvl w:ilvl="1">
      <w:lvlJc w:val="left"/>
      <w:lvlText w:val="(%2)"/>
      <w:numFmt w:val="lowerLetter"/>
      <w:start w:val="3"/>
    </w:lvl>
  </w:abstractNum>
  <w:abstractNum w:abstractNumId="140">
    <w:nsid w:val="7E448DE9"/>
    <w:multiLevelType w:val="hybridMultilevel"/>
    <w:lvl w:ilvl="0">
      <w:lvlJc w:val="left"/>
      <w:lvlText w:val="(%1)"/>
      <w:numFmt w:val="lowerLetter"/>
      <w:start w:val="35"/>
    </w:lvl>
    <w:lvl w:ilvl="1">
      <w:lvlJc w:val="left"/>
      <w:lvlText w:val="(%2)"/>
      <w:numFmt w:val="lowerLetter"/>
      <w:start w:val="4"/>
    </w:lvl>
  </w:abstractNum>
  <w:abstractNum w:abstractNumId="141">
    <w:nsid w:val="5A9CC3E5"/>
    <w:multiLevelType w:val="hybridMultilevel"/>
    <w:lvl w:ilvl="0">
      <w:lvlJc w:val="left"/>
      <w:lvlText w:val="(%1)"/>
      <w:numFmt w:val="lowerLetter"/>
      <w:start w:val="6"/>
    </w:lvl>
  </w:abstractNum>
  <w:abstractNum w:abstractNumId="142">
    <w:nsid w:val="1AFE3625"/>
    <w:multiLevelType w:val="hybridMultilevel"/>
    <w:lvl w:ilvl="0">
      <w:lvlJc w:val="left"/>
      <w:lvlText w:val="(%1)"/>
      <w:numFmt w:val="lowerLetter"/>
      <w:start w:val="1"/>
    </w:lvl>
  </w:abstractNum>
  <w:abstractNum w:abstractNumId="143">
    <w:nsid w:val="3CA88ECF"/>
    <w:multiLevelType w:val="hybridMultilevel"/>
    <w:lvl w:ilvl="0">
      <w:lvlJc w:val="left"/>
      <w:lvlText w:val="(%1)"/>
      <w:numFmt w:val="lowerLetter"/>
      <w:start w:val="1"/>
    </w:lvl>
  </w:abstractNum>
  <w:abstractNum w:abstractNumId="144">
    <w:nsid w:val="6EBE4208"/>
    <w:multiLevelType w:val="hybridMultilevel"/>
    <w:lvl w:ilvl="0">
      <w:lvlJc w:val="left"/>
      <w:lvlText w:val="(%1)"/>
      <w:numFmt w:val="lowerLetter"/>
      <w:start w:val="2"/>
    </w:lvl>
  </w:abstractNum>
  <w:abstractNum w:abstractNumId="145">
    <w:nsid w:val="C058DF5"/>
    <w:multiLevelType w:val="hybridMultilevel"/>
    <w:lvl w:ilvl="0">
      <w:lvlJc w:val="left"/>
      <w:lvlText w:val="(%1)"/>
      <w:numFmt w:val="upperLetter"/>
      <w:start w:val="1"/>
    </w:lvl>
  </w:abstractNum>
  <w:abstractNum w:abstractNumId="146">
    <w:nsid w:val="CBE5BE9"/>
    <w:multiLevelType w:val="hybridMultilevel"/>
    <w:lvl w:ilvl="0">
      <w:lvlJc w:val="left"/>
      <w:lvlText w:val="%1"/>
      <w:numFmt w:val="upperLetter"/>
      <w:start w:val="1"/>
    </w:lvl>
    <w:lvl w:ilvl="1">
      <w:lvlJc w:val="left"/>
      <w:lvlText w:val="(%2)"/>
      <w:numFmt w:val="upperLetter"/>
      <w:start w:val="4"/>
    </w:lvl>
  </w:abstractNum>
  <w:abstractNum w:abstractNumId="147">
    <w:nsid w:val="3102BBE2"/>
    <w:multiLevelType w:val="hybridMultilevel"/>
    <w:lvl w:ilvl="0">
      <w:lvlJc w:val="left"/>
      <w:lvlText w:val="(%1)"/>
      <w:numFmt w:val="upperLetter"/>
      <w:start w:val="1"/>
    </w:lvl>
    <w:lvl w:ilvl="1">
      <w:lvlJc w:val="left"/>
      <w:lvlText w:val="(%2)"/>
      <w:numFmt w:val="upperLetter"/>
      <w:start w:val="5"/>
    </w:lvl>
  </w:abstractNum>
  <w:abstractNum w:abstractNumId="148">
    <w:nsid w:val="26A02C5E"/>
    <w:multiLevelType w:val="hybridMultilevel"/>
    <w:lvl w:ilvl="0">
      <w:lvlJc w:val="left"/>
      <w:lvlText w:val="(%1)"/>
      <w:numFmt w:val="decimal"/>
      <w:start w:val="1"/>
    </w:lvl>
    <w:lvl w:ilvl="1">
      <w:lvlJc w:val="left"/>
      <w:lvlText w:val="(%2)"/>
      <w:numFmt w:val="lowerLetter"/>
      <w:start w:val="3"/>
    </w:lvl>
  </w:abstractNum>
  <w:abstractNum w:abstractNumId="149">
    <w:nsid w:val="541C8153"/>
    <w:multiLevelType w:val="hybridMultilevel"/>
    <w:lvl w:ilvl="0">
      <w:lvlJc w:val="left"/>
      <w:lvlText w:val="(%1)"/>
      <w:numFmt w:val="lowerLetter"/>
      <w:start w:val="5"/>
    </w:lvl>
  </w:abstractNum>
  <w:abstractNum w:abstractNumId="150">
    <w:nsid w:val="67906F60"/>
    <w:multiLevelType w:val="hybridMultilevel"/>
    <w:lvl w:ilvl="0">
      <w:lvlJc w:val="left"/>
      <w:lvlText w:val="(%1)"/>
      <w:numFmt w:val="lowerLetter"/>
      <w:start w:val="1"/>
    </w:lvl>
  </w:abstractNum>
  <w:abstractNum w:abstractNumId="151">
    <w:nsid w:val="10DB9DAA"/>
    <w:multiLevelType w:val="hybridMultilevel"/>
    <w:lvl w:ilvl="0">
      <w:lvlJc w:val="left"/>
      <w:lvlText w:val="(%1)"/>
      <w:numFmt w:val="lowerLetter"/>
      <w:start w:val="2"/>
    </w:lvl>
  </w:abstractNum>
  <w:abstractNum w:abstractNumId="152">
    <w:nsid w:val="697D2D2"/>
    <w:multiLevelType w:val="hybridMultilevel"/>
    <w:lvl w:ilvl="0">
      <w:lvlJc w:val="left"/>
      <w:lvlText w:val="(%1)"/>
      <w:numFmt w:val="lowerLetter"/>
      <w:start w:val="1"/>
    </w:lvl>
    <w:lvl w:ilvl="1">
      <w:lvlJc w:val="left"/>
      <w:lvlText w:val="(%2)"/>
      <w:numFmt w:val="lowerRoman"/>
      <w:start w:val="1"/>
    </w:lvl>
  </w:abstractNum>
  <w:abstractNum w:abstractNumId="153">
    <w:nsid w:val="6D68AB2"/>
    <w:multiLevelType w:val="hybridMultilevel"/>
    <w:lvl w:ilvl="0">
      <w:lvlJc w:val="left"/>
      <w:lvlText w:val="%1"/>
      <w:numFmt w:val="lowerLetter"/>
      <w:start w:val="1"/>
    </w:lvl>
    <w:lvl w:ilvl="1">
      <w:lvlJc w:val="left"/>
      <w:lvlText w:val="(%2)"/>
      <w:numFmt w:val="lowerRoman"/>
      <w:start w:val="3"/>
    </w:lvl>
  </w:abstractNum>
  <w:abstractNum w:abstractNumId="154">
    <w:nsid w:val="3A966CD0"/>
    <w:multiLevelType w:val="hybridMultilevel"/>
    <w:lvl w:ilvl="0">
      <w:lvlJc w:val="left"/>
      <w:lvlText w:val="(%1)"/>
      <w:numFmt w:val="lowerLetter"/>
      <w:start w:val="2"/>
    </w:lvl>
    <w:lvl w:ilvl="1">
      <w:lvlJc w:val="left"/>
      <w:lvlText w:val="%2"/>
      <w:numFmt w:val="lowerRoman"/>
      <w:start w:val="1"/>
    </w:lvl>
  </w:abstractNum>
  <w:abstractNum w:abstractNumId="155">
    <w:nsid w:val="63F37E85"/>
    <w:multiLevelType w:val="hybridMultilevel"/>
    <w:lvl w:ilvl="0">
      <w:lvlJc w:val="left"/>
      <w:lvlText w:val="(%1)"/>
      <w:numFmt w:val="lowerLetter"/>
      <w:start w:val="1"/>
    </w:lvl>
  </w:abstractNum>
  <w:abstractNum w:abstractNumId="156">
    <w:nsid w:val="5895F5FA"/>
    <w:multiLevelType w:val="hybridMultilevel"/>
    <w:lvl w:ilvl="0">
      <w:lvlJc w:val="left"/>
      <w:lvlText w:val="(%1)"/>
      <w:numFmt w:val="lowerLetter"/>
      <w:start w:val="2"/>
    </w:lvl>
  </w:abstractNum>
  <w:abstractNum w:abstractNumId="157">
    <w:nsid w:val="38A5D054"/>
    <w:multiLevelType w:val="hybridMultilevel"/>
    <w:lvl w:ilvl="0">
      <w:lvlJc w:val="left"/>
      <w:lvlText w:val="(%1)"/>
      <w:numFmt w:val="lowerLetter"/>
      <w:start w:val="1"/>
    </w:lvl>
  </w:abstractNum>
  <w:abstractNum w:abstractNumId="158">
    <w:nsid w:val="F3F09D8"/>
    <w:multiLevelType w:val="hybridMultilevel"/>
    <w:lvl w:ilvl="0">
      <w:lvlJc w:val="left"/>
      <w:lvlText w:val="(%1)"/>
      <w:numFmt w:val="lowerLetter"/>
      <w:start w:val="1"/>
    </w:lvl>
  </w:abstractNum>
  <w:abstractNum w:abstractNumId="159">
    <w:nsid w:val="4B793735"/>
    <w:multiLevelType w:val="hybridMultilevel"/>
    <w:lvl w:ilvl="0">
      <w:lvlJc w:val="left"/>
      <w:lvlText w:val="(%1)"/>
      <w:numFmt w:val="lowerLetter"/>
      <w:start w:val="1"/>
    </w:lvl>
  </w:abstractNum>
  <w:abstractNum w:abstractNumId="160">
    <w:nsid w:val="4A10B4E8"/>
    <w:multiLevelType w:val="hybridMultilevel"/>
    <w:lvl w:ilvl="0">
      <w:lvlJc w:val="left"/>
      <w:lvlText w:val="(%1)"/>
      <w:numFmt w:val="lowerLetter"/>
      <w:start w:val="1"/>
    </w:lvl>
  </w:abstractNum>
  <w:abstractNum w:abstractNumId="161">
    <w:nsid w:val="43D3BCD4"/>
    <w:multiLevelType w:val="hybridMultilevel"/>
    <w:lvl w:ilvl="0">
      <w:lvlJc w:val="left"/>
      <w:lvlText w:val="(%1)"/>
      <w:numFmt w:val="lowerLetter"/>
      <w:start w:val="1"/>
    </w:lvl>
  </w:abstractNum>
  <w:abstractNum w:abstractNumId="162">
    <w:nsid w:val="4C2A7166"/>
    <w:multiLevelType w:val="hybridMultilevel"/>
    <w:lvl w:ilvl="0">
      <w:lvlJc w:val="left"/>
      <w:lvlText w:val="%1"/>
      <w:numFmt w:val="upperLetter"/>
      <w:start w:val="1"/>
    </w:lvl>
    <w:lvl w:ilvl="1">
      <w:lvlJc w:val="left"/>
      <w:lvlText w:val="(%2)"/>
      <w:numFmt w:val="lowerLetter"/>
      <w:start w:val="4"/>
    </w:lvl>
  </w:abstractNum>
  <w:abstractNum w:abstractNumId="163">
    <w:nsid w:val="2E534A82"/>
    <w:multiLevelType w:val="hybridMultilevel"/>
    <w:lvl w:ilvl="0">
      <w:lvlJc w:val="left"/>
      <w:lvlText w:val="(%1)"/>
      <w:numFmt w:val="lowerLetter"/>
      <w:start w:val="14"/>
    </w:lvl>
  </w:abstractNum>
  <w:abstractNum w:abstractNumId="164">
    <w:nsid w:val="26F2D364"/>
    <w:multiLevelType w:val="hybridMultilevel"/>
    <w:lvl w:ilvl="0">
      <w:lvlJc w:val="left"/>
      <w:lvlText w:val="(%1)"/>
      <w:numFmt w:val="lowerLetter"/>
      <w:start w:val="1"/>
    </w:lvl>
  </w:abstractNum>
  <w:abstractNum w:abstractNumId="165">
    <w:nsid w:val="71C1AF98"/>
    <w:multiLevelType w:val="hybridMultilevel"/>
    <w:lvl w:ilvl="0">
      <w:lvlJc w:val="left"/>
      <w:lvlText w:val="(%1)"/>
      <w:numFmt w:val="lowerLetter"/>
      <w:start w:val="1"/>
    </w:lvl>
  </w:abstractNum>
  <w:abstractNum w:abstractNumId="166">
    <w:nsid w:val="3D00B9D9"/>
    <w:multiLevelType w:val="hybridMultilevel"/>
    <w:lvl w:ilvl="0">
      <w:lvlJc w:val="left"/>
      <w:lvlText w:val="(%1)"/>
      <w:numFmt w:val="lowerLetter"/>
      <w:start w:val="2"/>
    </w:lvl>
  </w:abstractNum>
  <w:abstractNum w:abstractNumId="167">
    <w:nsid w:val="15BCABA8"/>
    <w:multiLevelType w:val="hybridMultilevel"/>
    <w:lvl w:ilvl="0">
      <w:lvlJc w:val="left"/>
      <w:lvlText w:val="(%1)"/>
      <w:numFmt w:val="lowerLetter"/>
      <w:start w:val="1"/>
    </w:lvl>
  </w:abstractNum>
  <w:abstractNum w:abstractNumId="168">
    <w:nsid w:val="4E0B9A87"/>
    <w:multiLevelType w:val="hybridMultilevel"/>
    <w:lvl w:ilvl="0">
      <w:lvlJc w:val="left"/>
      <w:lvlText w:val="%1"/>
      <w:numFmt w:val="lowerLetter"/>
      <w:start w:val="1"/>
    </w:lvl>
    <w:lvl w:ilvl="1">
      <w:lvlJc w:val="left"/>
      <w:lvlText w:val="(%2)"/>
      <w:numFmt w:val="lowerLetter"/>
      <w:start w:val="1"/>
    </w:lvl>
  </w:abstractNum>
  <w:abstractNum w:abstractNumId="169">
    <w:nsid w:val="434BAE75"/>
    <w:multiLevelType w:val="hybridMultilevel"/>
    <w:lvl w:ilvl="0">
      <w:lvlJc w:val="left"/>
      <w:lvlText w:val="(%1)"/>
      <w:numFmt w:val="lowerLetter"/>
      <w:start w:val="35"/>
    </w:lvl>
    <w:lvl w:ilvl="1">
      <w:lvlJc w:val="left"/>
      <w:lvlText w:val="(%2)"/>
      <w:numFmt w:val="lowerLetter"/>
      <w:start w:val="2"/>
    </w:lvl>
  </w:abstractNum>
  <w:abstractNum w:abstractNumId="170">
    <w:nsid w:val="4F38F265"/>
    <w:multiLevelType w:val="hybridMultilevel"/>
    <w:lvl w:ilvl="0">
      <w:lvlJc w:val="left"/>
      <w:lvlText w:val="(%1)"/>
      <w:numFmt w:val="lowerLetter"/>
      <w:start w:val="1"/>
    </w:lvl>
    <w:lvl w:ilvl="1">
      <w:lvlJc w:val="left"/>
      <w:lvlText w:val="(%2)"/>
      <w:numFmt w:val="lowerRoman"/>
      <w:start w:val="1"/>
    </w:lvl>
  </w:abstractNum>
  <w:abstractNum w:abstractNumId="171">
    <w:nsid w:val="4C502870"/>
    <w:multiLevelType w:val="hybridMultilevel"/>
    <w:lvl w:ilvl="0">
      <w:lvlJc w:val="left"/>
      <w:lvlText w:val="(%1)"/>
      <w:numFmt w:val="lowerRoman"/>
      <w:start w:val="8"/>
    </w:lvl>
  </w:abstractNum>
  <w:abstractNum w:abstractNumId="172">
    <w:nsid w:val="1DE8725A"/>
    <w:multiLevelType w:val="hybridMultilevel"/>
    <w:lvl w:ilvl="0">
      <w:lvlJc w:val="left"/>
      <w:lvlText w:val="%1"/>
      <w:numFmt w:val="lowerRoman"/>
      <w:start w:val="1"/>
    </w:lvl>
    <w:lvl w:ilvl="1">
      <w:lvlJc w:val="left"/>
      <w:lvlText w:val="(%2)"/>
      <w:numFmt w:val="lowerRoman"/>
      <w:start w:val="19"/>
    </w:lvl>
  </w:abstractNum>
  <w:abstractNum w:abstractNumId="173">
    <w:nsid w:val="6A37288A"/>
    <w:multiLevelType w:val="hybridMultilevel"/>
    <w:lvl w:ilvl="0">
      <w:lvlJc w:val="left"/>
      <w:lvlText w:val="(%1)"/>
      <w:numFmt w:val="lowerRoman"/>
      <w:start w:val="25"/>
    </w:lvl>
    <w:lvl w:ilvl="1">
      <w:lvlJc w:val="left"/>
      <w:lvlText w:val="(%2)"/>
      <w:numFmt w:val="lowerRoman"/>
      <w:start w:val="26"/>
    </w:lvl>
  </w:abstractNum>
  <w:abstractNum w:abstractNumId="174">
    <w:nsid w:val="8F8B73F"/>
    <w:multiLevelType w:val="hybridMultilevel"/>
    <w:lvl w:ilvl="0">
      <w:lvlJc w:val="left"/>
      <w:lvlText w:val="(%1)"/>
      <w:numFmt w:val="lowerRoman"/>
      <w:start w:val="30"/>
    </w:lvl>
  </w:abstractNum>
  <w:abstractNum w:abstractNumId="175">
    <w:nsid w:val="CA6B462"/>
    <w:multiLevelType w:val="hybridMultilevel"/>
    <w:lvl w:ilvl="0">
      <w:lvlJc w:val="left"/>
      <w:lvlText w:val="(%1)"/>
      <w:numFmt w:val="lowerRoman"/>
      <w:start w:val="1"/>
    </w:lvl>
  </w:abstractNum>
  <w:abstractNum w:abstractNumId="176">
    <w:nsid w:val="763CB680"/>
    <w:multiLevelType w:val="hybridMultilevel"/>
    <w:lvl w:ilvl="0">
      <w:lvlJc w:val="left"/>
      <w:lvlText w:val="(%1)"/>
      <w:numFmt w:val="lowerRoman"/>
      <w:start w:val="9"/>
    </w:lvl>
  </w:abstractNum>
  <w:abstractNum w:abstractNumId="177">
    <w:nsid w:val="15B71329"/>
    <w:multiLevelType w:val="hybridMultilevel"/>
    <w:lvl w:ilvl="0">
      <w:lvlJc w:val="left"/>
      <w:lvlText w:val="(%1)"/>
      <w:numFmt w:val="lowerRoman"/>
      <w:start w:val="20"/>
    </w:lvl>
  </w:abstractNum>
  <w:abstractNum w:abstractNumId="178">
    <w:nsid w:val="3DA97044"/>
    <w:multiLevelType w:val="hybridMultilevel"/>
    <w:lvl w:ilvl="0">
      <w:lvlJc w:val="left"/>
      <w:lvlText w:val="(%1)"/>
      <w:numFmt w:val="lowerLetter"/>
      <w:start w:val="1"/>
    </w:lvl>
  </w:abstractNum>
  <w:abstractNum w:abstractNumId="179">
    <w:nsid w:val="1CDCE2DE"/>
    <w:multiLevelType w:val="hybridMultilevel"/>
    <w:lvl w:ilvl="0">
      <w:lvlJc w:val="left"/>
      <w:lvlText w:val="%1"/>
      <w:numFmt w:val="lowerLetter"/>
      <w:start w:val="1"/>
    </w:lvl>
    <w:lvl w:ilvl="1">
      <w:lvlJc w:val="left"/>
      <w:lvlText w:val="(%2)"/>
      <w:numFmt w:val="lowerLetter"/>
      <w:start w:val="1"/>
    </w:lvl>
  </w:abstractNum>
  <w:abstractNum w:abstractNumId="180">
    <w:nsid w:val="69D3947C"/>
    <w:multiLevelType w:val="hybridMultilevel"/>
    <w:lvl w:ilvl="0">
      <w:lvlJc w:val="left"/>
      <w:lvlText w:val="(%1)"/>
      <w:numFmt w:val="lowerLetter"/>
      <w:start w:val="9"/>
    </w:lvl>
    <w:lvl w:ilvl="1">
      <w:lvlJc w:val="left"/>
      <w:lvlText w:val="(%2)"/>
      <w:numFmt w:val="lowerLetter"/>
      <w:start w:val="3"/>
    </w:lvl>
  </w:abstractNum>
  <w:abstractNum w:abstractNumId="181">
    <w:nsid w:val="2539DFA5"/>
    <w:multiLevelType w:val="hybridMultilevel"/>
    <w:lvl w:ilvl="0">
      <w:lvlJc w:val="left"/>
      <w:lvlText w:val="(%1)"/>
      <w:numFmt w:val="lowerLetter"/>
      <w:start w:val="15"/>
    </w:lvl>
  </w:abstractNum>
  <w:abstractNum w:abstractNumId="182">
    <w:nsid w:val="2DB88089"/>
    <w:multiLevelType w:val="hybridMultilevel"/>
    <w:lvl w:ilvl="0">
      <w:lvlJc w:val="left"/>
      <w:lvlText w:val="(%1)"/>
      <w:numFmt w:val="lowerLetter"/>
      <w:start w:val="27"/>
    </w:lvl>
  </w:abstractNum>
  <w:abstractNum w:abstractNumId="183">
    <w:nsid w:val="706B674E"/>
    <w:multiLevelType w:val="hybridMultilevel"/>
    <w:lvl w:ilvl="0">
      <w:lvlJc w:val="left"/>
      <w:lvlText w:val="(%1)"/>
      <w:numFmt w:val="lowerLetter"/>
      <w:start w:val="28"/>
    </w:lvl>
  </w:abstractNum>
  <w:abstractNum w:abstractNumId="184">
    <w:nsid w:val="2C106A57"/>
    <w:multiLevelType w:val="hybridMultilevel"/>
    <w:lvl w:ilvl="0">
      <w:lvlJc w:val="left"/>
      <w:lvlText w:val="%1"/>
      <w:numFmt w:val="lowerLetter"/>
      <w:start w:val="1"/>
    </w:lvl>
    <w:lvl w:ilvl="1">
      <w:lvlJc w:val="left"/>
      <w:lvlText w:val="(%2)"/>
      <w:numFmt w:val="lowerLetter"/>
      <w:start w:val="1"/>
    </w:lvl>
  </w:abstractNum>
  <w:abstractNum w:abstractNumId="185">
    <w:nsid w:val="684EED59"/>
    <w:multiLevelType w:val="hybridMultilevel"/>
    <w:lvl w:ilvl="0">
      <w:lvlJc w:val="left"/>
      <w:lvlText w:val="(%1)"/>
      <w:numFmt w:val="lowerLetter"/>
      <w:start w:val="35"/>
    </w:lvl>
    <w:lvl w:ilvl="1">
      <w:lvlJc w:val="left"/>
      <w:lvlText w:val="(%2)"/>
      <w:numFmt w:val="lowerLetter"/>
      <w:start w:val="4"/>
    </w:lvl>
  </w:abstractNum>
  <w:abstractNum w:abstractNumId="186">
    <w:nsid w:val="545EE5D3"/>
    <w:multiLevelType w:val="hybridMultilevel"/>
    <w:lvl w:ilvl="0">
      <w:lvlJc w:val="left"/>
      <w:lvlText w:val="(%1)"/>
      <w:numFmt w:val="lowerLetter"/>
      <w:start w:val="10"/>
    </w:lvl>
  </w:abstractNum>
  <w:abstractNum w:abstractNumId="187">
    <w:nsid w:val="4A66051"/>
    <w:multiLevelType w:val="hybridMultilevel"/>
    <w:lvl w:ilvl="0">
      <w:lvlJc w:val="left"/>
      <w:lvlText w:val="%1"/>
      <w:numFmt w:val="lowerRoman"/>
      <w:start w:val="1"/>
    </w:lvl>
    <w:lvl w:ilvl="1">
      <w:lvlJc w:val="left"/>
      <w:lvlText w:val="(%2)"/>
      <w:numFmt w:val="lowerLetter"/>
      <w:start w:val="1"/>
    </w:lvl>
  </w:abstractNum>
  <w:abstractNum w:abstractNumId="188">
    <w:nsid w:val="20F4BDAD"/>
    <w:multiLevelType w:val="hybridMultilevel"/>
    <w:lvl w:ilvl="0">
      <w:lvlJc w:val="left"/>
      <w:lvlText w:val="(%1)"/>
      <w:numFmt w:val="lowerRoman"/>
      <w:start w:val="5"/>
    </w:lvl>
    <w:lvl w:ilvl="1">
      <w:lvlJc w:val="left"/>
      <w:lvlText w:val="%2"/>
      <w:numFmt w:val="lowerLetter"/>
      <w:start w:val="1"/>
    </w:lvl>
  </w:abstractNum>
  <w:abstractNum w:abstractNumId="189">
    <w:nsid w:val="639DEFAC"/>
    <w:multiLevelType w:val="hybridMultilevel"/>
    <w:lvl w:ilvl="0">
      <w:lvlJc w:val="left"/>
      <w:lvlText w:val="(%1)"/>
      <w:numFmt w:val="lowerRoman"/>
      <w:start w:val="7"/>
    </w:lvl>
    <w:lvl w:ilvl="1">
      <w:lvlJc w:val="left"/>
      <w:lvlText w:val="(%2)"/>
      <w:numFmt w:val="lowerLetter"/>
      <w:start w:val="2"/>
    </w:lvl>
  </w:abstractNum>
  <w:abstractNum w:abstractNumId="190">
    <w:nsid w:val="501F9786"/>
    <w:multiLevelType w:val="hybridMultilevel"/>
    <w:lvl w:ilvl="0">
      <w:lvlJc w:val="left"/>
      <w:lvlText w:val="(%1)"/>
      <w:numFmt w:val="lowerLetter"/>
      <w:start w:val="1"/>
    </w:lvl>
    <w:lvl w:ilvl="1">
      <w:lvlJc w:val="left"/>
      <w:lvlText w:val="(%2)"/>
      <w:numFmt w:val="lowerRoman"/>
      <w:start w:val="1"/>
    </w:lvl>
  </w:abstractNum>
  <w:abstractNum w:abstractNumId="191">
    <w:nsid w:val="6B057295"/>
    <w:multiLevelType w:val="hybridMultilevel"/>
    <w:lvl w:ilvl="0">
      <w:lvlJc w:val="left"/>
      <w:lvlText w:val="(%1)"/>
      <w:numFmt w:val="lowerRoman"/>
      <w:start w:val="7"/>
    </w:lvl>
    <w:lvl w:ilvl="1">
      <w:lvlJc w:val="left"/>
      <w:lvlText w:val="(%2)"/>
      <w:numFmt w:val="upperLetter"/>
      <w:start w:val="1"/>
    </w:lvl>
  </w:abstractNum>
  <w:abstractNum w:abstractNumId="192">
    <w:nsid w:val="2771AC80"/>
    <w:multiLevelType w:val="hybridMultilevel"/>
    <w:lvl w:ilvl="0">
      <w:lvlJc w:val="left"/>
      <w:lvlText w:val="(%1)"/>
      <w:numFmt w:val="lowerRoman"/>
      <w:start w:val="10"/>
    </w:lvl>
  </w:abstractNum>
  <w:abstractNum w:abstractNumId="193">
    <w:nsid w:val="1C4A08EC"/>
    <w:multiLevelType w:val="hybridMultilevel"/>
    <w:lvl w:ilvl="0">
      <w:lvlJc w:val="left"/>
      <w:lvlText w:val="(%1)"/>
      <w:numFmt w:val="lowerLetter"/>
      <w:start w:val="2"/>
    </w:lvl>
    <w:lvl w:ilvl="1">
      <w:lvlJc w:val="left"/>
      <w:lvlText w:val="(%2)"/>
      <w:numFmt w:val="lowerRoman"/>
      <w:start w:val="1"/>
    </w:lvl>
  </w:abstractNum>
  <w:abstractNum w:abstractNumId="194">
    <w:nsid w:val="1958BD17"/>
    <w:multiLevelType w:val="hybridMultilevel"/>
    <w:lvl w:ilvl="0">
      <w:lvlJc w:val="left"/>
      <w:lvlText w:val="(%1)"/>
      <w:numFmt w:val="lowerLetter"/>
      <w:start w:val="8"/>
    </w:lvl>
    <w:lvl w:ilvl="1">
      <w:lvlJc w:val="left"/>
      <w:lvlText w:val="(%2)"/>
      <w:numFmt w:val="lowerRoman"/>
      <w:start w:val="5"/>
    </w:lvl>
  </w:abstractNum>
  <w:abstractNum w:abstractNumId="195">
    <w:nsid w:val="4E647FE4"/>
    <w:multiLevelType w:val="hybridMultilevel"/>
    <w:lvl w:ilvl="0">
      <w:lvlJc w:val="left"/>
      <w:lvlText w:val="(%1)"/>
      <w:numFmt w:val="lowerLetter"/>
      <w:start w:val="3"/>
    </w:lvl>
    <w:lvl w:ilvl="1">
      <w:lvlJc w:val="left"/>
      <w:lvlText w:val="%2"/>
      <w:numFmt w:val="lowerRoman"/>
      <w:start w:val="1"/>
    </w:lvl>
  </w:abstractNum>
  <w:abstractNum w:abstractNumId="196">
    <w:nsid w:val="E0BB885"/>
    <w:multiLevelType w:val="hybridMultilevel"/>
    <w:lvl w:ilvl="0">
      <w:lvlJc w:val="left"/>
      <w:lvlText w:val="(%1)"/>
      <w:numFmt w:val="lowerRoman"/>
      <w:start w:val="1"/>
    </w:lvl>
  </w:abstractNum>
  <w:abstractNum w:abstractNumId="197">
    <w:nsid w:val="565976F1"/>
    <w:multiLevelType w:val="hybridMultilevel"/>
    <w:lvl w:ilvl="0">
      <w:lvlJc w:val="left"/>
      <w:lvlText w:val="(%1)"/>
      <w:numFmt w:val="lowerRoman"/>
      <w:start w:val="3"/>
    </w:lvl>
  </w:abstractNum>
  <w:abstractNum w:abstractNumId="198">
    <w:nsid w:val="64212B8C"/>
    <w:multiLevelType w:val="hybridMultilevel"/>
    <w:lvl w:ilvl="0">
      <w:lvlJc w:val="left"/>
      <w:lvlText w:val="(%1)"/>
      <w:numFmt w:val="lowerRoman"/>
      <w:start w:val="16"/>
    </w:lvl>
  </w:abstractNum>
  <w:abstractNum w:abstractNumId="199">
    <w:nsid w:val="5C17530C"/>
    <w:multiLevelType w:val="hybridMultilevel"/>
    <w:lvl w:ilvl="0">
      <w:lvlJc w:val="left"/>
      <w:lvlText w:val="(%1)"/>
      <w:numFmt w:val="lowerLetter"/>
      <w:start w:val="1"/>
    </w:lvl>
  </w:abstractNum>
  <w:abstractNum w:abstractNumId="200">
    <w:nsid w:val="19A52566"/>
    <w:multiLevelType w:val="hybridMultilevel"/>
    <w:lvl w:ilvl="0">
      <w:lvlJc w:val="left"/>
      <w:lvlText w:val="%1"/>
      <w:numFmt w:val="lowerLetter"/>
      <w:start w:val="1"/>
    </w:lvl>
    <w:lvl w:ilvl="1">
      <w:lvlJc w:val="left"/>
      <w:lvlText w:val="(%2)"/>
      <w:numFmt w:val="lowerLetter"/>
      <w:start w:val="5"/>
    </w:lvl>
  </w:abstractNum>
  <w:abstractNum w:abstractNumId="201">
    <w:nsid w:val="335A1DF1"/>
    <w:multiLevelType w:val="hybridMultilevel"/>
    <w:lvl w:ilvl="0">
      <w:lvlJc w:val="left"/>
      <w:lvlText w:val="(%1)"/>
      <w:numFmt w:val="lowerLetter"/>
      <w:start w:val="2"/>
    </w:lvl>
    <w:lvl w:ilvl="1">
      <w:lvlJc w:val="left"/>
      <w:lvlText w:val="%2"/>
      <w:numFmt w:val="lowerLetter"/>
      <w:start w:val="1"/>
    </w:lvl>
  </w:abstractNum>
  <w:abstractNum w:abstractNumId="202">
    <w:nsid w:val="28677B7C"/>
    <w:multiLevelType w:val="hybridMultilevel"/>
    <w:lvl w:ilvl="0">
      <w:lvlJc w:val="left"/>
      <w:lvlText w:val="(%1)"/>
      <w:numFmt w:val="lowerLetter"/>
      <w:start w:val="11"/>
    </w:lvl>
  </w:abstractNum>
  <w:abstractNum w:abstractNumId="203">
    <w:nsid w:val="378D97C0"/>
    <w:multiLevelType w:val="hybridMultilevel"/>
    <w:lvl w:ilvl="0">
      <w:lvlJc w:val="left"/>
      <w:lvlText w:val="(%1)"/>
      <w:numFmt w:val="lowerLetter"/>
      <w:start w:val="12"/>
    </w:lvl>
  </w:abstractNum>
  <w:abstractNum w:abstractNumId="204">
    <w:nsid w:val="1D91467C"/>
    <w:multiLevelType w:val="hybridMultilevel"/>
    <w:lvl w:ilvl="0">
      <w:lvlJc w:val="left"/>
      <w:lvlText w:val="(%1)"/>
      <w:numFmt w:val="lowerRoman"/>
      <w:start w:val="1"/>
    </w:lvl>
  </w:abstractNum>
  <w:abstractNum w:abstractNumId="205">
    <w:nsid w:val="316032BB"/>
    <w:multiLevelType w:val="hybridMultilevel"/>
    <w:lvl w:ilvl="0">
      <w:lvlJc w:val="left"/>
      <w:lvlText w:val="(%1)"/>
      <w:numFmt w:val="lowerLetter"/>
      <w:start w:val="1"/>
    </w:lvl>
  </w:abstractNum>
  <w:abstractNum w:abstractNumId="206">
    <w:nsid w:val="44344C22"/>
    <w:multiLevelType w:val="hybridMultilevel"/>
    <w:lvl w:ilvl="0">
      <w:lvlJc w:val="left"/>
      <w:lvlText w:val="(%1)"/>
      <w:numFmt w:val="lowerLetter"/>
      <w:start w:val="2"/>
    </w:lvl>
  </w:abstractNum>
  <w:abstractNum w:abstractNumId="207">
    <w:nsid w:val="13CDFCFC"/>
    <w:multiLevelType w:val="hybridMultilevel"/>
    <w:lvl w:ilvl="0">
      <w:lvlJc w:val="left"/>
      <w:lvlText w:val="(%1)"/>
      <w:numFmt w:val="lowerRoman"/>
      <w:start w:val="10"/>
    </w:lvl>
  </w:abstractNum>
  <w:abstractNum w:abstractNumId="208">
    <w:nsid w:val="471745E4"/>
    <w:multiLevelType w:val="hybridMultilevel"/>
    <w:lvl w:ilvl="0">
      <w:lvlJc w:val="left"/>
      <w:lvlText w:val="%1"/>
      <w:numFmt w:val="lowerLetter"/>
      <w:start w:val="1"/>
    </w:lvl>
    <w:lvl w:ilvl="1">
      <w:lvlJc w:val="left"/>
      <w:lvlText w:val="%2"/>
      <w:numFmt w:val="decimal"/>
      <w:start w:val="425"/>
    </w:lvl>
  </w:abstractNum>
  <w:abstractNum w:abstractNumId="209">
    <w:nsid w:val="1DDBC66"/>
    <w:multiLevelType w:val="hybridMultilevel"/>
    <w:lvl w:ilvl="0">
      <w:lvlJc w:val="left"/>
      <w:lvlText w:val="(%1)"/>
      <w:numFmt w:val="lowerLetter"/>
      <w:start w:val="2"/>
    </w:lvl>
    <w:lvl w:ilvl="1">
      <w:lvlJc w:val="left"/>
      <w:lvlText w:val="%2"/>
      <w:numFmt w:val="decimal"/>
      <w:start w:val="1"/>
    </w:lvl>
  </w:abstractNum>
  <w:abstractNum w:abstractNumId="210">
    <w:nsid w:val="30AADFDA"/>
    <w:multiLevelType w:val="hybridMultilevel"/>
    <w:lvl w:ilvl="0">
      <w:lvlJc w:val="left"/>
      <w:lvlText w:val="(%1)"/>
      <w:numFmt w:val="lowerLetter"/>
      <w:start w:val="3"/>
    </w:lvl>
  </w:abstractNum>
  <w:abstractNum w:abstractNumId="211">
    <w:nsid w:val="30EADA61"/>
    <w:multiLevelType w:val="hybridMultilevel"/>
    <w:lvl w:ilvl="0">
      <w:lvlJc w:val="left"/>
      <w:lvlText w:val="(%1)"/>
      <w:numFmt w:val="lowerLetter"/>
      <w:start w:val="4"/>
    </w:lvl>
  </w:abstractNum>
  <w:abstractNum w:abstractNumId="212">
    <w:nsid w:val="27179C0B"/>
    <w:multiLevelType w:val="hybridMultilevel"/>
    <w:lvl w:ilvl="0">
      <w:lvlJc w:val="left"/>
      <w:lvlText w:val="(%1)"/>
      <w:numFmt w:val="lowerLetter"/>
      <w:start w:val="1"/>
    </w:lvl>
  </w:abstractNum>
  <w:abstractNum w:abstractNumId="213">
    <w:nsid w:val="5E636063"/>
    <w:multiLevelType w:val="hybridMultilevel"/>
    <w:lvl w:ilvl="0">
      <w:lvlJc w:val="left"/>
      <w:lvlText w:val="(%1)"/>
      <w:numFmt w:val="lowerRoman"/>
      <w:start w:val="1"/>
    </w:lvl>
  </w:abstractNum>
  <w:abstractNum w:abstractNumId="214">
    <w:nsid w:val="215641AF"/>
    <w:multiLevelType w:val="hybridMultilevel"/>
    <w:lvl w:ilvl="0">
      <w:lvlJc w:val="left"/>
      <w:lvlText w:val="(%1)"/>
      <w:numFmt w:val="lowerRoman"/>
      <w:start w:val="6"/>
    </w:lvl>
  </w:abstractNum>
  <w:abstractNum w:abstractNumId="215">
    <w:nsid w:val="53280662"/>
    <w:multiLevelType w:val="hybridMultilevel"/>
    <w:lvl w:ilvl="0">
      <w:lvlJc w:val="left"/>
      <w:lvlText w:val="(%1)"/>
      <w:numFmt w:val="upperLetter"/>
      <w:start w:val="3"/>
    </w:lvl>
  </w:abstractNum>
  <w:abstractNum w:abstractNumId="216">
    <w:nsid w:val="46B24DBC"/>
    <w:multiLevelType w:val="hybridMultilevel"/>
    <w:lvl w:ilvl="0">
      <w:lvlJc w:val="left"/>
      <w:lvlText w:val="(%1)"/>
      <w:numFmt w:val="lowerLetter"/>
      <w:start w:val="3"/>
    </w:lvl>
  </w:abstractNum>
  <w:abstractNum w:abstractNumId="217">
    <w:nsid w:val="75B52783"/>
    <w:multiLevelType w:val="hybridMultilevel"/>
    <w:lvl w:ilvl="0">
      <w:lvlJc w:val="left"/>
      <w:lvlText w:val="(%1)"/>
      <w:numFmt w:val="lowerLetter"/>
      <w:start w:val="8"/>
    </w:lvl>
  </w:abstractNum>
  <w:abstractNum w:abstractNumId="218">
    <w:nsid w:val="57CE66B4"/>
    <w:multiLevelType w:val="hybridMultilevel"/>
    <w:lvl w:ilvl="0">
      <w:lvlJc w:val="left"/>
      <w:lvlText w:val="(%1)"/>
      <w:numFmt w:val="lowerLetter"/>
      <w:start w:val="1"/>
    </w:lvl>
  </w:abstractNum>
  <w:abstractNum w:abstractNumId="219">
    <w:nsid w:val="67A70B69"/>
    <w:multiLevelType w:val="hybridMultilevel"/>
    <w:lvl w:ilvl="0">
      <w:lvlJc w:val="left"/>
      <w:lvlText w:val="(%1)"/>
      <w:numFmt w:val="lowerLetter"/>
      <w:start w:val="4"/>
    </w:lvl>
  </w:abstractNum>
  <w:abstractNum w:abstractNumId="220">
    <w:nsid w:val="5953172F"/>
    <w:multiLevelType w:val="hybridMultilevel"/>
    <w:lvl w:ilvl="0">
      <w:lvlJc w:val="left"/>
      <w:lvlText w:val="(%1)"/>
      <w:numFmt w:val="lowerLetter"/>
      <w:start w:val="1"/>
    </w:lvl>
  </w:abstractNum>
  <w:abstractNum w:abstractNumId="221">
    <w:nsid w:val="27EDFE3A"/>
    <w:multiLevelType w:val="hybridMultilevel"/>
    <w:lvl w:ilvl="0">
      <w:lvlJc w:val="left"/>
      <w:lvlText w:val="(%1)"/>
      <w:numFmt w:val="lowerRoman"/>
      <w:start w:val="2"/>
    </w:lvl>
    <w:lvl w:ilvl="1">
      <w:lvlJc w:val="left"/>
      <w:lvlText w:val="(%2)"/>
      <w:numFmt w:val="lowerRoman"/>
      <w:start w:val="3"/>
    </w:lvl>
    <w:lvl w:ilvl="2">
      <w:lvlJc w:val="left"/>
      <w:lvlText w:val="(%3)"/>
      <w:numFmt w:val="lowerRoman"/>
      <w:start w:val="3"/>
    </w:lvl>
  </w:abstractNum>
  <w:abstractNum w:abstractNumId="222">
    <w:nsid w:val="52AC7DFF"/>
    <w:multiLevelType w:val="hybridMultilevel"/>
    <w:lvl w:ilvl="0">
      <w:lvlJc w:val="left"/>
      <w:lvlText w:val="(%1)"/>
      <w:numFmt w:val="lowerRoman"/>
      <w:start w:val="5"/>
    </w:lvl>
    <w:lvl w:ilvl="1">
      <w:lvlJc w:val="left"/>
      <w:lvlText w:val="(%2)"/>
      <w:numFmt w:val="lowerRoman"/>
      <w:start w:val="6"/>
    </w:lvl>
    <w:lvl w:ilvl="2">
      <w:lvlJc w:val="left"/>
      <w:lvlText w:val="(%3)"/>
      <w:numFmt w:val="lowerLetter"/>
      <w:start w:val="3"/>
    </w:lvl>
  </w:abstractNum>
  <w:abstractNum w:abstractNumId="223">
    <w:nsid w:val="C4C3AF"/>
    <w:multiLevelType w:val="hybridMultilevel"/>
    <w:lvl w:ilvl="0">
      <w:lvlJc w:val="left"/>
      <w:lvlText w:val="(%1)"/>
      <w:numFmt w:val="lowerLetter"/>
      <w:start w:val="2"/>
    </w:lvl>
    <w:lvl w:ilvl="1">
      <w:lvlJc w:val="left"/>
      <w:lvlText w:val="(%2)"/>
      <w:numFmt w:val="lowerLetter"/>
      <w:start w:val="35"/>
    </w:lvl>
  </w:abstractNum>
  <w:abstractNum w:abstractNumId="224">
    <w:nsid w:val="44380727"/>
    <w:multiLevelType w:val="hybridMultilevel"/>
    <w:lvl w:ilvl="0">
      <w:lvlJc w:val="left"/>
      <w:lvlText w:val="(%1)"/>
      <w:numFmt w:val="lowerLetter"/>
      <w:start w:val="61"/>
    </w:lvl>
    <w:lvl w:ilvl="1">
      <w:lvlJc w:val="left"/>
      <w:lvlText w:val="(%2)"/>
      <w:numFmt w:val="lowerLetter"/>
      <w:start w:val="4"/>
    </w:lvl>
  </w:abstractNum>
  <w:abstractNum w:abstractNumId="225">
    <w:nsid w:val="6C053B16"/>
    <w:multiLevelType w:val="hybridMultilevel"/>
    <w:lvl w:ilvl="0">
      <w:lvlJc w:val="left"/>
      <w:lvlText w:val="(%1)"/>
      <w:numFmt w:val="lowerLetter"/>
      <w:start w:val="7"/>
    </w:lvl>
    <w:lvl w:ilvl="1">
      <w:lvlJc w:val="left"/>
      <w:lvlText w:val="(%2)"/>
      <w:numFmt w:val="decimal"/>
      <w:start w:val="1"/>
    </w:lvl>
  </w:abstractNum>
  <w:abstractNum w:abstractNumId="226">
    <w:nsid w:val="4F294393"/>
    <w:multiLevelType w:val="hybridMultilevel"/>
    <w:lvl w:ilvl="0">
      <w:lvlJc w:val="left"/>
      <w:lvlText w:val="(%1)"/>
      <w:numFmt w:val="lowerLetter"/>
      <w:start w:val="8"/>
    </w:lvl>
  </w:abstractNum>
  <w:abstractNum w:abstractNumId="227">
    <w:nsid w:val="5243BFAC"/>
    <w:multiLevelType w:val="hybridMultilevel"/>
    <w:lvl w:ilvl="0">
      <w:lvlJc w:val="left"/>
      <w:lvlText w:val="(%1)"/>
      <w:numFmt w:val="lowerLetter"/>
      <w:start w:val="1"/>
    </w:lvl>
  </w:abstractNum>
  <w:abstractNum w:abstractNumId="228">
    <w:nsid w:val="425EB207"/>
    <w:multiLevelType w:val="hybridMultilevel"/>
    <w:lvl w:ilvl="0">
      <w:lvlJc w:val="left"/>
      <w:lvlText w:val="%1"/>
      <w:numFmt w:val="lowerLetter"/>
      <w:start w:val="1"/>
    </w:lvl>
    <w:lvl w:ilvl="1">
      <w:lvlJc w:val="left"/>
      <w:lvlText w:val="(%2)"/>
      <w:numFmt w:val="lowerLetter"/>
      <w:start w:val="1"/>
    </w:lvl>
  </w:abstractNum>
  <w:abstractNum w:abstractNumId="229">
    <w:nsid w:val="334A6F1F"/>
    <w:multiLevelType w:val="hybridMultilevel"/>
    <w:lvl w:ilvl="0">
      <w:lvlJc w:val="left"/>
      <w:lvlText w:val="(%1)"/>
      <w:numFmt w:val="lowerLetter"/>
      <w:start w:val="35"/>
    </w:lvl>
    <w:lvl w:ilvl="1">
      <w:lvlJc w:val="left"/>
      <w:lvlText w:val="%2"/>
      <w:numFmt w:val="lowerLetter"/>
      <w:start w:val="1"/>
    </w:lvl>
  </w:abstractNum>
  <w:abstractNum w:abstractNumId="230">
    <w:nsid w:val="2E5B12B8"/>
    <w:multiLevelType w:val="hybridMultilevel"/>
    <w:lvl w:ilvl="0">
      <w:lvlJc w:val="left"/>
      <w:lvlText w:val="(%1)"/>
      <w:numFmt w:val="lowerLetter"/>
      <w:start w:val="2"/>
    </w:lvl>
  </w:abstractNum>
  <w:abstractNum w:abstractNumId="231">
    <w:nsid w:val="5C03D76D"/>
    <w:multiLevelType w:val="hybridMultilevel"/>
    <w:lvl w:ilvl="0">
      <w:lvlJc w:val="left"/>
      <w:lvlText w:val="(%1)"/>
      <w:numFmt w:val="lowerLetter"/>
      <w:start w:val="1"/>
    </w:lvl>
  </w:abstractNum>
  <w:abstractNum w:abstractNumId="232">
    <w:nsid w:val="66A48D1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233">
    <w:nsid w:val="56C28E34"/>
    <w:multiLevelType w:val="hybridMultilevel"/>
    <w:lvl w:ilvl="0">
      <w:lvlJc w:val="left"/>
      <w:lvlText w:val="(%1)"/>
      <w:numFmt w:val="lowerRoman"/>
      <w:start w:val="3"/>
    </w:lvl>
  </w:abstractNum>
  <w:abstractNum w:abstractNumId="234">
    <w:nsid w:val="13916F2D"/>
    <w:multiLevelType w:val="hybridMultilevel"/>
    <w:lvl w:ilvl="0">
      <w:lvlJc w:val="left"/>
      <w:lvlText w:val="(%1)"/>
      <w:numFmt w:val="lowerLetter"/>
      <w:start w:val="1"/>
    </w:lvl>
    <w:lvl w:ilvl="1">
      <w:lvlJc w:val="left"/>
      <w:lvlText w:val="(%2)"/>
      <w:numFmt w:val="lowerRoman"/>
      <w:start w:val="1"/>
    </w:lvl>
  </w:abstractNum>
  <w:abstractNum w:abstractNumId="235">
    <w:nsid w:val="435D38D"/>
    <w:multiLevelType w:val="hybridMultilevel"/>
    <w:lvl w:ilvl="0">
      <w:lvlJc w:val="left"/>
      <w:lvlText w:val="%1"/>
      <w:numFmt w:val="lowerLetter"/>
      <w:start w:val="1"/>
    </w:lvl>
    <w:lvl w:ilvl="1">
      <w:lvlJc w:val="left"/>
      <w:lvlText w:val="(%2)"/>
      <w:numFmt w:val="lowerRoman"/>
      <w:start w:val="3"/>
    </w:lvl>
  </w:abstractNum>
  <w:abstractNum w:abstractNumId="236">
    <w:nsid w:val="822C0EF"/>
    <w:multiLevelType w:val="hybridMultilevel"/>
    <w:lvl w:ilvl="0">
      <w:lvlJc w:val="left"/>
      <w:lvlText w:val="(%1)"/>
      <w:numFmt w:val="lowerLetter"/>
      <w:start w:val="2"/>
    </w:lvl>
    <w:lvl w:ilvl="1">
      <w:lvlJc w:val="left"/>
      <w:lvlText w:val="%2"/>
      <w:numFmt w:val="lowerRoman"/>
      <w:start w:val="1"/>
    </w:lvl>
  </w:abstractNum>
  <w:abstractNum w:abstractNumId="237">
    <w:nsid w:val="57C5BB4F"/>
    <w:multiLevelType w:val="hybridMultilevel"/>
    <w:lvl w:ilvl="0">
      <w:lvlJc w:val="left"/>
      <w:lvlText w:val="(%1)"/>
      <w:numFmt w:val="lowerLetter"/>
      <w:start w:val="1"/>
    </w:lvl>
  </w:abstractNum>
  <w:abstractNum w:abstractNumId="238">
    <w:nsid w:val="1803D089"/>
    <w:multiLevelType w:val="hybridMultilevel"/>
    <w:lvl w:ilvl="0">
      <w:lvlJc w:val="left"/>
      <w:lvlText w:val="%1."/>
      <w:numFmt w:val="decimal"/>
      <w:start w:val="1"/>
    </w:lvl>
    <w:lvl w:ilvl="1">
      <w:lvlJc w:val="left"/>
      <w:lvlText w:val="(%2)"/>
      <w:numFmt w:val="lowerLetter"/>
      <w:start w:val="1"/>
    </w:lvl>
  </w:abstractNum>
  <w:abstractNum w:abstractNumId="239">
    <w:nsid w:val="4F3A06D4"/>
    <w:multiLevelType w:val="hybridMultilevel"/>
    <w:lvl w:ilvl="0">
      <w:lvlJc w:val="left"/>
      <w:lvlText w:val="%1."/>
      <w:numFmt w:val="decimal"/>
      <w:start w:val="1"/>
    </w:lvl>
    <w:lvl w:ilvl="1">
      <w:lvlJc w:val="left"/>
      <w:lvlText w:val="(%2)"/>
      <w:numFmt w:val="lowerLetter"/>
      <w:start w:val="1"/>
    </w:lvl>
  </w:abstractNum>
  <w:abstractNum w:abstractNumId="240">
    <w:nsid w:val="59A377B6"/>
    <w:multiLevelType w:val="hybridMultilevel"/>
    <w:lvl w:ilvl="0">
      <w:lvlJc w:val="left"/>
      <w:lvlText w:val="(%1)"/>
      <w:numFmt w:val="decimal"/>
      <w:start w:val="1"/>
    </w:lvl>
  </w:abstractNum>
  <w:abstractNum w:abstractNumId="241">
    <w:nsid w:val="48AEB0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90" Type="http://schemas.openxmlformats.org/officeDocument/2006/relationships/hyperlink" Target="http://www.sec.gov/Archives/edgar/data/0001853145/000114036121023912/nt10022251x16_ex3-1.htm" TargetMode="External"/><Relationship Id="rId91" Type="http://schemas.openxmlformats.org/officeDocument/2006/relationships/hyperlink" Target="http://www.sec.gov/Archives/edgar/data/0001853145/000114036121023912/nt10022251x1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2023-08-08T10:17:43Z</dcterms:created>
  <dcterms:modified xsi:type="dcterms:W3CDTF">2023-08-08T10:17:43Z</dcterms:modified>
</cp:coreProperties>
</file>