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Shenkan Amy Guggenheim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EverCommerce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EVCM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bottom w:val="single" w:sz="8" w:color="0000EE"/>
            </w:tcBorders>
          </w:tcPr>
          <w:p>
            <w:pPr>
              <w:spacing w:after="0"/>
              <w:rPr>
                <w:sz w:val="6"/>
                <w:szCs w:val="6"/>
                <w:color w:val="auto"/>
              </w:rPr>
            </w:pPr>
          </w:p>
        </w:tc>
        <w:tc>
          <w:tcPr>
            <w:tcW w:w="20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0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EVERCOMMERCE INC.</w:t>
            </w:r>
          </w:p>
        </w:tc>
        <w:tc>
          <w:tcPr>
            <w:tcW w:w="122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20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3601 WALNUT STREET, SUITE 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22,346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72,245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RSU represents a contingent right to receive one share of the Issuer's Common Stock. The RSUs shall vest and settle on the earlier of (i) the day immediately preceding the date of the Issuer's first annual meeting of stockholders following the date of grant and (ii) the first anniversary of the date of grant, subject to the Reporting Person continuing in service on the Issuer's Board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0815"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2026-06-23T15:47:09Z</dcterms:created>
  <dcterms:modified xsi:type="dcterms:W3CDTF">2026-06-23T15:47:09Z</dcterms:modified>
</cp:coreProperties>
</file>