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600" w:hanging="534"/>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rFonts w:ascii="MS PGothic" w:cs="MS PGothic" w:eastAsia="MS PGothic" w:hAnsi="MS PGothic"/>
          <w:sz w:val="18"/>
          <w:szCs w:val="18"/>
          <w:color w:val="auto"/>
          <w:highlight w:val="black"/>
        </w:rPr>
      </w:pPr>
    </w:p>
    <w:p>
      <w:pPr>
        <w:ind w:left="29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26"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001-40575</w:t>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383"/>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29"/>
                <w:szCs w:val="29"/>
                <w:b w:val="1"/>
                <w:bCs w:val="1"/>
                <w:color w:val="auto"/>
                <w:w w:val="99"/>
              </w:rPr>
              <w:t>EverCommerce Inc.</w:t>
            </w:r>
          </w:p>
        </w:tc>
      </w:tr>
      <w:tr>
        <w:trPr>
          <w:trHeight w:val="280"/>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81-4063248</w:t>
            </w:r>
          </w:p>
        </w:tc>
      </w:tr>
      <w:tr>
        <w:trPr>
          <w:trHeight w:val="19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4760" w:type="dxa"/>
            <w:vAlign w:val="bottom"/>
          </w:tcPr>
          <w:p>
            <w:pPr>
              <w:jc w:val="center"/>
              <w:ind w:left="3782"/>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5"/>
              </w:rPr>
              <w:t>Identification No.)</w:t>
            </w:r>
          </w:p>
        </w:tc>
      </w:tr>
      <w:tr>
        <w:trPr>
          <w:trHeight w:val="342"/>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3601 Walnut Street, Suite 400</w:t>
            </w:r>
          </w:p>
        </w:tc>
        <w:tc>
          <w:tcPr>
            <w:tcW w:w="4760" w:type="dxa"/>
            <w:vAlign w:val="bottom"/>
          </w:tcPr>
          <w:p>
            <w:pPr>
              <w:spacing w:after="0"/>
              <w:rPr>
                <w:sz w:val="24"/>
                <w:szCs w:val="24"/>
                <w:color w:val="auto"/>
              </w:rPr>
            </w:pPr>
          </w:p>
        </w:tc>
      </w:tr>
      <w:tr>
        <w:trPr>
          <w:trHeight w:val="20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Denver, Colorado</w:t>
            </w:r>
          </w:p>
        </w:tc>
        <w:tc>
          <w:tcPr>
            <w:tcW w:w="47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80205</w:t>
            </w:r>
          </w:p>
        </w:tc>
      </w:tr>
      <w:tr>
        <w:trPr>
          <w:trHeight w:val="210"/>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88"/>
        </w:trPr>
        <w:tc>
          <w:tcPr>
            <w:tcW w:w="2200" w:type="dxa"/>
            <w:vAlign w:val="bottom"/>
          </w:tcPr>
          <w:p>
            <w:pPr>
              <w:spacing w:after="0"/>
              <w:rPr>
                <w:sz w:val="24"/>
                <w:szCs w:val="24"/>
                <w:color w:val="auto"/>
              </w:rPr>
            </w:pPr>
          </w:p>
        </w:tc>
        <w:tc>
          <w:tcPr>
            <w:tcW w:w="4760" w:type="dxa"/>
            <w:vAlign w:val="bottom"/>
          </w:tcPr>
          <w:p>
            <w:pPr>
              <w:jc w:val="center"/>
              <w:ind w:right="942"/>
              <w:spacing w:after="0"/>
              <w:rPr>
                <w:sz w:val="20"/>
                <w:szCs w:val="20"/>
                <w:color w:val="auto"/>
              </w:rPr>
            </w:pPr>
            <w:r>
              <w:rPr>
                <w:rFonts w:ascii="Times New Roman" w:cs="Times New Roman" w:eastAsia="Times New Roman" w:hAnsi="Times New Roman"/>
                <w:sz w:val="16"/>
                <w:szCs w:val="16"/>
                <w:b w:val="1"/>
                <w:bCs w:val="1"/>
                <w:color w:val="auto"/>
              </w:rPr>
              <w:t>(720) 647-4948</w:t>
            </w:r>
          </w:p>
        </w:tc>
      </w:tr>
      <w:tr>
        <w:trPr>
          <w:trHeight w:val="190"/>
        </w:trPr>
        <w:tc>
          <w:tcPr>
            <w:tcW w:w="2200" w:type="dxa"/>
            <w:vAlign w:val="bottom"/>
          </w:tcPr>
          <w:p>
            <w:pPr>
              <w:spacing w:after="0"/>
              <w:rPr>
                <w:sz w:val="16"/>
                <w:szCs w:val="16"/>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86"/>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EVCM</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
        </w:trPr>
        <w:tc>
          <w:tcPr>
            <w:tcW w:w="396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82"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8, 2024, there were 183,483,988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2024 (unaudited) and December 31, 2023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for the three and nine months ended</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 for the three and nine months ended September 30,</w:t>
            </w: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 and 2023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nine months ended September 30,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40" w:type="dxa"/>
            <w:vAlign w:val="bottom"/>
          </w:tcPr>
          <w:p>
            <w:pPr>
              <w:spacing w:after="0"/>
              <w:rPr>
                <w:sz w:val="21"/>
                <w:szCs w:val="21"/>
                <w:color w:val="auto"/>
              </w:rPr>
            </w:pPr>
          </w:p>
        </w:tc>
      </w:tr>
      <w:tr>
        <w:trPr>
          <w:trHeight w:val="1290"/>
        </w:trPr>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subject to consolidation and the market for technology-enabled services that empower small and medium-sized businesses is relatively immature and unproven; we are subject to economic and political risk;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failure to improve our margin, in particular within Marketing Technology Solutions; risks related to a future pandemic, epidemic, or outbreak of infectious disease; failure to achieve our objectives through acquisitions, divestitures or other strategic transactions; revenues and profits generated through acquisitions may be less than anticipated and we may fail to uncover all liabilities of acquisition targets;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2023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92,609</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 of $5.2 million and $6.2 million at September 30,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r>
      <w:tr>
        <w:trPr>
          <w:trHeight w:val="237"/>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180,147</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42,511</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920,973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37"/>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1,451,134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66,265</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7"/>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108,823</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117,376</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maturities and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526,696</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47,956</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680,391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692,028</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$0.00001 par value, 50,000,000 shares authorized and no shares issued or outstanding as of</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$0.00001 par value, 2,000,000,000 shares authorized and 183,821,161 and 186,934,031 shares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(619,975)</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r>
      <w:tr>
        <w:trPr>
          <w:trHeight w:val="264"/>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1,451,134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70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409,331</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61,471</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175,602</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56,352</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168,448</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503,142</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0" w:type="dxa"/>
            <w:vAlign w:val="bottom"/>
          </w:tcPr>
          <w:p>
            <w:pPr>
              <w:spacing w:after="0"/>
              <w:rPr>
                <w:sz w:val="1"/>
                <w:szCs w:val="1"/>
                <w:color w:val="auto"/>
              </w:rPr>
            </w:pPr>
          </w:p>
        </w:tc>
      </w:tr>
      <w:tr>
        <w:trPr>
          <w:trHeight w:val="237"/>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before income tax (expense) benefit</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(21,488)</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37"/>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4"/>
                <w:szCs w:val="14"/>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4"/>
                <w:szCs w:val="14"/>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Basic and diluted weighted-average shares of common stock</w:t>
            </w:r>
          </w:p>
        </w:tc>
        <w:tc>
          <w:tcPr>
            <w:tcW w:w="2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184,146,958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188,805,421</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185,317,020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189,039,709</w:t>
            </w:r>
          </w:p>
        </w:tc>
        <w:tc>
          <w:tcPr>
            <w:tcW w:w="0" w:type="dxa"/>
            <w:vAlign w:val="bottom"/>
          </w:tcPr>
          <w:p>
            <w:pPr>
              <w:spacing w:after="0"/>
              <w:rPr>
                <w:sz w:val="1"/>
                <w:szCs w:val="1"/>
                <w:color w:val="auto"/>
              </w:rPr>
            </w:pPr>
          </w:p>
        </w:tc>
      </w:tr>
      <w:tr>
        <w:trPr>
          <w:trHeight w:val="254"/>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used in computing net loss per share</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1"/>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1,448,535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(636,299)</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800,686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1,434,375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(639,675)</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784,092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auto"/>
              </w:rPr>
              <w:t>Common stock issued upon vesting of restricted stock units, net</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1,426,713</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(648,831)</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770,743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31"/>
              <w:spacing w:after="0" w:line="16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Paid-In</w:t>
            </w:r>
          </w:p>
        </w:tc>
        <w:tc>
          <w:tcPr>
            <w:tcW w:w="3360" w:type="dxa"/>
            <w:vAlign w:val="bottom"/>
            <w:gridSpan w:val="6"/>
            <w:vMerge w:val="restart"/>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Accumulated </w:t>
            </w:r>
            <w:r>
              <w:rPr>
                <w:rFonts w:ascii="Times New Roman" w:cs="Times New Roman" w:eastAsia="Times New Roman" w:hAnsi="Times New Roman"/>
                <w:sz w:val="16"/>
                <w:szCs w:val="16"/>
                <w:b w:val="1"/>
                <w:bCs w:val="1"/>
                <w:color w:val="auto"/>
              </w:rPr>
              <w:t>Comprehensive</w:t>
            </w:r>
            <w:r>
              <w:rPr>
                <w:rFonts w:ascii="Times New Roman" w:cs="Times New Roman" w:eastAsia="Times New Roman" w:hAnsi="Times New Roman"/>
                <w:sz w:val="18"/>
                <w:szCs w:val="18"/>
                <w:b w:val="1"/>
                <w:bCs w:val="1"/>
                <w:color w:val="auto"/>
              </w:rPr>
              <w:t xml:space="preserve"> 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33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1,489,935</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(573,046)</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Adoption of ASC 326, </w:t>
            </w:r>
            <w:r>
              <w:rPr>
                <w:rFonts w:ascii="Times New Roman" w:cs="Times New Roman" w:eastAsia="Times New Roman" w:hAnsi="Times New Roman"/>
                <w:sz w:val="18"/>
                <w:szCs w:val="18"/>
                <w:i w:val="1"/>
                <w:iCs w:val="1"/>
                <w:color w:val="auto"/>
              </w:rPr>
              <w:t>Current Expected Credit Losses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1,468,415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(595,130)</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1,466,360</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(596,026)</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6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188,927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1,471,713</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(596,640)</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5"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26035</wp:posOffset>
            </wp:positionV>
            <wp:extent cx="1765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interest rate swap valuation adjustments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37"/>
        </w:trPr>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Capitalization of software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disposition of fitness solutions, net of transaction costs, cash and restricted cash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37"/>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(31,826)</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common stock issuance for Employee Stock Purchase Plan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taxes paid for RSU withholdings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(41,268)</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(41,646)</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95,824</w:t>
            </w:r>
          </w:p>
        </w:tc>
      </w:tr>
      <w:tr>
        <w:trPr>
          <w:trHeight w:val="264"/>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90,823</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70"/>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34,112</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9"/>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92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929"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As of December 31, 2023, the Company served more than 708,000 customers across three core verticals: Home Services; Health Services; and Wellness Services. Excluding the customers associated with the sale of our fitness assets, the Company served more than 690,000 customers (see Note 4. Fitness Solutions Disposition).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2023 and the related notes (“Annual Report on Form 10-K”). The December 31, 2023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nine months ended September 30, 2024 from those disclosed in the annual consolidated financial statements for the year ended December 31, 2023 and the related notes. Certain prior year amounts have been reclassified to conform to the current year presentation.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our fitness solutions to Jonas Fitness Portfolio Holdco Inc. (“Jonas Software”) (see Note 4. Fitness Solutions Disposition).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and together with North American Fitness, “Fitness Solutions”), closed on July 1, 2024. The divestiture did not qualify for reporting as a discontinued operation. As a result, our unaudited condensed consolidated financial statements include the results of North American Fitness and UK Fitness for all periods through the applicable date of sale.</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operating results for the three and nine months ended September 30, 2024 are not necessarily indicative of the results expected for the full year ending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items subject to such estimates reflected in the unaudited condensed consolidated financial statements include: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expense and estimating standalone selling price, when applicable, for the allocation of transaction price when multiple performance obligations are included in a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section.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and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the measurement and recognition of expected credit losses for financial assets held at amortized cost, which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accounts receivable and contract assets. This updated standard is effective for annual reporting periods beginning after December 15, 2022. The Company adopted this ASU for the year ended December 31, 2023 and it did not have a material impact on the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 Improving Reportable Segment Disclosures (Topic 280)</w:t>
      </w:r>
      <w:r>
        <w:rPr>
          <w:rFonts w:ascii="Times New Roman" w:cs="Times New Roman" w:eastAsia="Times New Roman" w:hAnsi="Times New Roman"/>
          <w:sz w:val="18"/>
          <w:szCs w:val="18"/>
          <w:color w:val="auto"/>
        </w:rPr>
        <w:t>. The update is intended to improve reportable segment disclosure requirements, primarily through enhanced disclosures about significant expenses. The ASU requires disclosures to include significant segment expenses that are regularly provided to the CODM, an amount and description of the composition of other segment items by reportable segment, and any additional measures of a segment's profit or loss used by the CODM when deciding how to allocate resources. The ASU also requires all annual disclosures currently required by Topic 280 to be included in interim periods. All disclosure requirements under ASU 2023-07 are also required for public entities with a single reportable segment. The amendments in this update are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impact of adopting the amendments in this update on its consolidated financial statements and disclosures.</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 However, we do not expect that the adoption of this guidance will have a material impact on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Kickserv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2023, the Company acquired 100% of the interest of Norman’s Dojo Inc. (“Kickserv”), a provider of field service management software for home service businesses for approximately $15.0 million in cash. The acquisition adds offerings for SMBs across diversified portfolios with an opportunity to capture a broader segment of new customers within the Home Services vertical.</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accounted for the acquisition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measured the identifiable assets and liabilities assumed at their acquisition date estimated fair values separately from goodwill, which represent Level 3 fair value measurements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values were determined by management using the assistance of third-party valuation specialists. The valuation methods used to determine the estimated fair value of intangible assets included the income approach— relief from royalty method for developed technology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useful life of five years, and the income approach—multi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acquisition allows for an adjustment to the purchase price to be made subsequent to the transaction’s closing date based on the actual amount of working capital and cash delivered to the Company. The consideration paid and purchase price allocations disclosed reflect the effects of these adjustments.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Kickserv since the closing through September 30, 2024, were not material to our condensed consolidated financial statements, nor were they material to our prior period consolidated results on a pro forma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consideration transferred, assets acquired and liabilities assumed at the acquisition date: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August 10, 2023</w:t>
            </w:r>
          </w:p>
        </w:tc>
      </w:tr>
      <w:tr>
        <w:trPr>
          <w:trHeight w:val="212"/>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1"/>
        </w:trPr>
        <w:tc>
          <w:tcPr>
            <w:tcW w:w="9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6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Intangibles—definite lived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r>
      <w:tr>
        <w:trPr>
          <w:trHeight w:val="28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w:t>
            </w:r>
          </w:p>
        </w:tc>
      </w:tr>
      <w:tr>
        <w:trPr>
          <w:trHeight w:val="26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14,974</w:t>
            </w:r>
          </w:p>
        </w:tc>
      </w:tr>
      <w:tr>
        <w:trPr>
          <w:trHeight w:val="20"/>
        </w:trPr>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Fitness Solutions Disposition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to Jonas Software. The sale of North American Fitness closed simultaneously with signing and the sale of UK Fitness closed July 1, 2024. The divestiture did not qualify for discontinued operations and therefore, its results were included in our unaudited condensed consolidated financial statements through the applicable date of sale. During the three and nine months ended September 30, 2024, we recognized losses of $0.1 million and $5.0 million, respectively, related to the sale of Fitness Solutions which are included in loss on sale and impairments on our unaudited condensed consolidated statements of operations and comprehensive loss. During the nine months ended September 30, 2024, we recognized $6.4 million of goodwill impairment charges representing the allocated goodwill to Fitness Solutions, which is included in loss on sale and impairments on the unaudited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28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457,788</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162,459</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476,149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net of allowance for expected credit losses, represent rights to consideration in exchange for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have been transferred by us, when payment is unconditional and only the passage of time is required before payment is due.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or deferred revenue, represent our obligation to transfer products or services to a customer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received in advance of the satisfaction of performance obligations. Long-term deferred revenue is included within other non-current liabilities on the unaudited condensed consolidated balance sheets. Revenue recognized from the contract liability balance at December 31, 2023 was $22.4 million for the nine months ended September 30, 2024.</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our allowance for expected credit losses is as follows as of:</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Pr>
          <w:p>
            <w:pPr>
              <w:spacing w:after="0"/>
              <w:rPr>
                <w:sz w:val="19"/>
                <w:szCs w:val="19"/>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 adjustment due to implementation of the new credit loss standard</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and marketing technology solutions revenue streams. The aggregate amount of transaction consideration allocated to remaining performance obligations as of September 30, 2024 was $21.2 million. The Company expects to recognize approximately 58% of its remaining performance obligations as revenue within the next year, 31% of its remaining performance obligations as revenue the subsequent year, 10% of its remaining performance obligations as revenue in the third year, and the remainder during the two-year period thereafter.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to Obtain and Fulfill a Contract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$9.8 million and $8.6 million at September 30, 2024 and December 31, 2023, respectively, and long-term assets were $18.4 million and $17.9 million at September 30, 2024 and December 31, 2023, respectively. The Company recorded amortization expense within sales and marketing on the unaudited condensed consolidated statements of operations and comprehensive loss of $1.7 million and $1.4 million for the three months ended September 30, 2024 and 2023, respectively, and $5.0 million and $4.2 million for the nine months ended September 30, 2024 and 2023, respectively. The Company recorded amortization expense within cost of revenues on the unaudited condensed consolidated statements of operations and comprehensive loss of $0.8 million and $0.6 million for the three months ended September 30, 2024 and 2023, respectively, and $2.3 million and $1.6 million for the nine months ended September 30, 2024 and 2023,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nine months ended September 30, 2024 (in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9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920,973</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definitive sale and purchase agreements to sell our fitness solutions, we tested the goodwill balance for impairment as of March 31, 2024 (see Note 4. Fitness Solutions Disposition). During the nine months ended September 30, 2024, we recognized $6.4 million of goodwill impairment charges representing the allocated goodwill to Fitness Solutions, which is included in loss on sale and impairments on the unaudited condensed consolidated statements of operations and comprehensive loss. There has been no other impairment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4"/>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574,622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361,518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716,758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51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4"/>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269,350</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437,906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$18.6 million and $22.5 million for the three months ended September 30, 2024 and 2023, respectively and $56.5 million and $68.6 million for the nine months ended September 30,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4"/>
          </w:tcPr>
          <w:p>
            <w:pPr>
              <w:jc w:val="right"/>
              <w:ind w:right="892"/>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27,178</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r>
      <w:tr>
        <w:trPr>
          <w:trHeight w:val="26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$0.9 million and $1.3 million for the three months ended September 30, 2024 and 2023, respectively, and $2.9 million and $3.3 million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Capitalized Software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ind w:left="86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6"/>
              </w:rPr>
              <w:t>68,962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64,137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Pr>
          <w:p>
            <w:pPr>
              <w:spacing w:after="0"/>
              <w:rPr>
                <w:sz w:val="21"/>
                <w:szCs w:val="21"/>
                <w:color w:val="auto"/>
              </w:rPr>
            </w:pPr>
          </w:p>
        </w:tc>
        <w:tc>
          <w:tcPr>
            <w:tcW w:w="12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(26,780)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rPr>
              <w:t>(21,626)</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6"/>
              </w:rPr>
              <w:t>42,182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42,511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was $2.6 million and $2.3 million for the three months ended September 30, 2024 and 2023, respectively, and $7.5 million and $6.1 million for the nine months ended September 30, 2024 and 2023, respectively. During the ordinary course of business, the Company may determine that certain capitalized features of its software will no longer be used either internally or to deliver value to its customers. The Company recorded a charge of $0.2 million and $0.1 million for the three months ended September 30, 2024 and 2023, respectively, and $0.6 million for both the nine months ended September 30, 2024 and 2023, related to capitalized costs associated with abandoned projects, which are included in general and administrative expense on the unaudited condensed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6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ceased use of certain leased premises and subleased certain facilities resulting in impairment charges of $0.1 million during the three months ended September 30, 2023, and $0.4 million and $1.1 million during the nine months ended September 30, 2024 and 2023, respectively, to impair the right-of-use lease assets to their fair value, which are included in loss on sale and impairments on our unaudited condensed consolidated statement of operations and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2500" w:type="dxa"/>
            <w:vAlign w:val="bottom"/>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3,808</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included in other non-current assets, accrued expenses and other and other non-current liabilities on the unaudited condensed consolidated balance sheets, related to leases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weighted average remaining lease term for operating leases was 5.15 years and 5.75 years, respectively, and the weighted average discount rate was 5.2% and 5.1%,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0" w:type="dxa"/>
            <w:vAlign w:val="bottom"/>
          </w:tcPr>
          <w:p>
            <w:pPr>
              <w:spacing w:after="0"/>
              <w:rPr>
                <w:sz w:val="1"/>
                <w:szCs w:val="1"/>
                <w:color w:val="auto"/>
              </w:rPr>
            </w:pPr>
          </w:p>
        </w:tc>
      </w:tr>
      <w:tr>
        <w:trPr>
          <w:trHeight w:val="23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6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notes with interest payable monthly, interest rate at Adjusted SOFR, plus an applicable margin of 3.25%</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(7.95992% at September 30, 2024) quarterly principal payments of 0.25% of original principal balance with</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balloon payment due July 2028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SOFR, plus an applicable margin of 3.25%</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(7.95992% at September 30, 2024), and outstanding balance due July 2026</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debt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6"/>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529,008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532,196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63"/>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523,508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Alternative Base Rate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1.0%. The applicable rate for the Term Loans and the Revolver is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September 30, 2024, the Company obtained trading prices for the term notes outstanding. However, as such trading prices require significant unobservable inputs to the pricing model, such instruments are classified as Level 2. The fair value amounts were approximately $536.2 million and $540.3 million as of September 30, 2024 and December 31, 2023,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the following interest rate swap agreements in connection with its Credit Facilities to convert a portion of the floating rate component of the Term Loans from a floating rate to fixed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228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0" w:type="dxa"/>
            <w:vAlign w:val="bottom"/>
          </w:tcPr>
          <w:p>
            <w:pPr>
              <w:spacing w:after="0"/>
              <w:rPr>
                <w:sz w:val="18"/>
                <w:szCs w:val="18"/>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 Value at</w:t>
            </w:r>
          </w:p>
        </w:tc>
      </w:tr>
      <w:tr>
        <w:trPr>
          <w:trHeight w:val="256"/>
        </w:trPr>
        <w:tc>
          <w:tcPr>
            <w:tcW w:w="22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Pr>
          <w:p>
            <w:pPr>
              <w:spacing w:after="0"/>
              <w:rPr>
                <w:sz w:val="22"/>
                <w:szCs w:val="22"/>
                <w:color w:val="auto"/>
              </w:rPr>
            </w:pPr>
          </w:p>
        </w:tc>
        <w:tc>
          <w:tcPr>
            <w:tcW w:w="2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33"/>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80" w:type="dxa"/>
            <w:vAlign w:val="bottom"/>
          </w:tcPr>
          <w:p>
            <w:pPr>
              <w:spacing w:after="0"/>
              <w:rPr>
                <w:sz w:val="20"/>
                <w:szCs w:val="20"/>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2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October 31, 2022</w:t>
            </w:r>
          </w:p>
        </w:tc>
        <w:tc>
          <w:tcPr>
            <w:tcW w:w="2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218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4.212 %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43"/>
        </w:trPr>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2023</w:t>
            </w:r>
          </w:p>
        </w:tc>
        <w:tc>
          <w:tcPr>
            <w:tcW w:w="2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3.951 %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20, 2024</w:t>
            </w:r>
          </w:p>
        </w:tc>
        <w:tc>
          <w:tcPr>
            <w:tcW w:w="2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3.395 %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loss. As of September 30, 2024 the fair value of the Swap Agreements was a liability of $7.2 million, which is reported in other non-current liabilities on the unaudited condensed consolidated balance sheets. The related gains and losses resulting from changes in fair value was a loss of $8.1 million and a gain $4.5 million during the three months ended September 30, 2024 and 2023, respectively, and loss of $2.3 million and a gain of $6.6 million during the nine months ended September 30, 2024 and 2023, respectively.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are secured by substantially all assets of the Company. As of September 30, 2024, the Company was in compliance with all of its covenants.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debt for the years ending December 31 are as follows as of September 30, 2024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14, 2022, our board of directors (our “Board”) approved a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authorization of the Repurchase Program by an additional $50.0 million in shares of the Company’s common stock on each date for a total authorization to repurchase up to $200.0 million in shares of the Company’s common stock and, most recently, extended the expiration of the Repurchase Program through December 31, 2025.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repurchased and retired 1.4 million and 5.1 million shares of common stock pursuant to the Repurchase Program for $14.6 million and $50.9 million including transaction fees and taxes, during the three and nine months ended September 30, 2024, respectively. As of September 30, 2024, $39.4 million remained available under the Repurchase Program, inclusive of shares purchased pursuant to our agreement with the selling stockholders as disclosed Note 11. Equity in our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2023, as of January 1, 2024 the number of shares reserved for issuance under the 2021 Plan increased by 5.6 million.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adopted a "withhold to cover" program, which allows it to withhold common stock from employees in connection with the settlement of income tax withholding obligations arising from the vesting of restricted stock unit (“RSUs”) under the 2021 Plan.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adopted the 2021 Employee Stock Purchase Plan (the “ESPP”). For more information on the ESPP, refer to Note 12. Stock-Based Compensation in the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stock option activity for the nine months ended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33"/>
        </w:trPr>
        <w:tc>
          <w:tcPr>
            <w:tcW w:w="8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3"/>
          </w:tcPr>
          <w:p>
            <w:pPr>
              <w:jc w:val="right"/>
              <w:ind w:right="95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3,337</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2,615</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5,348</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5,035</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4,068</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was $36.0 million and $4.0 million related to outstanding RSUs and stock options, respectively.</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unaudited condensed consolidated statements of operations and comprehensive loss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tcPr>
          <w:p>
            <w:pPr>
              <w:spacing w:after="0"/>
              <w:rPr>
                <w:sz w:val="17"/>
                <w:szCs w:val="17"/>
                <w:color w:val="auto"/>
              </w:rPr>
            </w:pPr>
          </w:p>
        </w:tc>
        <w:tc>
          <w:tcPr>
            <w:tcW w:w="244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36"/>
        </w:trPr>
        <w:tc>
          <w:tcPr>
            <w:tcW w:w="5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recorded $2.0 million of stock-based compensation expense related to the accelerated vesting of options and RSUs held by a former senior executive pursuant to their separation agreement, which was included in general and administrative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8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189,040</w:t>
            </w:r>
          </w:p>
        </w:tc>
        <w:tc>
          <w:tcPr>
            <w:tcW w:w="0" w:type="dxa"/>
            <w:vAlign w:val="bottom"/>
          </w:tcPr>
          <w:p>
            <w:pPr>
              <w:spacing w:after="0"/>
              <w:rPr>
                <w:sz w:val="1"/>
                <w:szCs w:val="1"/>
                <w:color w:val="auto"/>
              </w:rPr>
            </w:pPr>
          </w:p>
        </w:tc>
      </w:tr>
      <w:tr>
        <w:trPr>
          <w:trHeight w:val="254"/>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4"/>
                <w:szCs w:val="14"/>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0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824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20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unvested RSUs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7"/>
        </w:trPr>
        <w:tc>
          <w:tcPr>
            <w:tcW w:w="3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center"/>
              <w:ind w:right="153"/>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560"/>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7"/>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center"/>
              <w:ind w:right="133"/>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(expense) benefit was $(0.7) million and $(0.2) million for the three months ended September 30, 2024 and 2023, respectively, and $(7.4) million and $1.5 million for the nine months ended September 30, 2024 and 2023, respectively. The difference in income tax (expense) benefit for the three and nine months ended September 30, 2024 as compared to the corresponding periods in 2023 was driven primarily by an increase in U.S. federal and state income taxes and discrete items, including the sale of North American Fitness in the nine months ended September 30, 2024, and the release of a foreign valuation allowance in the second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third-party fulfillment costs and software hosting. Unrecognized future minimum payments due under these agreements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w:t>
      </w:r>
    </w:p>
    <w:p>
      <w:pPr>
        <w:jc w:val="both"/>
        <w:ind w:firstLine="8"/>
        <w:spacing w:after="0" w:line="251"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The Company believes it has meritorious defenses to the claims of the plaintiff and members of the class and any liability for the alleged claims is not currently probable and the potential loss or range of loss is not reasonably estimable.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applicability of nexus in jurisdictions in which the Company sells products and services. As of September 30, 2024 and December 31, 2023, the Company recorded a liability in the amount of $11.2 million and $10.9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3"/>
          </w:tcPr>
          <w:p>
            <w:pPr>
              <w:jc w:val="right"/>
              <w:ind w:right="895"/>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2023 (the “Annual Report on Form 10-K”) filed with the Securities and Exchange Commission (“SEC”) on March 14, 2024. Additionally, our historical results are not necessarily indicative of the results that may be expected for any period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2023, we served more than 708,000 customers across three core verticals: Home Services; Health Services; and Wellness Services. Excluding the customers associated with the sale of our fitness assets, we served more than 690,000 customers (see Note 4. Fitness Solutions Disposition in this Quarterly Report on Form 10-Q).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68" w:lineRule="exact"/>
        <w:rPr>
          <w:sz w:val="20"/>
          <w:szCs w:val="20"/>
          <w:color w:val="auto"/>
        </w:rPr>
      </w:pPr>
    </w:p>
    <w:p>
      <w:pPr>
        <w:jc w:val="both"/>
        <w:ind w:left="500" w:hanging="168"/>
        <w:spacing w:after="0" w:line="26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68"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74" w:lineRule="exact"/>
        <w:rPr>
          <w:rFonts w:ascii="Times New Roman" w:cs="Times New Roman" w:eastAsia="Times New Roman" w:hAnsi="Times New Roman"/>
          <w:sz w:val="18"/>
          <w:szCs w:val="18"/>
          <w:b w:val="1"/>
          <w:bCs w:val="1"/>
          <w:color w:val="auto"/>
        </w:rPr>
      </w:pPr>
    </w:p>
    <w:p>
      <w:pPr>
        <w:jc w:val="both"/>
        <w:ind w:left="500" w:hanging="168"/>
        <w:spacing w:after="0" w:line="256"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4"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Technology Solutions: </w:t>
      </w:r>
      <w:r>
        <w:rPr>
          <w:rFonts w:ascii="Times New Roman" w:cs="Times New Roman" w:eastAsia="Times New Roman" w:hAnsi="Times New Roman"/>
          <w:sz w:val="18"/>
          <w:szCs w:val="18"/>
          <w:color w:val="auto"/>
        </w:rPr>
        <w:t>Our Marketing Technology Solutions work with our Customer Experience Solutions to help customers build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paid search and display advertising, social media and blog automation, call tracking, review monitoring and marketplace lead generation,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97% and 95% of our revenue was recurring or re-occurring in the nine months ended September 30, 2024 and 2023, respectively, and we maintained an annualized net revenue retention rate of approximately 91% and 97% for the quarters ended September 30, 2024 and 2023, respectively. Our annualized pro forma net revenue retention rate was equal to the annualized net revenue retention rate for the quarters ended September 30, 2024 and 2023, respectively, as the acquisitions and dispositions closed during the prior period were not material to our prior period unaudited condensed consolidated results on a proforma basis. Excluding our marketing technology solutions, our annualized net revenue retention rate for our core software and payments solutions was approximately 96% and 100% for the quarters ended September 30, 2024 and 2023, respectively.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2023 is the difference between the recurring or re-occurring revenue generated in November 2023 and the same such revenue generated in November 2022, for customers with a start date prior to December 1, 2022 and no end date or cancelled relationship on or after November 1, 2023.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2023 is the difference between the recurring or re-occurring revenue generated in November 2023 and the same such revenue generated in November 2022, for customers that cancelled on or after November 1, 2022 and before November 1, 2023.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Sale of Fitness Solutions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comprised of North American Fitness and UK Fitness (“Fitness Solutions”), to Jonas Software (see Note 4. Fitness Solutions Disposition in this Quarterly Report on Form 10-Q). The sale of North American Fitness closed simultaneously with signing and the sale of UK Fitness closed July 1, 2024. The divestiture did not qualify for reporting as a discontinued operation and therefore, its results were included in our unaudited condensed consolidated financial statements included in this Quarterly Report on Form 10-Q through the applicable date of sale. During the three and nine months ended September 30, 2024, we recognized losses of $0.1 million and $5.0 million, respectively, related to the sale of Fitness Solutions, which are included in loss on sale and impairments on our unaudited condensed consolidated statements of operations and comprehensive loss included in this Quarterly Report on Form 10-Q. During the nine months ended September 30, 2024, we recognized $6.4 million of goodwill impairment charges representing the allocated goodwill to Fitness Solutions, which is included in loss on sale and impairments on the unaudited condensed consolidated statements of operations and comprehensive loss included in this Quarterly Report on Form 10-Q.</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Climate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macroeconomic climate continues to see pressure from global developments such as international geopolitical conflict, terrorism,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depends on a number of factors that present significant opportunities for us but also pose risks and challenges. For discussion of these factors, please see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w:t>
      </w:r>
      <w:r>
        <w:rPr>
          <w:rFonts w:ascii="Times New Roman" w:cs="Times New Roman" w:eastAsia="Times New Roman" w:hAnsi="Times New Roman"/>
          <w:sz w:val="18"/>
          <w:szCs w:val="18"/>
          <w:color w:val="auto"/>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 Key Business and Financial Metrics – Non-GAAP Financial Measures” </w:t>
      </w:r>
      <w:r>
        <w:rPr>
          <w:rFonts w:ascii="Times New Roman" w:cs="Times New Roman" w:eastAsia="Times New Roman" w:hAnsi="Times New Roman"/>
          <w:sz w:val="18"/>
          <w:szCs w:val="18"/>
          <w:color w:val="auto"/>
        </w:rPr>
        <w:t>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filed on March 14,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 (Non-GAAP Financial Measures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generally accepted accounting principles in the United States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also uses this metric for planning and forecasting purposes.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Growth Rate was 0.9% and 3.5% for the three and nine months ended September 30, 2024, respectively, as compared to the same periods in the prior year. Total revenues include post-acquisition revenue from Kickserv, which was acquired August 10, 2023 (see Note 3. Kickserv Acquisition in this Quarterly Report on Form 10-Q), of $0.7 million and $2.0 million during the three and nine months ended September 30, 2024, respectively. Additionally, total revenues include pre-divestiture revenue from Fitness Solutions, which was divested in 2024 (see Note 4. Fitness Solutions Disposition in this Quarterly Report on Form 10-Q), of $6.0 million and $17.8 million during the three and nine months ended September 30, 2023, respectively, and $8.2 million during the nine months ended September 30, 2024. Our Pro Forma Revenue Growth rate was 4.3% and 5.3% for the three and nine months ended September 30, 2024, respectively, reflective of the underlying growth in our business as a result of new customers and providing more solutions to existing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the most directly comparable financial measure calculated in accordance with GAAP, to Adjusted Gross Profit on a consolidated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allocated to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7"/>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6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16,024</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interest and other expense, net, income tax expense (benefit), depreciation and amortization, other amortization, stock-based compensation, and transaction-related and other non-recurring costs. Other amortization includes amortization for capitalized contract acquisition costs. Transaction-related costs are specific deal-related costs such as legal fees, financial and tax due diligence, consulting and escrow fees. Other non-recurring costs are expenses such as impairment charges, (gains) losses from divestitures, system implementation costs, executive separation costs, severance expense related to planned restructuring activities, and costs associated with integration and transformation improvements. Transaction-related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calculated in accordance with GAAP, to Adjusted EBITDA on a consolidated basis.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19"/>
                <w:szCs w:val="19"/>
                <w:color w:val="auto"/>
              </w:rPr>
            </w:pPr>
          </w:p>
        </w:tc>
        <w:tc>
          <w:tcPr>
            <w:tcW w:w="2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and other non-recurring costs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accounting policies, see Note 2. Summary of Significant Accounting Policies in the notes to the consolidated financial statements included in our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below under </w:t>
      </w: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Experience and Billing &amp;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Technology Solutions: </w:t>
      </w:r>
      <w:r>
        <w:rPr>
          <w:rFonts w:ascii="Times New Roman" w:cs="Times New Roman" w:eastAsia="Times New Roman" w:hAnsi="Times New Roman"/>
          <w:sz w:val="18"/>
          <w:szCs w:val="18"/>
          <w:color w:val="auto"/>
        </w:rPr>
        <w:t>Revenue includes (i) recurring revenues for managing digital advertising programs on behalf of our customers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website development; (iii) revenue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partnerships; (iv) event income; and (v) hardware sales related to our business management or payment software solutions.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and dispositions. In particular, marketing technology solutions revenue generally has a higher cost of revenue as a percentage of revenue than our subscription and transaction fee revenue. For the three and nine months ended September 30, 2024, revenue from subscription and transaction fees increased 3.7% and 5.8%, respectively, and revenue from marketing technology solutions decreased 6.7% and 3.3%, respectively, compared to the prior year periods. To the extent our marketing technology solutions revenue grows at a faster rate, whether by acquisition or otherwise, than our subscription and transaction fees revenue, it could negatively impact our cost of revenues as a percentage of revenue.</w:t>
      </w:r>
    </w:p>
    <w:p>
      <w:pPr>
        <w:sectPr>
          <w:pgSz w:w="11900" w:h="16838" w:orient="portrait"/>
          <w:cols w:equalWidth="0" w:num="1">
            <w:col w:w="11240"/>
          </w:cols>
          <w:pgMar w:left="320" w:top="14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for the foreseeable future as we continue to increase investments to support our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for the foreseeable future as we continue to dedicate substantial resources to develop, improve and expand the functionality of our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and Impairments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sale relates to the divestiture of Fitness Solutions. Impairments include a goodwill impairment charge representing the allocated goodwill to Fitness Solutions (see Note 4. Fitness Solutions Disposition in this Quarterly Report on Form 10-Q). Impairments also include operating lease impairments related to the Company’s decision to cease use of certain leased premises and sublease certain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includes the results of Fitness Solutions for all periods through the applicable date of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22,566</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2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70"/>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r>
      <w:tr>
        <w:trPr>
          <w:trHeight w:val="24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7"/>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before income tax (expense) benefit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64"/>
        </w:trPr>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60" w:type="dxa"/>
            <w:vAlign w:val="bottom"/>
          </w:tcPr>
          <w:p>
            <w:pPr>
              <w:spacing w:after="0"/>
              <w:rPr>
                <w:sz w:val="19"/>
                <w:szCs w:val="19"/>
                <w:color w:val="auto"/>
              </w:rPr>
            </w:pPr>
          </w:p>
        </w:tc>
        <w:tc>
          <w:tcPr>
            <w:tcW w:w="2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 (percentage of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key components of operating costs within our results of operations as a percentage of revenue for the three and nine months ended September 30, 2024 compared to the same period in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5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38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2"/>
            <w:vMerge w:val="continue"/>
          </w:tcPr>
          <w:p>
            <w:pPr>
              <w:spacing w:after="0"/>
              <w:rPr>
                <w:sz w:val="18"/>
                <w:szCs w:val="18"/>
                <w:color w:val="auto"/>
              </w:rPr>
            </w:pPr>
          </w:p>
        </w:tc>
        <w:tc>
          <w:tcPr>
            <w:tcW w:w="24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63"/>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97.7 %</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revenue growth remains a key focus, we remain committed to continued expansion of gross margin, net income and Adjusted EBITDA through ongoing transformation initiatives. As a percentage of revenue, cost of revenues declined from 34.7% for the nine months ended September 30, 2023 to 33.9% for the nine months ended September 30, 2024, an improvement of approximately 80 basis points resulting in higher gross margin. As a percentage of revenue, the combination of cost of revenue, sales and marketing, product development and general and administrative costs declined from 83.8% for the nine months ended September 30, 2023 to 82.7% for the nine months ended September 30, 2024, an improvement of 110 basis points. A discussion on primary drivers of cost reductions resulting in improved margin follows in the subsequent sections.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20"/>
                <w:szCs w:val="20"/>
                <w:color w:val="auto"/>
              </w:rPr>
            </w:pPr>
          </w:p>
        </w:tc>
        <w:tc>
          <w:tcPr>
            <w:tcW w:w="2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64"/>
        </w:trPr>
        <w:tc>
          <w:tcPr>
            <w:tcW w:w="4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3"/>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22,566</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(3,421)</w:t>
            </w: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(1,308)</w:t>
            </w: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17,837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Revenues increased $1.5 million, or 0.9%, and $17.8 million, or 3.5%, for the three and nine months ended September 30, 2024, respectively, as compared to the same periods in 2023. The growth of revenue from subscription and transaction fees was 3.7% and 5.8% during the three and nine months ended September 30, 2024, respectively, as compared to the prior year periods, while the changes in marketing technology solutions and other revenues experienced more volatility in revenue generation than the delivery of services through our system of actions. The majority of our revenue growth is attributable to the successful delivery of system of action capabilities to our SMBs in our verticals of home services, health and wellness. The subscription and transaction revenue increases consist primarily of increases from (a) business management software and (b) billing and payment solutions. Business management software revenues drove a $5.2 million and $19.5 million increase in subscription and transaction revenues for the three and nine months ended September 30, 2024, respectively, due to an expansion in our number of customers, certain price increases across our portfolio, and an increase in rebate revenue from contracted suppliers due to growth of membership subscriptions in group purchasing programs. Billing and payment solutions revenues drove a decrease of $0.3 million and an increase of $3.0 million during the three and nine months ended September 30, 2024, respectively. The decrease in the three-month period was primarily due to the Fitness Solutions divestiture, partially offset by higher transaction volumes processed through our payment platforms. The increase in the nine-month period was due to higher transaction volumes processed through our payment platforms, partially offset by lower revenue due to the Fitness Solutions divestiture. Subscription and transaction revenues also include $0.7 million and $2.0 million of post-acquisition revenue from Kickserv for the three and nine months ended September 30, 2024, respectively, and pre-divestiture</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Fitness Solutions of $5.9 million and $17.6 million for the three and nine months ended September 30, 2023, respectively (see Note 3. Kickserv Acquisition and Note 4. Fitness Solutions Disposition, respectively, in this Quarterly Report on Form 10-Q). Marketing technology solutions revenues decreased $2.5 million and $3.4 million during the three and nine months ended September 30, 2024, respectively. The decrease in the three and nine-month periods was primarily due to a reduction in demand driven by decreases in consumer spending, partially offset by certain price increases and customer growth related to lead generation services. Other revenues decreased $0.9 million and $1.3 million during the three and nine months ended September 30, 2024, respectively. Other revenues decreased in the three and nine-month periods driven by revenue related to project implementation and customer development services which did not recur in the current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9"/>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20"/>
                <w:szCs w:val="20"/>
                <w:color w:val="auto"/>
              </w:rPr>
            </w:pPr>
          </w:p>
        </w:tc>
        <w:tc>
          <w:tcPr>
            <w:tcW w:w="21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4"/>
          </w:tcPr>
          <w:p>
            <w:pPr>
              <w:ind w:lef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59,275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61,471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177,415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175,602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revenues decreased by $2.2 million, or 3.6%, and increased by $1.8 million, or 1.0%, for the three and nine months ended September 30, 2024, respectively, as compared to the same periods in 2023. The decrease for the three-month period was primarily comprised of a $1.7 million reduction in lead generation and ad spend subject to resale to customers, $1.5 million decrease in personnel and compensation expense, and a $0.5 million decrease in communication services, partially offset by a $0.8 million increase in software hosting expenses, $0.5 million increase in application programming interface fees, and $0.3 million increase in campaign mail expenses. The increase for the nine-month period was primarily comprised of an additional $2.7 million of lead generation and ad spend subject to resale to customers, $1.7 million of software hosting expenses, $1.6 million of application programming interface fees, and $0.9 million of campaign mail expenses, partially offset by a $4.0 million decrease in personnel and compensation expense, and a $1.4 million decrease in communication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33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30,577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91,297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91,660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$0.5 million, or 1.6%, and decreased $0.4 million, or 0.4%, for the three and nine months ended September 30, 2024, respectively as compared to the same periods in 2023. As a percentage of revenue, sales and marketing expenses increased slightly in the three-month period from 17.2% to 17.3%, while in the nine-month period decreased from 18.1% to 17.4%, an improvement of 70 basis points, due to cost discipline through ongoing transformation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9"/>
                <w:szCs w:val="19"/>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4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20,100</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19,318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60,464</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increased by $0.8 million, or 4.0%, and $4.1 million, or 7.3%, for the three and nine months ended September 30, 2024, respectively, as compared to the same periods in 2023. The increase for the three-month period was driven primarily by an additional $0.7 million of outsourced services. The increase for the nine-month period was a result of continued investment in our technology and teams to support our various solutions as well as centralized security operations, information technology and cloud engineering, driven by an additional $2.4 million of personnel and compensation expense, and $1.7 million of outsourced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3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3"/>
          </w:tcPr>
          <w:p>
            <w:pPr>
              <w:jc w:val="right"/>
              <w:ind w:right="27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34,330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31,477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  103,774</w:t>
            </w: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100,429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3,345</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or 9.1%, and $3.3 million, or 3.3%, for the three and nine months ended September 30, 2024, respectively, as compared to the same periods in 2023. The increase for the three-month period was driven primarily by an additional $2.6 million in stock-based compensation expense, a $1.8 million increase in personnel and compensation expense, and an additional $0.7 million in software and tools, partially offset by a $0.7 million decrease in facility expense, a $0.7 million decrease in professional fees, and a $0.5 million decrease in bad debt expense. The increase for the nine-month period was driven primarily by an additional $2.9 million in personnel and compensation expense, $2.0 million in software and tools, $1.1 million in stock-based compensation expense, $0.9 million in outsourced services and $0.3 million in professional and legal fees, partially offset by a $2.0 million decrease in bad debt expense, and a $1.8 million decrease in facility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21,991</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(4,044)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66,880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77,975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decreased by $4.0 million, or 15.5%, and $11.1 million, or 14.2%, for the three and nine months ended September 30, 2024, respectively, as compared to the same periods in 2023. The reduction in depreciation and amortization was driven primarily by the reduced rate of replacement assets resulting from a slowdown in business acquisitions. The decrease for the three-month period was driven primarily by $3.9 million in lower intangible assets’ amortization. The decrease for the nine-month period was driven primarily by $12.1 million in lower intangible assets’ amortization, and $0.5 million of property and equipment depreciation, partially offset by $1.5 million of additional capitalized software amortization.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and Impairments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9"/>
                <w:szCs w:val="19"/>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4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11,750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10,626</w:t>
            </w:r>
          </w:p>
        </w:tc>
      </w:tr>
      <w:tr>
        <w:trPr>
          <w:trHeight w:val="27"/>
        </w:trPr>
        <w:tc>
          <w:tcPr>
            <w:tcW w:w="4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entered into definitive sale and purchase agreements to sell our Fitness Solutions (see Note 4. Fitness Solutions Disposition in this Quarterly Report on Form 10-Q). During the three and nine months ended September 30, 2024, we recognized losses of $0.1 million and $5.0 million, respectively, related to the sale of Fitness Solutions. During the nine months ended September 30, 2024, we recognized $6.4 million of goodwill impairment charges representing the allocated goodwill to Fitness Solutions. We did not have similar expenses during the three and nine months ended September 30, 2023. The increase for the three and nine months ended September 30, 2024, were partially offset by lower right-of-use lease asset impairments charges of $0.1 million and $1.1 million, respectively, as compared to the same period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18,331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33,674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26,615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expense, net, increased by $11.7 million, or 175.0%, and increased $7.1 million, or 26.5%, for the three and nine months ended September 30, 2024, respectively, as compared to the same periods in 2023 with the changes primarily driven by volatility of interest rates. The increase for the three-month period was driven primarily by an unrealized loss of $8.1 million on</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swaps recorded during three months ended September 30, 2024 as compared to an unrealized gain of $4.5 million in the comparative period, partially offset by a decrease of $0.6 million in interest expense as a result of lower variable base interest rates on the Company’s Credit Facilities (as defined below), and a $0.5 million increase in interest income. The increase for the nine-month period was driven primarily by an unrealized loss of $2.3 million on interest rate swaps recorded during the nine months ended September 30, 2024 as compared to an unrealized gain of $6.6 million in the comparative period, partially offset by a $1.4 million increase in interest income, and a decrease of $0.6 million in interest expense as a result of lower variable base interest rates on the Company’s Credit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88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37"/>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(742)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(7,368)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increased by $0.5 million and $8.9 million for the three and nine months ended September 30, 2024, respectively, as compared to the corresponding periods in 2023, with the change driven primarily by an increase in U.S. federal and state income taxes and discrete items, including the sale of North American Fitness during the nine months ended September 30, 2024, and the release of a foreign valuation allowance in the three and nine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liquidity for items such as strategic investments in the ongoing transformation of our business and infrastructure, our recent business acquisition of Kickserv and share repurchases authorized through our Repurchase Program (defined below). For a description of our recent acquisitions, see Note 3. Acquisitions in the notes to the audited consolidated financial statements included in our Annual Report on Form 10-K and Note 3. Kickserv Acquisition in the notes to the unaudited consolidated financial statements included in this Quarterly Report on Form 10-Q. Absent significant deterioration of market conditions, we expect that working capital requirements, capital expenditures, acquisitions, the Repurchase Program, debt servicing and lease obligations will be our principal needs for liquidity going forward.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we had cash, cash equivalents and restricted cash of $101.6 million, $190.0 million of available borrowing capacity under our Revolver (as defined below) and $533.5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flow data for the periods indicated therein:</w:t>
      </w:r>
    </w:p>
    <w:p>
      <w:pPr>
        <w:spacing w:after="0" w:line="24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26035</wp:posOffset>
            </wp:positionV>
            <wp:extent cx="1920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7"/>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1"/>
                <w:szCs w:val="21"/>
                <w:color w:val="auto"/>
              </w:rPr>
            </w:pPr>
          </w:p>
        </w:tc>
      </w:tr>
      <w:tr>
        <w:trPr>
          <w:trHeight w:val="26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68,587</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(41,646)</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$64.8 million for the nine months ended September 30, 2024, compared to $68.6 million for the nine months ended September 30, 2023.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cash provided by operating activities for the nine months ended September 30, 2024 compared to the nine months ended September 30, 2023 was primarily due to higher costs directly related to the delivery of our services and products of $11.1 million, higher investments made to support the growth of our business of $4.7 million, higher other expenses and timing of payments of $1.4 million, higher taxes of $0.9 million and higher interest payments of $0.6 million, partially offset by higher cash collections from our subscription and transaction fees and marketing technology solutions of approximately $13.5 million and higher interest income of $1.4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investing activities of $7.7 million related primarily to costs to develop software of $13.1 million and $1.2 million used for purchases of property and equipment, partially offset by proceeds from the sale of Fitness Solutions, net of transaction costs, cash and restricted cash sold for approximately $6.6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investing activities of $31.8 million related primarily to the acquisition of Kickserv, net of cash acquired, for approximately $15.0 million, costs to develop software of $14.7 million and the remainder was used primarily for purchases of property and equipment.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financing activities of $51.3 million related primarily to the repurchase and retirement of shares of our common stock of $50.6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financing activities of $41.6 million related primarily to the repurchase and retirement of shares of our common stock of $41.3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repurchase and retirement of shares of our common stock, refer to Note 12. Equity in the notes to the unaudited condensed consolidated financial statements included in this Quarterly Report on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our option at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our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the following interest rate swap agreements in connection with our Credit Facilities to convert a portion of the floating rate component of the Term Loans from a floating rate to fixed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228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0" w:type="dxa"/>
            <w:vAlign w:val="bottom"/>
          </w:tcPr>
          <w:p>
            <w:pPr>
              <w:spacing w:after="0"/>
              <w:rPr>
                <w:sz w:val="18"/>
                <w:szCs w:val="18"/>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 Value at</w:t>
            </w:r>
          </w:p>
        </w:tc>
      </w:tr>
      <w:tr>
        <w:trPr>
          <w:trHeight w:val="256"/>
        </w:trPr>
        <w:tc>
          <w:tcPr>
            <w:tcW w:w="22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Pr>
          <w:p>
            <w:pPr>
              <w:spacing w:after="0"/>
              <w:rPr>
                <w:sz w:val="22"/>
                <w:szCs w:val="22"/>
                <w:color w:val="auto"/>
              </w:rPr>
            </w:pPr>
          </w:p>
        </w:tc>
        <w:tc>
          <w:tcPr>
            <w:tcW w:w="2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33"/>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80" w:type="dxa"/>
            <w:vAlign w:val="bottom"/>
          </w:tcPr>
          <w:p>
            <w:pPr>
              <w:spacing w:after="0"/>
              <w:rPr>
                <w:sz w:val="20"/>
                <w:szCs w:val="20"/>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2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October 31, 2022</w:t>
            </w:r>
          </w:p>
        </w:tc>
        <w:tc>
          <w:tcPr>
            <w:tcW w:w="2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218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4.212 %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43"/>
        </w:trPr>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2023</w:t>
            </w:r>
          </w:p>
        </w:tc>
        <w:tc>
          <w:tcPr>
            <w:tcW w:w="2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3.951 %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20, 2024</w:t>
            </w:r>
          </w:p>
        </w:tc>
        <w:tc>
          <w:tcPr>
            <w:tcW w:w="2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3.395 %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$533.5 million outstanding under our Credit Facilities, all of which was related to the Term Loans as no amounts were outstanding under the Revolver. The effective interest rate on the Term Loans was approximately 8.0% for the three months ended September 30, 2024, excluding the effect of any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extended the expiration of the Repurchase Program most recently through December 31, 2025.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repurchased and retired 1.4 million and 5.1 million shares of common stock for approximately $14.6 million and $50.9 million, including transaction fees and taxes, during the three and nine months ended September 30, 2024. As of September 30, 2024, $39.4 million remained available under the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September 30, 2024 from those disclosed in our Annual Report on Form 10-K.</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our financial statements in conformity with</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critical accounting policies are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in our Annual Report on Form 10-K. During the nine months ended September 30, 2024, there were no material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critical accounting policies from those discussed in our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8"/>
          <w:szCs w:val="18"/>
          <w:i w:val="1"/>
          <w:i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2024, our disclosure controls and procedures were not effective at the reasonable assurance level, due to the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 Procedures”</w:t>
      </w:r>
      <w:r>
        <w:rPr>
          <w:rFonts w:ascii="Times New Roman" w:cs="Times New Roman" w:eastAsia="Times New Roman" w:hAnsi="Times New Roman"/>
          <w:sz w:val="18"/>
          <w:szCs w:val="18"/>
          <w:color w:val="auto"/>
        </w:rPr>
        <w:t xml:space="preserve"> in our Annual Report on Form 10-K for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continue to work to remediate our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w:t>
      </w:r>
      <w:r>
        <w:rPr>
          <w:rFonts w:ascii="Times New Roman" w:cs="Times New Roman" w:eastAsia="Times New Roman" w:hAnsi="Times New Roman"/>
          <w:sz w:val="18"/>
          <w:szCs w:val="18"/>
          <w:color w:val="auto"/>
        </w:rPr>
        <w:t>in our Annual Report on Form 10-K for the year ended December 31, 2023. There were no changes in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17.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There have been no material changes to our risk factors from those included in our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repurchased approximately $14.6 million in shares of our common stock under our Repurchase Program, including transaction fees and taxes. The stock repurchase activity under our Repurchase Program during the three months ended September 30, 2024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203"/>
        </w:trPr>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w w:val="99"/>
              </w:rPr>
              <w:t>Average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purchased as part of publicly</w:t>
            </w:r>
          </w:p>
        </w:tc>
        <w:tc>
          <w:tcPr>
            <w:tcW w:w="260" w:type="dxa"/>
            <w:vAlign w:val="bottom"/>
          </w:tcPr>
          <w:p>
            <w:pPr>
              <w:spacing w:after="0"/>
              <w:rPr>
                <w:sz w:val="17"/>
                <w:szCs w:val="17"/>
                <w:color w:val="auto"/>
              </w:rPr>
            </w:pPr>
          </w:p>
        </w:tc>
        <w:tc>
          <w:tcPr>
            <w:tcW w:w="184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shares that may yet be</w:t>
            </w:r>
          </w:p>
        </w:tc>
      </w:tr>
      <w:tr>
        <w:trPr>
          <w:trHeight w:val="189"/>
        </w:trPr>
        <w:tc>
          <w:tcPr>
            <w:tcW w:w="4540" w:type="dxa"/>
            <w:vAlign w:val="bottom"/>
          </w:tcPr>
          <w:p>
            <w:pPr>
              <w:spacing w:after="0"/>
              <w:rPr>
                <w:sz w:val="16"/>
                <w:szCs w:val="16"/>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Total number of</w:t>
            </w:r>
          </w:p>
        </w:tc>
        <w:tc>
          <w:tcPr>
            <w:tcW w:w="26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color w:val="auto"/>
              </w:rPr>
              <w:t>price paid</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announced plans or</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purchased under the plans or</w:t>
            </w:r>
          </w:p>
        </w:tc>
      </w:tr>
      <w:tr>
        <w:trPr>
          <w:trHeight w:val="243"/>
        </w:trPr>
        <w:tc>
          <w:tcPr>
            <w:tcW w:w="45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shares purchased</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color w:val="auto"/>
                <w:w w:val="99"/>
              </w:rPr>
              <w:t>per share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programs </w:t>
            </w:r>
            <w:r>
              <w:rPr>
                <w:rFonts w:ascii="Times New Roman" w:cs="Times New Roman" w:eastAsia="Times New Roman" w:hAnsi="Times New Roman"/>
                <w:sz w:val="21"/>
                <w:szCs w:val="21"/>
                <w:color w:val="auto"/>
                <w:w w:val="96"/>
                <w:vertAlign w:val="superscript"/>
              </w:rPr>
              <w:t>(1)</w:t>
            </w: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4"/>
              </w:rPr>
              <w:t xml:space="preserve">programs </w:t>
            </w:r>
            <w:r>
              <w:rPr>
                <w:rFonts w:ascii="Times New Roman" w:cs="Times New Roman" w:eastAsia="Times New Roman" w:hAnsi="Times New Roman"/>
                <w:sz w:val="21"/>
                <w:szCs w:val="21"/>
                <w:color w:val="auto"/>
                <w:w w:val="94"/>
                <w:vertAlign w:val="superscript"/>
              </w:rPr>
              <w:t>(1)</w:t>
            </w:r>
          </w:p>
        </w:tc>
      </w:tr>
      <w:tr>
        <w:trPr>
          <w:trHeight w:val="217"/>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gridSpan w:val="4"/>
          </w:tcPr>
          <w:p>
            <w:pPr>
              <w:jc w:val="right"/>
              <w:ind w:right="1596"/>
              <w:spacing w:after="0"/>
              <w:rPr>
                <w:sz w:val="20"/>
                <w:szCs w:val="20"/>
                <w:color w:val="auto"/>
              </w:rPr>
            </w:pPr>
            <w:r>
              <w:rPr>
                <w:rFonts w:ascii="Times New Roman" w:cs="Times New Roman" w:eastAsia="Times New Roman" w:hAnsi="Times New Roman"/>
                <w:sz w:val="16"/>
                <w:szCs w:val="16"/>
                <w:i w:val="1"/>
                <w:iCs w:val="1"/>
                <w:color w:val="auto"/>
              </w:rPr>
              <w:t>(in thousands, except per share and share amounts)</w:t>
            </w:r>
          </w:p>
        </w:tc>
      </w:tr>
      <w:tr>
        <w:trPr>
          <w:trHeight w:val="73"/>
        </w:trPr>
        <w:tc>
          <w:tcPr>
            <w:tcW w:w="4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tcPr>
          <w:p>
            <w:pPr>
              <w:spacing w:after="0"/>
              <w:rPr>
                <w:sz w:val="6"/>
                <w:szCs w:val="6"/>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2024 - July 31, 2024</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519,084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11.38</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519,084</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48,105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497,776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10.31</w:t>
            </w:r>
          </w:p>
        </w:tc>
        <w:tc>
          <w:tcPr>
            <w:tcW w:w="2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497,776</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42,976</w:t>
            </w:r>
          </w:p>
        </w:tc>
      </w:tr>
      <w:tr>
        <w:trPr>
          <w:trHeight w:val="27"/>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2024 - September 30, 2024</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336,810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10.50</w:t>
            </w:r>
          </w:p>
        </w:tc>
        <w:tc>
          <w:tcPr>
            <w:tcW w:w="2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336,810</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39,438</w:t>
            </w:r>
          </w:p>
        </w:tc>
      </w:tr>
      <w:tr>
        <w:trPr>
          <w:trHeight w:val="29"/>
        </w:trPr>
        <w:tc>
          <w:tcPr>
            <w:tcW w:w="4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14, 2022, our Board approved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most recently, extended the expiration of the Repurchase Program through December 31, 2025.</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6, 2024, Matthew Feierstein, our President, entered into a Rule 10b5-1 trading arrangement intended to satisfy the affirmative defense conditions of Rule 10b5-1(c) for the sale of up to 325,000 shares of the Company’s common stock until December 31,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7" w:name="page38"/>
    <w:bookmarkEnd w:id="37"/>
    <w:p>
      <w:pPr>
        <w:ind w:right="9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other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64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6"/>
        </w:trPr>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13"/>
            <w:shd w:val="clear" w:color="auto" w:fill="CCEEFF"/>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Amended and Restated Certificate of Incorporation of EverCommerce Inc</w:t>
              </w:r>
            </w:hyperlink>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Amended and Restated Bylaws of EverCommerce Inc</w:t>
              </w:r>
            </w:hyperlink>
          </w:p>
        </w:tc>
        <w:tc>
          <w:tcPr>
            <w:tcW w:w="820" w:type="dxa"/>
            <w:vAlign w:val="bottom"/>
            <w:tcBorders>
              <w:top w:val="single" w:sz="8" w:color="CCEEFF"/>
            </w:tcBorders>
            <w:gridSpan w:val="8"/>
          </w:tcPr>
          <w:p>
            <w:pPr>
              <w:spacing w:after="0"/>
              <w:rPr>
                <w:sz w:val="16"/>
                <w:szCs w:val="16"/>
                <w:color w:val="auto"/>
              </w:rPr>
            </w:pPr>
          </w:p>
        </w:tc>
        <w:tc>
          <w:tcPr>
            <w:tcW w:w="9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Separation and Release of Claims Agreement by and between EverCommerce Inc.</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2"/>
        </w:trPr>
        <w:tc>
          <w:tcPr>
            <w:tcW w:w="80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3180" w:type="dxa"/>
            <w:vAlign w:val="bottom"/>
            <w:tcBorders>
              <w:top w:val="single" w:sz="8" w:color="0000FF"/>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and Marc Thompson, dated as of August 6, 2024</w:t>
            </w:r>
          </w:p>
        </w:tc>
        <w:tc>
          <w:tcPr>
            <w:tcW w:w="154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640" w:type="dxa"/>
            <w:vAlign w:val="bottom"/>
            <w:tcBorders>
              <w:top w:val="single" w:sz="8" w:color="CCEEFF"/>
            </w:tcBorders>
            <w:gridSpan w:val="14"/>
          </w:tcPr>
          <w:p>
            <w:pPr>
              <w:ind w:left="20"/>
              <w:spacing w:after="0"/>
              <w:rPr>
                <w:sz w:val="20"/>
                <w:szCs w:val="20"/>
                <w:color w:val="auto"/>
              </w:rPr>
            </w:pPr>
            <w:r>
              <w:rPr>
                <w:rFonts w:ascii="Times New Roman" w:cs="Times New Roman" w:eastAsia="Times New Roman" w:hAnsi="Times New Roman"/>
                <w:sz w:val="16"/>
                <w:szCs w:val="16"/>
                <w:color w:val="0000FF"/>
              </w:rPr>
              <w:t>Employment Agreement by and between EverCommerce Solutions Inc. and Ryan</w:t>
            </w: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4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rPr>
              <w:t>Siurek, dated as of August 6, 2024</w:t>
            </w:r>
          </w:p>
        </w:tc>
        <w:tc>
          <w:tcPr>
            <w:tcW w:w="2480" w:type="dxa"/>
            <w:vAlign w:val="bottom"/>
            <w:tcBorders>
              <w:top w:val="single" w:sz="8" w:color="0000FF"/>
            </w:tcBorders>
            <w:gridSpan w:val="4"/>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w:t>
            </w:r>
          </w:p>
        </w:tc>
      </w:tr>
      <w:tr>
        <w:trPr>
          <w:trHeight w:val="48"/>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3"/>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60" w:type="dxa"/>
            <w:vAlign w:val="bottom"/>
            <w:tcBorders>
              <w:bottom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560" w:type="dxa"/>
            <w:vAlign w:val="bottom"/>
            <w:tcBorders>
              <w:bottom w:val="single" w:sz="8" w:color="CCEEFF"/>
            </w:tcBorders>
            <w:gridSpan w:val="4"/>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6"/>
                <w:szCs w:val="16"/>
                <w:color w:val="auto"/>
              </w:rPr>
            </w:pPr>
          </w:p>
        </w:tc>
        <w:tc>
          <w:tcPr>
            <w:tcW w:w="56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700" w:type="dxa"/>
            <w:vAlign w:val="bottom"/>
            <w:tcBorders>
              <w:top w:val="single" w:sz="8" w:color="CCEEFF"/>
            </w:tcBorders>
            <w:gridSpan w:val="6"/>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2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562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XBRL document.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6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6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6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6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6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2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Exhibit 101)</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329" w:lineRule="exact"/>
        <w:rPr>
          <w:sz w:val="20"/>
          <w:szCs w:val="20"/>
          <w:color w:val="auto"/>
        </w:rPr>
      </w:pPr>
    </w:p>
    <w:p>
      <w:pPr>
        <w:ind w:left="20"/>
        <w:spacing w:after="0"/>
        <w:tabs>
          <w:tab w:leader="none" w:pos="6400" w:val="left"/>
          <w:tab w:leader="none" w:pos="8540" w:val="left"/>
        </w:tabs>
        <w:rPr>
          <w:sz w:val="20"/>
          <w:szCs w:val="20"/>
          <w:color w:val="auto"/>
        </w:rPr>
      </w:pPr>
      <w:r>
        <w:rPr>
          <w:rFonts w:ascii="Times New Roman" w:cs="Times New Roman" w:eastAsia="Times New Roman" w:hAnsi="Times New Roman"/>
          <w:sz w:val="18"/>
          <w:szCs w:val="18"/>
          <w:b w:val="1"/>
          <w:bCs w:val="1"/>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400" w:val="left"/>
          <w:tab w:leader="none" w:pos="8400" w:val="left"/>
        </w:tabs>
        <w:rPr>
          <w:sz w:val="20"/>
          <w:szCs w:val="20"/>
          <w:color w:val="auto"/>
        </w:rPr>
      </w:pPr>
      <w:r>
        <w:rPr>
          <w:rFonts w:ascii="Times New Roman" w:cs="Times New Roman" w:eastAsia="Times New Roman" w:hAnsi="Times New Roman"/>
          <w:sz w:val="18"/>
          <w:szCs w:val="18"/>
          <w:b w:val="1"/>
          <w:bCs w:val="1"/>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Ryan H. Siurek</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6,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Marc Thompson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23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Separation and Release of Claims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Marc:</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sets forth the understanding by and between you and EverCommerce Inc. (collectively with its direct and indirect subsidiaries, and any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regarding the cessation of your employment with the Company and the transition of your role as Chief Financial Officer of the Company.</w:t>
      </w:r>
    </w:p>
    <w:p>
      <w:pPr>
        <w:spacing w:after="0" w:line="18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 and Transition Services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2"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have mutually agreed that your active employment with the Company will terminate on September 6, 2024 (such date, or such earlier date as is mutually agreed to by you and the Company, the “</w:t>
      </w:r>
      <w:r>
        <w:rPr>
          <w:rFonts w:ascii="Times New Roman" w:cs="Times New Roman" w:eastAsia="Times New Roman" w:hAnsi="Times New Roman"/>
          <w:sz w:val="21"/>
          <w:szCs w:val="21"/>
          <w:u w:val="single" w:color="auto"/>
          <w:color w:val="auto"/>
        </w:rPr>
        <w:t>Separation Date</w:t>
      </w:r>
      <w:r>
        <w:rPr>
          <w:rFonts w:ascii="Times New Roman" w:cs="Times New Roman" w:eastAsia="Times New Roman" w:hAnsi="Times New Roman"/>
          <w:sz w:val="21"/>
          <w:szCs w:val="21"/>
          <w:color w:val="auto"/>
        </w:rPr>
        <w:t>”) and, as of the Separation Date, you will cease to be an employee of the Company and its direct and indirect subsidiaries. Until the Separation Date, that certain Employment Agreement by and between the Company and you, dated as of June 28, 2021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will continue to control with respect to your salary, benefits and other matters with respect to your employment with the Company. In addition, during the period commencing as of the date first written above until the Separation Date, you agree that you will (a) continue to perform your duties as Chief Financial Officer of the Company consistent with past practice unless otherwise directed by the Board of Directors of EverCommerce Inc.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(b) use your reasonable best efforts to advance the interests of the Company and facilitate the successful transition of your responsibilities to the individual who succeeds you as Chief Financial Officer, in whatever reasonable capacity may be requested by the Board. You agree that you will communicate a message consistent with the Board’s direction to key employees, investors, analysts, customers, suppliers, and other relevant third parties relating to your separation from the Company. You acknowledge and agree that you hereby resign from all other offices, directorships, and committees you may hold at the Company and its subsidiaries (including without limitation, as Chief Financial Officer), effective as of the Separation Date.</w:t>
      </w:r>
    </w:p>
    <w:p>
      <w:pPr>
        <w:spacing w:after="0" w:line="171"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Benefits</w:t>
      </w:r>
      <w:r>
        <w:rPr>
          <w:rFonts w:ascii="Times New Roman" w:cs="Times New Roman" w:eastAsia="Times New Roman" w:hAnsi="Times New Roman"/>
          <w:sz w:val="22"/>
          <w:szCs w:val="22"/>
          <w:color w:val="auto"/>
        </w:rPr>
        <w:t>. Subject to (and in consideration for): (a) your compliance with Section 1 above through the Separation Date, (b) your timely execution and return to the Company, non-revocation of, and compliance with the Waiver and Release of Claims Agreement attached hereto as Exhibit A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(c) your compliance with the Restrictive Covenants (as defined in Section 3 below), the Company will provide you with the severance payments and benefits set forth below, as if your employment was terminated by the Company without Cause (as defined in the Employment Agreement), which shall be subject to the terms of the Employment Agreement and modified as follows: (A) an amount equal to twelve (12) months of your annual base salary at the rate in effect as of the Separation Date, or $425,000, less applicable withholdings and deductions, paid in a lump sum within sixty (60) days of the</w:t>
      </w:r>
    </w:p>
    <w:p>
      <w:pPr>
        <w:sectPr>
          <w:pgSz w:w="11900" w:h="16838" w:orient="portrait"/>
          <w:cols w:equalWidth="0" w:num="1">
            <w:col w:w="11240"/>
          </w:cols>
          <w:pgMar w:left="320" w:top="122" w:right="339" w:bottom="1440" w:gutter="0" w:footer="0" w:header="0"/>
        </w:sectPr>
      </w:pPr>
    </w:p>
    <w:bookmarkStart w:id="40" w:name="page41"/>
    <w:bookmarkEnd w:id="40"/>
    <w:p>
      <w:pPr>
        <w:ind w:left="98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154305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Separation Date, (B) a pro-rated portion (based on the number of days you were employed by the Company during 2024) of your target annual bonus for 2024, payable in a lump sum sixty (60) days following the Separation Date, less applicable withholdings and deductions, (C) (x) any time-based vesting criteria of your unvested equity awards which are outstanding on the Separation Date and which would have become satisfied in the twelve (12) months following September 6, 2024 will be deemed satisfied as of such date, and (y)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the Separation Date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the earlier of the last day of the applicable performance period or the twelve (12) month anniversary of the Separation Date will be automatically forfeited without payment therefor as of the date of such twelve (12) month anniversary), (D) the Company hereby amends the post-termination exercise period of any outstanding stock options held by you under the Company’s equity incentive plans through the first anniversary of the Separation Date, and (E) an amount equal to the cost of 12 months of the Company-paid portion of premium payments, as if you had remained an active employee, for any COBRA coverage under the Company’s group health plans (which for the avoidance of doubt will be based on the coverage levels in effect immediately prior to the Separation Date), and which shall be payable in a lump sum within sixty (60) days of the Separation Date (for the avoidance of doubt, you will be entitled to elect continued coverage under COBRA on a full self-pay basis to the extent eligible under COBRA) (the payments and benefits set forth in this paragraph 2, collectively, the “Separation Benefits”).</w:t>
      </w:r>
    </w:p>
    <w:p>
      <w:pPr>
        <w:spacing w:after="0" w:line="197" w:lineRule="exact"/>
        <w:rPr>
          <w:sz w:val="20"/>
          <w:szCs w:val="20"/>
          <w:color w:val="auto"/>
        </w:rPr>
      </w:pPr>
    </w:p>
    <w:p>
      <w:pPr>
        <w:jc w:val="both"/>
        <w:ind w:firstLine="656"/>
        <w:spacing w:after="0" w:line="251"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You acknowledge that the Company is providing you with the Separation Benefits in material part in consideration for your reaffirmation of your prior agreement to comply with the continuing restrictive covenants set forth in Sections 5 and 6 of the Employment Agreement and your agreement to comply with any restrictive covenants in any other written agreement with the Company providing for restrictive covenant obligations to the maximum extent provided by applicable law, including without limitation, Section 3 of the Release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and that no Separation Benefits will be made following the date that you first violate any of the Restrictive Covenants.</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 Separation Benefits are contingent upon and subject to your timely execution and return to the Company of the Release no earlier than the Separation Date and no later than twenty-one (21) days after your receipt of this letter, in accordance with Section 3.2(a)(iii) of the Employment Agreement and your non-revocation and compliance with the Release.</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xml:space="preserve"> Employee hereby acknowledges and agrees that, except for Employee’s base pay through the Separation Date and any payments owed to Employee under this Letter Agreement, Employee has been paid all wages, bonuses,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13335</wp:posOffset>
            </wp:positionV>
            <wp:extent cx="154305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from the Company and has no right to any additional wages, bonuses, compensation or benefits from the Company or any Released Parties.</w:t>
      </w:r>
    </w:p>
    <w:p>
      <w:pPr>
        <w:spacing w:after="0" w:line="158" w:lineRule="exact"/>
        <w:rPr>
          <w:sz w:val="20"/>
          <w:szCs w:val="20"/>
          <w:color w:val="auto"/>
        </w:rPr>
      </w:pPr>
    </w:p>
    <w:p>
      <w:pPr>
        <w:jc w:val="both"/>
        <w:ind w:firstLine="656"/>
        <w:spacing w:after="0" w:line="250"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Letter Agreement sets forth the entire agreement between you and the Company with respect to the subject matter set forth herein and supersedes and replaces any and all prior oral or written agreements or understandings between you and the Company with respect to the subject matter hereof; provided, that, for the avoidance of doubt, (a) you will retain your rights under the terms of the Employment Agreement through the date on which all payments or benefits required to be provided thereunder have been made or provided in their entirety, except to the extent such terms result in duplication of compensation or benefits to you, and (b) the provisions of the Employment Agreement which by their terms survive termination of employment will remain in full force and effect in accordance with their terms (as may be amended by this Letter Agreement). This Letter Agreement may be amended only by a subsequent writing signed by both parties. You represent that you have signed this Letter Agreement knowingly and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Please indicate your acceptance of the terms and provisions of this Letter Agreement by signing both copies of this Letter Agreement and returning one copy to me. The other copy is for your files. By signing below, you acknowledge and agree that you have carefully read this Letter Agreement; fully understand and agree to its terms and provisions; have been hereby advised to consult with an attorney prior to executing this Agreement; will comply with the Restrictive Covenants; and intend and agree that this Letter Agreement is final and legally binding on you and the Company. All payments described in this Letter Agreement will be subject to the withholding of any amounts required by federal, state or local law. This Letter Agreement will be governed and construed under the internal laws of the Commonwealth of Massachusetts and may be executed in several counterparts.</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Eric Remer</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Eric Remer</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On behalf of EverCommerce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Transition and Release of Claims Agreement</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agree to, acknowledge and accept the terms of the Letter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Marc Thompson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 Thompson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Transition and Release of Claims Agreement</w:t>
      </w:r>
    </w:p>
    <w:p>
      <w:pPr>
        <w:sectPr>
          <w:pgSz w:w="11900" w:h="16838" w:orient="portrait"/>
          <w:cols w:equalWidth="0" w:num="1">
            <w:col w:w="11240"/>
          </w:cols>
          <w:pgMar w:left="320" w:top="122" w:right="339" w:bottom="1440" w:gutter="0" w:footer="0" w:header="0"/>
        </w:sectPr>
      </w:pPr>
    </w:p>
    <w:bookmarkStart w:id="44" w:name="page45"/>
    <w:bookmarkEnd w:id="44"/>
    <w:p>
      <w:pPr>
        <w:ind w:left="98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20955</wp:posOffset>
            </wp:positionV>
            <wp:extent cx="154305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 Agreement</w:t>
      </w:r>
    </w:p>
    <w:p>
      <w:pPr>
        <w:spacing w:after="0" w:line="214" w:lineRule="exact"/>
        <w:rPr>
          <w:sz w:val="20"/>
          <w:szCs w:val="20"/>
          <w:color w:val="auto"/>
        </w:rPr>
      </w:pPr>
    </w:p>
    <w:p>
      <w:pPr>
        <w:jc w:val="both"/>
        <w:ind w:left="100" w:right="100" w:firstLine="647"/>
        <w:spacing w:after="0" w:line="266" w:lineRule="auto"/>
        <w:rPr>
          <w:sz w:val="20"/>
          <w:szCs w:val="20"/>
          <w:color w:val="auto"/>
        </w:rPr>
      </w:pPr>
      <w:r>
        <w:rPr>
          <w:rFonts w:ascii="Times New Roman" w:cs="Times New Roman" w:eastAsia="Times New Roman" w:hAnsi="Times New Roman"/>
          <w:sz w:val="22"/>
          <w:szCs w:val="22"/>
          <w:color w:val="auto"/>
        </w:rPr>
        <w:t>This General Release of Claims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made by Marc Thompson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in favor of EverCommerce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(as defined below), as of the date of Executive’s execution of this Release.</w:t>
      </w:r>
    </w:p>
    <w:p>
      <w:pPr>
        <w:spacing w:after="0" w:line="164" w:lineRule="exact"/>
        <w:rPr>
          <w:sz w:val="20"/>
          <w:szCs w:val="20"/>
          <w:color w:val="auto"/>
        </w:rPr>
      </w:pPr>
    </w:p>
    <w:p>
      <w:pPr>
        <w:jc w:val="both"/>
        <w:ind w:firstLine="1224"/>
        <w:spacing w:after="0" w:line="258" w:lineRule="auto"/>
        <w:tabs>
          <w:tab w:leader="none" w:pos="1931"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by Executive</w:t>
      </w:r>
      <w:r>
        <w:rPr>
          <w:rFonts w:ascii="Times New Roman" w:cs="Times New Roman" w:eastAsia="Times New Roman" w:hAnsi="Times New Roman"/>
          <w:sz w:val="21"/>
          <w:szCs w:val="21"/>
          <w:color w:val="auto"/>
        </w:rPr>
        <w:t>. In exchange for the benefits set forth in the certain Letter Agreement entered into by and between the Company and Executive, dated as of August 6, 2024,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to which this Release is an exhibit, which are conditioned on Executive signing this Release, and to which Executive is not otherwise entitled, and for other good and valuable consideration, the receipt and adequacy of which are hereby acknowledged, Executive, his heirs, executors, administrators, beneficiaries, representatives, assigns and successors, and all others connected with or claiming through Executive, fully and forever agree to release and discharge the Company and the Company’s parent and subsidiary corporations, and all of their respective past, present and future employee benefit plans, joint venturers, predecessors, successors, assigns, employees, officers, directors, shareholders, administrators, trustees, agents, representatives, and consultants, and all those connected with any of them, in their official and personal capacities (hereinafter the “</w:t>
      </w:r>
      <w:r>
        <w:rPr>
          <w:rFonts w:ascii="Times New Roman" w:cs="Times New Roman" w:eastAsia="Times New Roman" w:hAnsi="Times New Roman"/>
          <w:sz w:val="21"/>
          <w:szCs w:val="21"/>
          <w:b w:val="1"/>
          <w:bCs w:val="1"/>
          <w:i w:val="1"/>
          <w:iCs w:val="1"/>
          <w:color w:val="auto"/>
        </w:rPr>
        <w:t>Releasees</w:t>
      </w:r>
      <w:r>
        <w:rPr>
          <w:rFonts w:ascii="Times New Roman" w:cs="Times New Roman" w:eastAsia="Times New Roman" w:hAnsi="Times New Roman"/>
          <w:sz w:val="21"/>
          <w:szCs w:val="21"/>
          <w:color w:val="auto"/>
        </w:rPr>
        <w:t>”) from any and all manner of claims, liabilities and actions, causes of action, in law or in equity, demands, suits, rights, or damages of any kind or nature, whether known or unknown, fixed or contingent (hereinafter called “</w:t>
      </w:r>
      <w:r>
        <w:rPr>
          <w:rFonts w:ascii="Times New Roman" w:cs="Times New Roman" w:eastAsia="Times New Roman" w:hAnsi="Times New Roman"/>
          <w:sz w:val="21"/>
          <w:szCs w:val="21"/>
          <w:b w:val="1"/>
          <w:bCs w:val="1"/>
          <w:i w:val="1"/>
          <w:iCs w:val="1"/>
          <w:color w:val="auto"/>
        </w:rPr>
        <w:t>Claims</w:t>
      </w:r>
      <w:r>
        <w:rPr>
          <w:rFonts w:ascii="Times New Roman" w:cs="Times New Roman" w:eastAsia="Times New Roman" w:hAnsi="Times New Roman"/>
          <w:sz w:val="21"/>
          <w:szCs w:val="21"/>
          <w:color w:val="auto"/>
        </w:rPr>
        <w:t>”), that Executive now has or may hereafter have against the Releasees arising out of, connected with or relating to Executive’s employment by the Company and/or other relationship with the Company, or the termination of Executive’s employment and/or other relationship, by reason of any and all acts, omissions, events or facts occurring or existing prior to Executive’s execution of this Release. The Claims released hereunder, including without limitation, any claim of wrongful discharge, breach of contract, breach of the covenant of good faith and fair dealing, violation of public policy, defamation, discrimination, personal injury, physical injury, emotional distress, claims under the Age Discrimination in Employment Act, as amended, 29 U.S.C. § 621 et seq. (“</w:t>
      </w:r>
      <w:r>
        <w:rPr>
          <w:rFonts w:ascii="Times New Roman" w:cs="Times New Roman" w:eastAsia="Times New Roman" w:hAnsi="Times New Roman"/>
          <w:sz w:val="21"/>
          <w:szCs w:val="21"/>
          <w:b w:val="1"/>
          <w:bCs w:val="1"/>
          <w:i w:val="1"/>
          <w:iCs w:val="1"/>
          <w:color w:val="auto"/>
        </w:rPr>
        <w:t>ADEA</w:t>
      </w:r>
      <w:r>
        <w:rPr>
          <w:rFonts w:ascii="Times New Roman" w:cs="Times New Roman" w:eastAsia="Times New Roman" w:hAnsi="Times New Roman"/>
          <w:sz w:val="21"/>
          <w:szCs w:val="21"/>
          <w:color w:val="auto"/>
        </w:rPr>
        <w:t>”); the Older Workers’ Protection Benefit Act of 1990; Title VII of the Civil Rights Act of 1964, as amended, by the Civil Rights Act of 1991, 42 U.S.C.</w:t>
      </w:r>
    </w:p>
    <w:p>
      <w:pPr>
        <w:spacing w:after="0" w:line="8" w:lineRule="exact"/>
        <w:rPr>
          <w:rFonts w:ascii="Times New Roman" w:cs="Times New Roman" w:eastAsia="Times New Roman" w:hAnsi="Times New Roman"/>
          <w:sz w:val="21"/>
          <w:szCs w:val="21"/>
          <w:color w:val="auto"/>
        </w:rPr>
      </w:pPr>
    </w:p>
    <w:p>
      <w:pPr>
        <w:jc w:val="both"/>
        <w:ind w:firstLine="8"/>
        <w:spacing w:after="0" w:line="246" w:lineRule="auto"/>
        <w:tabs>
          <w:tab w:leader="none" w:pos="17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w:t>
      </w:r>
      <w:r>
        <w:rPr>
          <w:rFonts w:ascii="Times New Roman" w:cs="Times New Roman" w:eastAsia="Times New Roman" w:hAnsi="Times New Roman"/>
          <w:sz w:val="22"/>
          <w:szCs w:val="22"/>
          <w:b w:val="1"/>
          <w:bCs w:val="1"/>
          <w:i w:val="1"/>
          <w:iCs w:val="1"/>
          <w:color w:val="auto"/>
        </w:rPr>
        <w:t>WARN</w:t>
      </w:r>
      <w:r>
        <w:rPr>
          <w:rFonts w:ascii="Times New Roman" w:cs="Times New Roman" w:eastAsia="Times New Roman" w:hAnsi="Times New Roman"/>
          <w:sz w:val="22"/>
          <w:szCs w:val="22"/>
          <w:color w:val="auto"/>
        </w:rPr>
        <w:t>”), as amended, 29 U.S.C. § 2101 et seq.; the Fair Labor Standards Act, 29 U.S.C. § 215 et seq.; all claims and rights under the Massachusetts Payment of Wages Law and the Massachusetts Fair Employment Practices Act, Mass. Gen. Laws ch. 151B; Mass. Gen. Laws ch. 149, §§ 148-150C;and any federal, state or local laws of similar effect.</w:t>
      </w:r>
    </w:p>
    <w:p>
      <w:pPr>
        <w:spacing w:after="0" w:line="199" w:lineRule="exact"/>
        <w:rPr>
          <w:rFonts w:ascii="Times New Roman" w:cs="Times New Roman" w:eastAsia="Times New Roman" w:hAnsi="Times New Roman"/>
          <w:sz w:val="22"/>
          <w:szCs w:val="22"/>
          <w:color w:val="auto"/>
        </w:rPr>
      </w:pPr>
    </w:p>
    <w:p>
      <w:pPr>
        <w:jc w:val="both"/>
        <w:ind w:firstLine="1224"/>
        <w:spacing w:after="0" w:line="257" w:lineRule="auto"/>
        <w:tabs>
          <w:tab w:leader="none" w:pos="193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This Release shall not apply to: the Company’s obligations to provide the separation benefits under Section 2 of the Agreement; Executive’s right to bring any action to enforce the terms of same or of this Release; Executive’s right to</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indemnification under any applicable indemnification policy of the Company, including without limitation, any general liability or “directors and officers” insurance policy, any shareholders or other agreement with the Company (including pursuant to any individual indemnification agreement), the Company’s governing documents or applicable law; Executive’s right to assert claims for workers’ compensation or unemployment benefits; Executive’s right to bring to the attention of the Equal Employment Opportunity Commission (“</w:t>
      </w:r>
      <w:r>
        <w:rPr>
          <w:rFonts w:ascii="Times New Roman" w:cs="Times New Roman" w:eastAsia="Times New Roman" w:hAnsi="Times New Roman"/>
          <w:sz w:val="21"/>
          <w:szCs w:val="21"/>
          <w:b w:val="1"/>
          <w:bCs w:val="1"/>
          <w:i w:val="1"/>
          <w:iCs w:val="1"/>
          <w:color w:val="auto"/>
        </w:rPr>
        <w:t>EEOC</w:t>
      </w:r>
      <w:r>
        <w:rPr>
          <w:rFonts w:ascii="Times New Roman" w:cs="Times New Roman" w:eastAsia="Times New Roman" w:hAnsi="Times New Roman"/>
          <w:sz w:val="21"/>
          <w:szCs w:val="21"/>
          <w:color w:val="auto"/>
        </w:rPr>
        <w:t>”) or any analogous state agency claims of discrimination, harassment or retaliation (provided, however, that Executive hereby agrees to waive Executive’s right to recover monetary damages or other individual relief in any such charge, investigation or proceeding or any related complaint or lawsuit filed by Executive or anyone else on Executive’s behalf), to the extent required by law; any right to communicate directly with, cooperate with, or provide information to, any federal, state or local government regulator; any right to file an unfair labor practice charge under the National Labor Relations Act (“</w:t>
      </w:r>
      <w:r>
        <w:rPr>
          <w:rFonts w:ascii="Times New Roman" w:cs="Times New Roman" w:eastAsia="Times New Roman" w:hAnsi="Times New Roman"/>
          <w:sz w:val="21"/>
          <w:szCs w:val="21"/>
          <w:b w:val="1"/>
          <w:bCs w:val="1"/>
          <w:i w:val="1"/>
          <w:iCs w:val="1"/>
          <w:color w:val="auto"/>
        </w:rPr>
        <w:t>NLRA</w:t>
      </w:r>
      <w:r>
        <w:rPr>
          <w:rFonts w:ascii="Times New Roman" w:cs="Times New Roman" w:eastAsia="Times New Roman" w:hAnsi="Times New Roman"/>
          <w:sz w:val="21"/>
          <w:szCs w:val="21"/>
          <w:color w:val="auto"/>
        </w:rPr>
        <w:t>”); Executive’s vested rights under any retirement or welfare benefit plan of the Company; any rights Executive may have to benefits under the Company’s standard benefit programs; Executive’s rights in his or her capacity as an equity holder of the Company; Executive’s right to receive payment for accrued salary and any earned but unpaid annual bonus with respect to the year prior to the year in which Executive’s date of termination of employment occurs for services rendered through Executive’s last day of employment, and reimbursement for travel and business expenses properly incurred prior to the separation date, but unreimbursed; or any other rights that may not be waived by an employee under applicable law.</w:t>
      </w:r>
    </w:p>
    <w:p>
      <w:pPr>
        <w:spacing w:after="0" w:line="200" w:lineRule="exact"/>
        <w:rPr>
          <w:sz w:val="20"/>
          <w:szCs w:val="20"/>
          <w:color w:val="auto"/>
        </w:rPr>
      </w:pPr>
    </w:p>
    <w:p>
      <w:pPr>
        <w:spacing w:after="0" w:line="223" w:lineRule="exact"/>
        <w:rPr>
          <w:sz w:val="20"/>
          <w:szCs w:val="20"/>
          <w:color w:val="auto"/>
        </w:rPr>
      </w:pPr>
    </w:p>
    <w:p>
      <w:pPr>
        <w:jc w:val="both"/>
        <w:ind w:left="100" w:firstLine="1214"/>
        <w:spacing w:after="0" w:line="247" w:lineRule="auto"/>
        <w:tabs>
          <w:tab w:leader="none" w:pos="195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In signing and not revoking this Release and accepting the consideration set forth in Section 2 of the Agreement (to which Executive would otherwise not be entitled), Executive agrees to the post-employment obligation set forth in this Section 3. To protect any Confidential Information (as defined below) that Executive has or had access to and knowledge of during Executive’s employment, Executive agrees that for a period of one (1) year immediately following the date of Executive’s termination of employment with the Company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Executive will not directly engage in (whether as an employee, consultant, proprietor, partner, director or otherwise), or have any material ownership interest in, or participate in the operation, management or control of, any person, firm, corporation or business that competes with the Company and its subsidiaries in a “Restricted Business” in a “Restricted Territory” (each as defined below), in each case involving any of the services Executive provided to the Company at any time during Executive’s employment with the Company or, during the last two (2) years of Executive’s employment with the Company starting on the date of Executive’s termination of employment with the Company. It is agreed that passive ownership of (i) no more than one percent (1%) of the outstanding voting stock of a publicly traded corporation, or (ii) any stock Executive presently owns or any stock Executive acquires without breaching this Release through an investment directed by Executive of up to an aggregate of $1,000,000 in any entity (based on the fair market value at the time of acquisition) will not constitute a violation of this provision. Notwithstanding the foregoing, nothing herein shall prevent Executive from working during the post-employment portion of the Restricted Period for Silver Lake Technology Management, L.L.C. or any of its affiliates, Providence Strategic Growth Capital Partners LLC or any of its affiliates, or any private equity or venture finance firm that makes investments in a Restricted Business; provided Executive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13335</wp:posOffset>
            </wp:positionV>
            <wp:extent cx="154305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assume an operational role in any Restricted Business, or otherwise provide any services as an employee or director of any Restricted Business or provide any services as a consultant to any Restricted Business in a manner that is directly competitive with the Company and its subsidiaries. The term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Release or the Agreement by Executive. The term “Restricted Business” means any business conducted by the Company and its subsidiaries at any time during Executive’s employment with the Company, and with respect to the portion of the Restricted Period that follows the termination of Executive’s employment, “</w:t>
      </w:r>
      <w:r>
        <w:rPr>
          <w:rFonts w:ascii="Times New Roman" w:cs="Times New Roman" w:eastAsia="Times New Roman" w:hAnsi="Times New Roman"/>
          <w:sz w:val="22"/>
          <w:szCs w:val="22"/>
          <w:b w:val="1"/>
          <w:bCs w:val="1"/>
          <w:i w:val="1"/>
          <w:i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any business conducted by the Company and its subsidiaries during Executive’s last two (2) years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employment with the Company starting on the date of Executive’s termination of employment with the Company. The term “</w:t>
      </w:r>
      <w:r>
        <w:rPr>
          <w:rFonts w:ascii="Times New Roman" w:cs="Times New Roman" w:eastAsia="Times New Roman" w:hAnsi="Times New Roman"/>
          <w:sz w:val="22"/>
          <w:szCs w:val="22"/>
          <w:b w:val="1"/>
          <w:bCs w:val="1"/>
          <w:i w:val="1"/>
          <w:iCs w:val="1"/>
          <w:color w:val="auto"/>
        </w:rPr>
        <w:t>Restricted Territory</w:t>
      </w:r>
      <w:r>
        <w:rPr>
          <w:rFonts w:ascii="Times New Roman" w:cs="Times New Roman" w:eastAsia="Times New Roman" w:hAnsi="Times New Roman"/>
          <w:sz w:val="22"/>
          <w:szCs w:val="22"/>
          <w:color w:val="auto"/>
        </w:rPr>
        <w:t>” means any state, county, or locality in the United States in which the Company and its subsidiaries conduct business and any other country, city, state, jurisdiction, or territory in which the Company and its subsidiaries do business, in each case, at any time during Executive’s employment or, with respect to the portion of the Restricted Period that follows the termination of Executive’s employment, any geographic area where Executive provided services or had a material presence or influence during Executive’s last two (2) years of employment with the Company starting on the date of Executive’s termination of employment with the Company.</w:t>
      </w:r>
    </w:p>
    <w:p>
      <w:pPr>
        <w:spacing w:after="0" w:line="200" w:lineRule="exact"/>
        <w:rPr>
          <w:sz w:val="20"/>
          <w:szCs w:val="20"/>
          <w:color w:val="auto"/>
        </w:rPr>
      </w:pPr>
    </w:p>
    <w:p>
      <w:pPr>
        <w:spacing w:after="0" w:line="247" w:lineRule="exact"/>
        <w:rPr>
          <w:sz w:val="20"/>
          <w:szCs w:val="20"/>
          <w:color w:val="auto"/>
        </w:rPr>
      </w:pPr>
    </w:p>
    <w:p>
      <w:pPr>
        <w:ind w:right="440" w:firstLine="1214"/>
        <w:spacing w:after="0" w:line="287" w:lineRule="auto"/>
        <w:tabs>
          <w:tab w:leader="none" w:pos="185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Older Worker’s Benefit Protection Act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accordance with the Older Worker’s Benefit Protection Act, Executive is hereby advised as follows:</w:t>
      </w:r>
    </w:p>
    <w:p>
      <w:pPr>
        <w:spacing w:after="0" w:line="141" w:lineRule="exact"/>
        <w:rPr>
          <w:rFonts w:ascii="Times New Roman" w:cs="Times New Roman" w:eastAsia="Times New Roman" w:hAnsi="Times New Roman"/>
          <w:sz w:val="22"/>
          <w:szCs w:val="22"/>
          <w:color w:val="auto"/>
        </w:rPr>
      </w:pPr>
    </w:p>
    <w:p>
      <w:pPr>
        <w:jc w:val="both"/>
        <w:ind w:firstLine="1617"/>
        <w:spacing w:after="0" w:line="257" w:lineRule="auto"/>
        <w:tabs>
          <w:tab w:leader="none" w:pos="249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read this Release and understands its terms and effect, including the fact that Executive is agreeing to release and forever discharge the Company and each of the Releasees from any Claims released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140"/>
          </w:cols>
          <w:pgMar w:left="420" w:top="12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00" w:firstLine="1617"/>
        <w:spacing w:after="0" w:line="257" w:lineRule="auto"/>
        <w:tabs>
          <w:tab w:leader="none" w:pos="259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by entering into this Release, Executive does not waive any Claims that may arise after the date of Executive’s execution of this Release, including without limitation any rights or claims that Executive may have to secure enforcement of the terms and conditions of this Release.</w:t>
      </w:r>
    </w:p>
    <w:p>
      <w:pPr>
        <w:spacing w:after="0" w:line="186" w:lineRule="exact"/>
        <w:rPr>
          <w:rFonts w:ascii="Times New Roman" w:cs="Times New Roman" w:eastAsia="Times New Roman" w:hAnsi="Times New Roman"/>
          <w:sz w:val="22"/>
          <w:szCs w:val="22"/>
          <w:color w:val="auto"/>
        </w:rPr>
      </w:pPr>
    </w:p>
    <w:p>
      <w:pPr>
        <w:jc w:val="both"/>
        <w:ind w:left="100" w:firstLine="1617"/>
        <w:spacing w:after="0" w:line="257" w:lineRule="auto"/>
        <w:tabs>
          <w:tab w:leader="none" w:pos="25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signed this Release voluntarily and knowingly in exchange for the consideration described in this Release, which Executive acknowledges is adequate and satisfactory to Executive and in addition to any other benefits to which Executive is otherwise entitled.</w:t>
      </w:r>
    </w:p>
    <w:p>
      <w:pPr>
        <w:spacing w:after="0" w:line="172" w:lineRule="exact"/>
        <w:rPr>
          <w:rFonts w:ascii="Times New Roman" w:cs="Times New Roman" w:eastAsia="Times New Roman" w:hAnsi="Times New Roman"/>
          <w:sz w:val="22"/>
          <w:szCs w:val="22"/>
          <w:color w:val="auto"/>
        </w:rPr>
      </w:pPr>
    </w:p>
    <w:p>
      <w:pPr>
        <w:ind w:left="2580" w:hanging="863"/>
        <w:spacing w:after="0"/>
        <w:tabs>
          <w:tab w:leader="none" w:pos="25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Executive to consult with an attorney prior to executing this Release.</w:t>
      </w:r>
    </w:p>
    <w:p>
      <w:pPr>
        <w:spacing w:after="0" w:line="219" w:lineRule="exact"/>
        <w:rPr>
          <w:rFonts w:ascii="Times New Roman" w:cs="Times New Roman" w:eastAsia="Times New Roman" w:hAnsi="Times New Roman"/>
          <w:sz w:val="22"/>
          <w:szCs w:val="22"/>
          <w:color w:val="auto"/>
        </w:rPr>
      </w:pPr>
    </w:p>
    <w:p>
      <w:pPr>
        <w:jc w:val="both"/>
        <w:ind w:left="100" w:firstLine="1617"/>
        <w:spacing w:after="0" w:line="253" w:lineRule="auto"/>
        <w:tabs>
          <w:tab w:leader="none" w:pos="25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twenty-one (21) days to review and decide whether or not to sign this Release. If Executive signs this Release prior to the expiration of such period, Executive acknowledges that Executive has done so voluntarily, had sufficient time to consider the Release, to consult with counsel and that Executive does not desire additional time and hereby waives the remainder of the twenty-one (21) day period. In the event of any changes to this Release, whether or not material, Executive waives the restarting of the twenty-one (21) day period.</w:t>
      </w:r>
    </w:p>
    <w:p>
      <w:pPr>
        <w:spacing w:after="0" w:line="179" w:lineRule="exact"/>
        <w:rPr>
          <w:sz w:val="20"/>
          <w:szCs w:val="20"/>
          <w:color w:val="auto"/>
        </w:rPr>
      </w:pPr>
    </w:p>
    <w:p>
      <w:pPr>
        <w:jc w:val="both"/>
        <w:ind w:firstLine="1701"/>
        <w:spacing w:after="0" w:line="241" w:lineRule="auto"/>
        <w:rPr>
          <w:sz w:val="20"/>
          <w:szCs w:val="20"/>
          <w:color w:val="auto"/>
        </w:rPr>
      </w:pPr>
      <w:r>
        <w:rPr>
          <w:rFonts w:ascii="Times New Roman" w:cs="Times New Roman" w:eastAsia="Times New Roman" w:hAnsi="Times New Roman"/>
          <w:sz w:val="22"/>
          <w:szCs w:val="22"/>
          <w:color w:val="auto"/>
        </w:rPr>
        <w:t>(f)Executive has seven (7) days after signing this Release to revoke this Release (including, without limitation Section 3 of this Release above) and this Release will become effective upon the expiration of that revocation period. If Executive revokes this Release during such seven (7)-day period, this Release will be null and void and of no force or effect on either the Company or Executive and Executive will not be entitled to any of the payments or benefits which are expressly conditioned upon the execution and non-revocation of this Release. If Executive wishes to revoke this Release, Executive shall deliver written notice stating his or her intent to revoke this Release to Lisa Storey, Chief Legal Officer, at 3601 Walnut St suite 400 Denver CO 80205 or lstorey@evercommerce.com, on or before 5:00 p.m. on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date on which Executive signs this Release.</w:t>
      </w:r>
    </w:p>
    <w:p>
      <w:pPr>
        <w:spacing w:after="0" w:line="220" w:lineRule="exact"/>
        <w:rPr>
          <w:sz w:val="20"/>
          <w:szCs w:val="20"/>
          <w:color w:val="auto"/>
        </w:rPr>
      </w:pPr>
    </w:p>
    <w:p>
      <w:pPr>
        <w:ind w:left="1700" w:hanging="386"/>
        <w:spacing w:after="0"/>
        <w:tabs>
          <w:tab w:leader="none" w:pos="17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00" w:right="80" w:firstLine="1617"/>
        <w:spacing w:after="0" w:line="257" w:lineRule="auto"/>
        <w:tabs>
          <w:tab w:leader="none" w:pos="25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there has been no assignment or other transfer of any interest in any Claim which he or she may have against Releasees, or any of them, based on actions occurring prior to the date of this Agreement.</w:t>
      </w:r>
    </w:p>
    <w:p>
      <w:pPr>
        <w:spacing w:after="0" w:line="172" w:lineRule="exact"/>
        <w:rPr>
          <w:rFonts w:ascii="Times New Roman" w:cs="Times New Roman" w:eastAsia="Times New Roman" w:hAnsi="Times New Roman"/>
          <w:sz w:val="22"/>
          <w:szCs w:val="22"/>
          <w:color w:val="auto"/>
        </w:rPr>
      </w:pPr>
    </w:p>
    <w:p>
      <w:pPr>
        <w:jc w:val="both"/>
        <w:ind w:left="100" w:firstLine="1617"/>
        <w:spacing w:after="0" w:line="263" w:lineRule="auto"/>
        <w:tabs>
          <w:tab w:leader="none" w:pos="25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that, as of the date of execution of this Release, he has not filed any lawsuits, charges, complaints, petitions, administrative claims or other accusatory pleadings in any court or with any governmental agency against any of the Releasees.</w:t>
      </w:r>
    </w:p>
    <w:p>
      <w:pPr>
        <w:spacing w:after="0" w:line="167" w:lineRule="exact"/>
        <w:rPr>
          <w:rFonts w:ascii="Times New Roman" w:cs="Times New Roman" w:eastAsia="Times New Roman" w:hAnsi="Times New Roman"/>
          <w:sz w:val="22"/>
          <w:szCs w:val="22"/>
          <w:color w:val="auto"/>
        </w:rPr>
      </w:pPr>
    </w:p>
    <w:p>
      <w:pPr>
        <w:ind w:left="100" w:firstLine="1214"/>
        <w:spacing w:after="0" w:line="271" w:lineRule="auto"/>
        <w:tabs>
          <w:tab w:leader="none" w:pos="195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in this Release to the contrary, nothing contained in this Release shall prohibit Executive (or Executive’s attorney) from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13335</wp:posOffset>
            </wp:positionV>
            <wp:extent cx="154305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filing a charge with, reporting possible violations of federal law or regulation to, participating in any investigation by, or cooperating with the U.S. Securities and Exchange 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the Financial Industry Regulatory Authority, the EEOC, the NLRB,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1"/>
          <w:szCs w:val="21"/>
          <w:b w:val="1"/>
          <w:bCs w:val="1"/>
          <w:i w:val="1"/>
          <w:iCs w:val="1"/>
          <w:color w:val="auto"/>
        </w:rPr>
        <w:t>Government Agencies</w:t>
      </w:r>
      <w:r>
        <w:rPr>
          <w:rFonts w:ascii="Times New Roman" w:cs="Times New Roman" w:eastAsia="Times New Roman" w:hAnsi="Times New Roman"/>
          <w:sz w:val="21"/>
          <w:szCs w:val="21"/>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and/or (iii) receiving an award for information provided to any Government Agency.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Release is intended to or shall preclude Executive from providing truthful testimony in response to a valid subpoena, court order, regulatory request or other judicial, administrative or legal process or otherwise as required by law. Nothing in this Agreement prevents you from making truthful disclosures regarding any allegedly unlawful workplace discrimination by the Company, including, but not limited to, harassment or sexual assault. Further, nothing in this Agreement restricts or impedes you from exercising protected rights, including any rights under the National Labor Relations Act (“</w:t>
      </w:r>
      <w:r>
        <w:rPr>
          <w:rFonts w:ascii="Times New Roman" w:cs="Times New Roman" w:eastAsia="Times New Roman" w:hAnsi="Times New Roman"/>
          <w:sz w:val="21"/>
          <w:szCs w:val="21"/>
          <w:b w:val="1"/>
          <w:bCs w:val="1"/>
          <w:i w:val="1"/>
          <w:iCs w:val="1"/>
          <w:color w:val="auto"/>
        </w:rPr>
        <w:t>NLRA</w:t>
      </w:r>
      <w:r>
        <w:rPr>
          <w:rFonts w:ascii="Times New Roman" w:cs="Times New Roman" w:eastAsia="Times New Roman" w:hAnsi="Times New Roman"/>
          <w:sz w:val="21"/>
          <w:szCs w:val="21"/>
          <w:color w:val="auto"/>
        </w:rPr>
        <w:t>”), to the extent that such rights cannot be waived by agreement, or from complying with any applicable law or regulation, and nothing in this Agreement prevents you from communicating with or assisting other employees or a union with matters that have been or may be brought before the NLRB to the extent authorized by the NLRA or other applicable law.</w:t>
      </w:r>
    </w:p>
    <w:p>
      <w:pPr>
        <w:spacing w:after="0" w:line="184" w:lineRule="exact"/>
        <w:rPr>
          <w:sz w:val="20"/>
          <w:szCs w:val="20"/>
          <w:color w:val="auto"/>
        </w:rPr>
      </w:pPr>
    </w:p>
    <w:p>
      <w:pPr>
        <w:ind w:left="1600" w:hanging="386"/>
        <w:spacing w:after="0"/>
        <w:tabs>
          <w:tab w:leader="none" w:pos="16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firstLine="1617"/>
        <w:spacing w:after="0" w:line="265" w:lineRule="auto"/>
        <w:tabs>
          <w:tab w:leader="none" w:pos="249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sentence, phrase, section, subsection or portion of this Release is found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illegal or unenforceable, such action shall not affect the validity or enforceability of the remaining sentences, phrases, sections, subsections or portions of this Release, which shall remain fully valid and enforceable.</w:t>
      </w:r>
    </w:p>
    <w:p>
      <w:pPr>
        <w:spacing w:after="0" w:line="161" w:lineRule="exact"/>
        <w:rPr>
          <w:rFonts w:ascii="Times New Roman" w:cs="Times New Roman" w:eastAsia="Times New Roman" w:hAnsi="Times New Roman"/>
          <w:sz w:val="22"/>
          <w:szCs w:val="22"/>
          <w:color w:val="auto"/>
        </w:rPr>
      </w:pPr>
    </w:p>
    <w:p>
      <w:pPr>
        <w:ind w:right="20" w:firstLine="1617"/>
        <w:spacing w:after="0" w:line="275" w:lineRule="auto"/>
        <w:tabs>
          <w:tab w:leader="none" w:pos="24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The headings in this Release are provided solely for convenience, and are not intended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part of, nor to affect or alter the interpretation or meaning of, this Release.</w:t>
      </w:r>
    </w:p>
    <w:p>
      <w:pPr>
        <w:spacing w:after="0" w:line="149" w:lineRule="exact"/>
        <w:rPr>
          <w:rFonts w:ascii="Times New Roman" w:cs="Times New Roman" w:eastAsia="Times New Roman" w:hAnsi="Times New Roman"/>
          <w:sz w:val="22"/>
          <w:szCs w:val="22"/>
          <w:color w:val="auto"/>
        </w:rPr>
      </w:pPr>
    </w:p>
    <w:p>
      <w:pPr>
        <w:jc w:val="both"/>
        <w:ind w:firstLine="1617"/>
        <w:spacing w:after="0" w:line="258" w:lineRule="auto"/>
        <w:tabs>
          <w:tab w:leader="none" w:pos="249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Construction of Agreement</w:t>
      </w:r>
      <w:r>
        <w:rPr>
          <w:rFonts w:ascii="Times New Roman" w:cs="Times New Roman" w:eastAsia="Times New Roman" w:hAnsi="Times New Roman"/>
          <w:sz w:val="22"/>
          <w:szCs w:val="22"/>
          <w:color w:val="auto"/>
        </w:rPr>
        <w:t>. Executive has been represented by, or had the opportunity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represented by, counsel in connection with the negotiation and execution of this Release. Any rule of construction to the effect that ambiguities are to be resolved against the drafting party shall not be applied in the construction or interpretation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140"/>
          </w:cols>
          <w:pgMar w:left="420" w:top="12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13335</wp:posOffset>
            </wp:positionV>
            <wp:extent cx="154305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5430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617"/>
        <w:spacing w:after="0" w:line="252" w:lineRule="auto"/>
        <w:tabs>
          <w:tab w:leader="none" w:pos="249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Agreement/Integration</w:t>
      </w:r>
      <w:r>
        <w:rPr>
          <w:rFonts w:ascii="Times New Roman" w:cs="Times New Roman" w:eastAsia="Times New Roman" w:hAnsi="Times New Roman"/>
          <w:sz w:val="22"/>
          <w:szCs w:val="22"/>
          <w:color w:val="auto"/>
        </w:rPr>
        <w:t>. This Release, together with the Agreement constitutes the entire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between Executive and the Company concerning the subject matter hereof. No covenants, agreements, representations, or warranties of any kind, other than those set forth herein, have been made to any party hereto with respect to this Release. All prior discussions and negotiations have been and are merged and integrated into, and are superseded by, this Release. No amendments to this Release will be valid unless written and signed by Executive and an authorized representative of the Company.</w:t>
      </w:r>
    </w:p>
    <w:p>
      <w:pPr>
        <w:spacing w:after="0" w:line="174" w:lineRule="exact"/>
        <w:rPr>
          <w:rFonts w:ascii="Times New Roman" w:cs="Times New Roman" w:eastAsia="Times New Roman" w:hAnsi="Times New Roman"/>
          <w:sz w:val="22"/>
          <w:szCs w:val="22"/>
          <w:color w:val="auto"/>
        </w:rPr>
      </w:pPr>
    </w:p>
    <w:p>
      <w:pPr>
        <w:jc w:val="both"/>
        <w:ind w:firstLine="1617"/>
        <w:spacing w:after="0" w:line="265" w:lineRule="auto"/>
        <w:tabs>
          <w:tab w:leader="none" w:pos="249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Release will in all respects be interpreted, construed, enforced and governed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and in accordance with the internal substantive laws of the Commonwealth of Massachusetts, or by federal law where applicable, exclusive of any rules pertaining to conflicts of laws.</w:t>
      </w:r>
    </w:p>
    <w:p>
      <w:pPr>
        <w:spacing w:after="0" w:line="165" w:lineRule="exact"/>
        <w:rPr>
          <w:rFonts w:ascii="Times New Roman" w:cs="Times New Roman" w:eastAsia="Times New Roman" w:hAnsi="Times New Roman"/>
          <w:sz w:val="22"/>
          <w:szCs w:val="22"/>
          <w:color w:val="auto"/>
        </w:rPr>
      </w:pPr>
    </w:p>
    <w:p>
      <w:pPr>
        <w:ind w:left="1600" w:hanging="395"/>
        <w:spacing w:after="0"/>
        <w:tabs>
          <w:tab w:leader="none" w:pos="16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 only on or within twenty-one (21) days after September 6, 2024.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EXECUTIVE</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u w:val="single" w:color="auto"/>
          <w:color w:val="auto"/>
        </w:rPr>
        <w:t>/s/ Marc Thompson</w:t>
      </w:r>
    </w:p>
    <w:p>
      <w:pPr>
        <w:spacing w:after="0" w:line="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Marc Thompson</w:t>
      </w:r>
    </w:p>
    <w:p>
      <w:pPr>
        <w:spacing w:after="0" w:line="2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9/7/2024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140"/>
          </w:cols>
          <w:pgMar w:left="420" w:top="12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EXECUTIVE EMPLOYMENT AGREEMENT</w:t>
      </w:r>
    </w:p>
    <w:p>
      <w:pPr>
        <w:spacing w:after="0" w:line="264" w:lineRule="exact"/>
        <w:rPr>
          <w:sz w:val="20"/>
          <w:szCs w:val="20"/>
          <w:color w:val="auto"/>
        </w:rPr>
      </w:pPr>
    </w:p>
    <w:p>
      <w:pPr>
        <w:jc w:val="both"/>
        <w:ind w:right="100" w:firstLine="647"/>
        <w:spacing w:after="0" w:line="252" w:lineRule="auto"/>
        <w:rPr>
          <w:sz w:val="20"/>
          <w:szCs w:val="20"/>
          <w:color w:val="auto"/>
        </w:rPr>
      </w:pPr>
      <w:r>
        <w:rPr>
          <w:rFonts w:ascii="Times New Roman" w:cs="Times New Roman" w:eastAsia="Times New Roman" w:hAnsi="Times New Roman"/>
          <w:sz w:val="22"/>
          <w:szCs w:val="22"/>
          <w:color w:val="auto"/>
        </w:rPr>
        <w:t>This Executive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on August 6, 2024 and effective as of September 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Ryan Siurek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EverCommerce Solutions Inc., a Delaware corporation (“</w:t>
      </w:r>
      <w:r>
        <w:rPr>
          <w:rFonts w:ascii="Times New Roman" w:cs="Times New Roman" w:eastAsia="Times New Roman" w:hAnsi="Times New Roman"/>
          <w:sz w:val="22"/>
          <w:szCs w:val="22"/>
          <w:u w:val="single" w:color="auto"/>
          <w:color w:val="auto"/>
        </w:rPr>
        <w:t>ESI</w:t>
      </w:r>
      <w:r>
        <w:rPr>
          <w:rFonts w:ascii="Times New Roman" w:cs="Times New Roman" w:eastAsia="Times New Roman" w:hAnsi="Times New Roman"/>
          <w:sz w:val="22"/>
          <w:szCs w:val="22"/>
          <w:color w:val="auto"/>
        </w:rPr>
        <w:t>”, together with EverCommerce Inc. (“</w:t>
      </w:r>
      <w:r>
        <w:rPr>
          <w:rFonts w:ascii="Times New Roman" w:cs="Times New Roman" w:eastAsia="Times New Roman" w:hAnsi="Times New Roman"/>
          <w:sz w:val="22"/>
          <w:szCs w:val="22"/>
          <w:u w:val="single" w:color="auto"/>
          <w:color w:val="auto"/>
        </w:rPr>
        <w:t>ECI</w:t>
      </w:r>
      <w:r>
        <w:rPr>
          <w:rFonts w:ascii="Times New Roman" w:cs="Times New Roman" w:eastAsia="Times New Roman" w:hAnsi="Times New Roman"/>
          <w:sz w:val="22"/>
          <w:szCs w:val="22"/>
          <w:color w:val="auto"/>
        </w:rPr>
        <w:t>”) and any subsidiaries or affiliates as may employ Executive from time to time, and any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12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the desire of the Company to assure itself of the services of Executive following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thereafter on the terms herein provided by entering into this Agreement; and</w:t>
      </w:r>
    </w:p>
    <w:p>
      <w:pPr>
        <w:spacing w:after="0" w:line="190" w:lineRule="exact"/>
        <w:rPr>
          <w:sz w:val="20"/>
          <w:szCs w:val="20"/>
          <w:color w:val="auto"/>
        </w:rPr>
      </w:pPr>
    </w:p>
    <w:p>
      <w:pPr>
        <w:jc w:val="both"/>
        <w:ind w:right="12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the desire of Executive to provide services to the Company following the Effective Date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thereafter on the terms herein provided.</w:t>
      </w:r>
    </w:p>
    <w:p>
      <w:pPr>
        <w:spacing w:after="0" w:line="190" w:lineRule="exact"/>
        <w:rPr>
          <w:sz w:val="20"/>
          <w:szCs w:val="20"/>
          <w:color w:val="auto"/>
        </w:rPr>
      </w:pPr>
    </w:p>
    <w:p>
      <w:pPr>
        <w:jc w:val="both"/>
        <w:ind w:right="12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the mutual agreements and covenants contained herein,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condition of Executive’s receipt of the additional consideration of base salary and target annual bonus opportunity increases and for other good and valuable consideration, the receipt and sufficiency of which is hereby acknowledged by the Company and Executive, the parties agree as follows:</w:t>
      </w: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 EMPLOYMENT</w:t>
      </w:r>
    </w:p>
    <w:p>
      <w:pPr>
        <w:spacing w:after="0" w:line="332" w:lineRule="exact"/>
        <w:rPr>
          <w:sz w:val="20"/>
          <w:szCs w:val="20"/>
          <w:color w:val="auto"/>
        </w:rPr>
      </w:pPr>
    </w:p>
    <w:p>
      <w:pPr>
        <w:jc w:val="both"/>
        <w:ind w:right="100" w:firstLine="647"/>
        <w:spacing w:after="0" w:line="24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Financial Officer of the Company with such responsibilities, duties and authority normally associated with such position and as may from time to time be reasonably assigned to Executive by the Chief Executive Officer of the Company. Executive shall report directly to the Chief Executive Officer of the Company.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Chief Financial Officer. In the event that Executive serves in any one or more of such additional capacities, Executive’s compensation shall not automatically be increased on account of such additional service. Executive will use Executive’s best efforts to promote the interests, prospects and condition (financial and otherwise) and welfare of the Company and shall perform Executive’s fiduciary duties and responsibilities to the Company to the best of Executive’s ability in a diligent, trustworthy, businesslike and efficient manner. Executive shall devote substantially all of Executive’s business time, attention and energies exclusively to the business interests of the Company, its subsidiaries or affiliates while employed by the Company, except as provided for herein or otherwise specifically approved in writing by the Chief Executive Officer of the Company. It shall not be a violation of this Agreement for Executive to (i) manage Executive’s personal, financial and legal affairs, (ii) participate in trade associations and charitable and</w:t>
      </w:r>
    </w:p>
    <w:p>
      <w:pPr>
        <w:sectPr>
          <w:pgSz w:w="11900" w:h="16838" w:orient="portrait"/>
          <w:cols w:equalWidth="0" w:num="1">
            <w:col w:w="11140"/>
          </w:cols>
          <w:pgMar w:left="420" w:top="33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 xml:space="preserve">community affairs, and (iii) continue to serve on the board of directors or advisory boards of the companies/organizations as set forth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and any such other boards of directors or advisory boards of companies/organization upon which Executive may serve with the requisite prior consent of the Chief Executive Officer, if any, in each case, subject to compliance with this Agreement and provided that such activities do not materially interfere with Executive’s performance of Executive’s duties and responsibilities hereunder or violate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this Agreement. Executive shall perform his services from the Denver, Colorado metropolitan area, subject to reasonable business travel as necessitated by Executive’s job duties or reasonably requested by the Chief Executive Officer from time to time.</w:t>
      </w:r>
    </w:p>
    <w:p>
      <w:pPr>
        <w:spacing w:after="0" w:line="220" w:lineRule="exact"/>
        <w:rPr>
          <w:sz w:val="20"/>
          <w:szCs w:val="20"/>
          <w:color w:val="auto"/>
        </w:rPr>
      </w:pPr>
    </w:p>
    <w:p>
      <w:pPr>
        <w:jc w:val="both"/>
        <w:ind w:right="100" w:firstLine="647"/>
        <w:spacing w:after="0" w:line="27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Executive’s employment pursuant to this Agreement shall commence on the Effective Date and end on the date Executive’s employment is terminated pursuant to its terms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right="120" w:firstLine="647"/>
        <w:spacing w:after="0" w:line="25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If Executive’s employment with the Company terminates for any reason, then concurrently with such termination, Executive will be deemed to have resigned from all director, officer, trustee or other positions Executive holds with the Company and any of its affiliates, in each case unless agreed to in writing by the Company and Executive (collectively, the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Executive agrees to execute any documents evidencing the Resignations as the Company may reasonably request.</w:t>
      </w:r>
    </w:p>
    <w:p>
      <w:pPr>
        <w:spacing w:after="0" w:line="29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COMPENSATION AND OTHER BENEFITS</w:t>
      </w:r>
    </w:p>
    <w:p>
      <w:pPr>
        <w:spacing w:after="0" w:line="209" w:lineRule="exact"/>
        <w:rPr>
          <w:sz w:val="20"/>
          <w:szCs w:val="20"/>
          <w:color w:val="auto"/>
        </w:rPr>
      </w:pPr>
    </w:p>
    <w:p>
      <w:pPr>
        <w:jc w:val="both"/>
        <w:ind w:right="100" w:firstLine="647"/>
        <w:spacing w:after="0" w:line="25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Term, the Company shall pay Executive a salary of $400,000 per annum, less applicable taxes and withholdings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payable in accordance with the normal payroll practices and schedule of the Company. The Board of Directors of ECI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a duly authorized subcommittee thereof) shall review (and may increase) Executive’s Base Salary and Target Bonus (as defined below) on an annual basis.</w:t>
      </w:r>
    </w:p>
    <w:p>
      <w:pPr>
        <w:spacing w:after="0" w:line="217" w:lineRule="exact"/>
        <w:rPr>
          <w:sz w:val="20"/>
          <w:szCs w:val="20"/>
          <w:color w:val="auto"/>
        </w:rPr>
      </w:pPr>
    </w:p>
    <w:p>
      <w:pPr>
        <w:jc w:val="both"/>
        <w:ind w:right="100" w:firstLine="647"/>
        <w:spacing w:after="0" w:line="24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During the Employment Term, Executive will be eligible to participate in an annual calendar year incentive program established by the Board or its delegate. Executive’s annual incentive compensation under such incentive program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be targeted at 40% of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The Annual Bonus payable under the incentive program shall be based on the achievement of performance goals to be established by the Board or its delegate in consultation with the Chief Executive Officer. Any Annual Bonus earned will be paid at the same time annual bonuses are paid to other executives of the Company generally, subject to Executive’s continuous employment through the end of the calendar year for which the Annual Bonus relates (but in any event, will be paid during the calendar year following the calendar year to which the Annual Bonus relates).</w:t>
      </w:r>
    </w:p>
    <w:p>
      <w:pPr>
        <w:spacing w:after="0" w:line="222" w:lineRule="exact"/>
        <w:rPr>
          <w:sz w:val="20"/>
          <w:szCs w:val="20"/>
          <w:color w:val="auto"/>
        </w:rPr>
      </w:pPr>
    </w:p>
    <w:p>
      <w:pPr>
        <w:jc w:val="both"/>
        <w:ind w:right="100" w:firstLine="647"/>
        <w:spacing w:after="0" w:line="25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During the Employment Term, Executive shall continue to be eligible to participate in the Company’s long-term incentive plan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on the same terms and conditions applicable to similarly situated executives; provided, however, that, to the extent that any provision in the LTIP provides for a reduction or forfeiture of any awards made under the LTIP, the Cause and Good Reason definitions contained in this Agreement shall supersede and replace</w:t>
      </w:r>
    </w:p>
    <w:p>
      <w:pPr>
        <w:sectPr>
          <w:pgSz w:w="11900" w:h="16838" w:orient="portrait"/>
          <w:cols w:equalWidth="0" w:num="1">
            <w:col w:w="11140"/>
          </w:cols>
          <w:pgMar w:left="420" w:top="33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22"/>
          <w:szCs w:val="22"/>
          <w:color w:val="auto"/>
        </w:rPr>
        <w:t>any contradictory definitions in the LTIP as it may be amended from time to time. The Board (or a duly authorized subcommittee thereof) shall review (and may increase) Executive’s LTIP grant on an annual basis.</w:t>
      </w:r>
    </w:p>
    <w:p>
      <w:pPr>
        <w:spacing w:after="0" w:line="23" w:lineRule="exact"/>
        <w:rPr>
          <w:sz w:val="20"/>
          <w:szCs w:val="20"/>
          <w:color w:val="auto"/>
        </w:rPr>
      </w:pPr>
    </w:p>
    <w:p>
      <w:pPr>
        <w:jc w:val="both"/>
        <w:ind w:right="100" w:firstLine="647"/>
        <w:spacing w:after="0" w:line="265"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and an applicable award agreement; provided, however, that the Cause and Good Reason definitions set forth herein and the accelerated and other vesting provisions set forth in this Agreement shall take precedence over any contradictory provisions in the applicable equity incentive plan or applicable award agreement</w:t>
      </w:r>
      <w:r>
        <w:rPr>
          <w:rFonts w:ascii="Times New Roman" w:cs="Times New Roman" w:eastAsia="Times New Roman" w:hAnsi="Times New Roman"/>
          <w:sz w:val="21"/>
          <w:szCs w:val="21"/>
          <w:b w:val="1"/>
          <w:bCs w:val="1"/>
          <w:color w:val="auto"/>
        </w:rPr>
        <w:t>.</w:t>
      </w:r>
    </w:p>
    <w:p>
      <w:pPr>
        <w:spacing w:after="0" w:line="206" w:lineRule="exact"/>
        <w:rPr>
          <w:sz w:val="20"/>
          <w:szCs w:val="20"/>
          <w:color w:val="auto"/>
        </w:rPr>
      </w:pPr>
    </w:p>
    <w:p>
      <w:pPr>
        <w:jc w:val="both"/>
        <w:ind w:right="120" w:firstLine="647"/>
        <w:spacing w:after="0" w:line="256"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217" w:lineRule="exact"/>
        <w:rPr>
          <w:sz w:val="20"/>
          <w:szCs w:val="20"/>
          <w:color w:val="auto"/>
        </w:rPr>
      </w:pPr>
    </w:p>
    <w:p>
      <w:pPr>
        <w:jc w:val="both"/>
        <w:ind w:right="100" w:firstLine="647"/>
        <w:spacing w:after="0" w:line="252"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During the Employment Term, the Company shall reimburse Executive for all reasonable and necessary travel and other business expenses incurred in the course of the performance of Executive’s duties and responsibilities pursuant to this Agreement and consistent with the Company’s policies as in effect from time to time with respect to expense reimbursement.</w:t>
      </w:r>
    </w:p>
    <w:p>
      <w:pPr>
        <w:spacing w:after="0" w:line="2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ARTICLE III TERMINATION</w:t>
      </w:r>
    </w:p>
    <w:p>
      <w:pPr>
        <w:spacing w:after="0" w:line="25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Right to Terminate; Automatic Termination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120" w:firstLine="1293"/>
        <w:spacing w:after="0" w:line="271" w:lineRule="auto"/>
        <w:tabs>
          <w:tab w:leader="none" w:pos="184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the Company may terminate Executive’s employment without notice at any time without Cause (as defined below).</w:t>
      </w:r>
    </w:p>
    <w:p>
      <w:pPr>
        <w:spacing w:after="0" w:line="198" w:lineRule="exact"/>
        <w:rPr>
          <w:rFonts w:ascii="Times New Roman" w:cs="Times New Roman" w:eastAsia="Times New Roman" w:hAnsi="Times New Roman"/>
          <w:sz w:val="22"/>
          <w:szCs w:val="22"/>
          <w:color w:val="auto"/>
        </w:rPr>
      </w:pPr>
    </w:p>
    <w:p>
      <w:pPr>
        <w:jc w:val="both"/>
        <w:ind w:right="100" w:firstLine="1293"/>
        <w:spacing w:after="0" w:line="248" w:lineRule="auto"/>
        <w:tabs>
          <w:tab w:leader="none" w:pos="18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the Company may terminate Executive’s employment at any time for Cause (as defined below) effective immediately upon giving such notice or at such other time thereafter as the Company may designate or as provided in this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Executive’s: (i) conviction of, or plea of guilty or nolo contendere to a felony or crime involving fraud; (ii) commission of a material act of fraud, embezzlement or misappropriation of funds or property of the Company; (iii) willful and material violation of any law, rule, regulation (other than minor traffic violations or similar offenses) or breach of fiduciary duty, each while acting within the scope of Executive’s employment with the Company; (iv) willful failure to substantially perform Executive’s duties under this Agreement, or repeated refusal to carry out or comply with the reasonable directives of the Company or the Board; (v) intentional and material violation of any substantive Company rule, regulation, procedure or policy of which Executive has received written notice; (vi) material breach of any material provision of any employment, non-disclosure, non-competition, non-solicitation or other similar agreement between the Company (or any subsidiary or affiliate thereof) and Executive, including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this Agreement; or (vii) serious and material misconduct by</w:t>
      </w:r>
    </w:p>
    <w:p>
      <w:pPr>
        <w:sectPr>
          <w:pgSz w:w="11900" w:h="16838" w:orient="portrait"/>
          <w:cols w:equalWidth="0" w:num="1">
            <w:col w:w="11140"/>
          </w:cols>
          <w:pgMar w:left="420" w:top="33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2"/>
          <w:szCs w:val="22"/>
          <w:color w:val="auto"/>
        </w:rPr>
        <w:t>Executive which, in the good faith and reasonable determination of the Board after diligent investigation substantially harms, or could reasonably be expected to substantially harm, the operations or reputation of the Company or demonstrates gross unfitness to serve; provided, however, that Cause shall not be deemed to exist pursuant to clauses (iii), (iv), (v) and (vi) above unless the act or omission giving rise to Cause is not cured (to the extent curable) within thirty (30) days after the Company gives Executive written notice to cure (which notice sets forth with particularity the conduct requiring cure and the basis for which Cause is claimed). In addition, Cause will include solely for purposes of Section 5.1(a) herein, (y) the Board’s good faith determination that it has a reasonable basis for dissatisfaction with Executive’s employment for reasons such as lack of capacity or diligence, failure to conform to usual standards of conduct, or other culpable or inappropriate behavior or (z) other grounds for discharge that are reasonably related, in the Board’s good faith determination, to the needs of the business of the Company and its Affiliates.</w:t>
      </w:r>
    </w:p>
    <w:p>
      <w:pPr>
        <w:spacing w:after="0" w:line="224" w:lineRule="exact"/>
        <w:rPr>
          <w:sz w:val="20"/>
          <w:szCs w:val="20"/>
          <w:color w:val="auto"/>
        </w:rPr>
      </w:pPr>
    </w:p>
    <w:p>
      <w:pPr>
        <w:jc w:val="both"/>
        <w:ind w:right="100" w:firstLine="1293"/>
        <w:spacing w:after="0" w:line="261" w:lineRule="auto"/>
        <w:tabs>
          <w:tab w:leader="none" w:pos="184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and all applicable laws governing the employment of disabled individuals, Executive’s employment with the Company and the Company’s obligations under this Agreement shall terminate automatically, effective immediately and without notice, upon Executive’s death or a determination of Disability (as defined below) of Executive. For purposes of this Agreement,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shall include any circumstance resulting in Executive being incapable of performing Executive’s duties and responsibilities under this Agreement for (a) a continuous period of 120 days, or (b) periods amounting in the aggregate to 180 days within any one period of 365 days. A determination of Disability shall be made and confirmed in writing by a physician or physicians satisfactory to the Company, and Executive shall cooperate with any efforts to make such determination. Any such determination shall be conclusive and binding on the parties. Any determination of Disability under this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 xml:space="preserve"> is not intended to alter any benefits that any party may be entitled to receive under any long-term disability insurance plan carried by either the Company or Executive with respect to Executive, which benefits shall be governed solely by the terms of any such insurance plan.</w:t>
      </w:r>
    </w:p>
    <w:p>
      <w:pPr>
        <w:spacing w:after="0" w:line="216" w:lineRule="exact"/>
        <w:rPr>
          <w:rFonts w:ascii="Times New Roman" w:cs="Times New Roman" w:eastAsia="Times New Roman" w:hAnsi="Times New Roman"/>
          <w:sz w:val="21"/>
          <w:szCs w:val="21"/>
          <w:color w:val="auto"/>
        </w:rPr>
      </w:pPr>
    </w:p>
    <w:p>
      <w:pPr>
        <w:jc w:val="both"/>
        <w:ind w:right="100" w:firstLine="1293"/>
        <w:spacing w:after="0" w:line="250" w:lineRule="auto"/>
        <w:tabs>
          <w:tab w:leader="none" w:pos="18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Executive’s employment shall terminate upon Executive’s resignation from employment with the Company for any reason other than Good Reason (defined below), provided Executive provides at least thirty (30) days’ prior written notice to the Company of Executive’s resignation from employment with the Company, or such other advance notice as may be mutually agreed in writing between the parties following the provision of such notice.</w:t>
      </w:r>
    </w:p>
    <w:p>
      <w:pPr>
        <w:spacing w:after="0" w:line="288" w:lineRule="exact"/>
        <w:rPr>
          <w:rFonts w:ascii="Times New Roman" w:cs="Times New Roman" w:eastAsia="Times New Roman" w:hAnsi="Times New Roman"/>
          <w:sz w:val="22"/>
          <w:szCs w:val="22"/>
          <w:color w:val="auto"/>
        </w:rPr>
      </w:pPr>
    </w:p>
    <w:p>
      <w:pPr>
        <w:jc w:val="both"/>
        <w:ind w:right="100" w:firstLine="1293"/>
        <w:spacing w:after="0" w:line="250" w:lineRule="auto"/>
        <w:tabs>
          <w:tab w:leader="none" w:pos="184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Good Reason</w:t>
      </w:r>
      <w:r>
        <w:rPr>
          <w:rFonts w:ascii="Times New Roman" w:cs="Times New Roman" w:eastAsia="Times New Roman" w:hAnsi="Times New Roman"/>
          <w:sz w:val="22"/>
          <w:szCs w:val="22"/>
          <w:color w:val="auto"/>
        </w:rPr>
        <w:t>. Subject to Section 3.2(a), Executive may terminate Executive’s employment at any time for Good Reason.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without Executive’s voluntary written consent, of any of the following circumstances: (i) a material breach by the Company of any material provision of this Agreement or any other material written agreement between Executive and the Company, its parents or subsidiaries; (ii) a material diminution in Executive’s title, authority, duties, reporting relationship or responsibilities; or (iii) any material reduction in Executive’s Base Salary or Target Bonus as then in effect (provided further that any reduction of ten percent (10%) or more shall be deemed material), in</w:t>
      </w:r>
    </w:p>
    <w:p>
      <w:pPr>
        <w:sectPr>
          <w:pgSz w:w="11900" w:h="16838" w:orient="portrait"/>
          <w:cols w:equalWidth="0" w:num="1">
            <w:col w:w="11140"/>
          </w:cols>
          <w:pgMar w:left="420" w:top="33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2"/>
          <w:szCs w:val="22"/>
          <w:color w:val="auto"/>
        </w:rPr>
        <w:t xml:space="preserve">each case other than in connection with an across-the-board reduction affecting other senior executives of the Company proportionately; provided, in each case, that Executive first provides notice to the Company of the existence of the condition described above within thirty (30) days of the initial existence of the condition, upon the notice of which the Company shall have thirty (30) days during which it may </w:t>
      </w:r>
      <w:r>
        <w:rPr>
          <w:rFonts w:ascii="Times New Roman" w:cs="Times New Roman" w:eastAsia="Times New Roman" w:hAnsi="Times New Roman"/>
          <w:sz w:val="19"/>
          <w:szCs w:val="19"/>
          <w:color w:val="auto"/>
        </w:rPr>
        <w:t>remedy the condition, and provided further</w:t>
      </w:r>
      <w:r>
        <w:rPr>
          <w:rFonts w:ascii="Times New Roman" w:cs="Times New Roman" w:eastAsia="Times New Roman" w:hAnsi="Times New Roman"/>
          <w:sz w:val="22"/>
          <w:szCs w:val="22"/>
          <w:color w:val="auto"/>
        </w:rPr>
        <w:t xml:space="preserve"> that Executive’s resignation must occur within thirty (30) days following the end of such 30-day cure period.</w:t>
      </w:r>
    </w:p>
    <w:p>
      <w:pPr>
        <w:spacing w:after="0" w:line="21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Rights Upon Termination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1840" w:hanging="547"/>
        <w:spacing w:after="0"/>
        <w:tabs>
          <w:tab w:leader="none" w:pos="18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upon a Termination without Cause or Resignation with Good Reason.</w:t>
      </w:r>
    </w:p>
    <w:p>
      <w:pPr>
        <w:spacing w:after="0" w:line="327" w:lineRule="exact"/>
        <w:rPr>
          <w:rFonts w:ascii="Times New Roman" w:cs="Times New Roman" w:eastAsia="Times New Roman" w:hAnsi="Times New Roman"/>
          <w:sz w:val="22"/>
          <w:szCs w:val="22"/>
          <w:color w:val="auto"/>
        </w:rPr>
      </w:pPr>
    </w:p>
    <w:p>
      <w:pPr>
        <w:jc w:val="both"/>
        <w:ind w:left="640" w:right="120" w:firstLine="1302"/>
        <w:spacing w:after="0" w:line="263" w:lineRule="auto"/>
        <w:tabs>
          <w:tab w:leader="none" w:pos="24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pursuant to Sections 3.1(a) or 3.1(e) above (and not pursuant to Sections 3.1(b), 3.1(c), or 3.1(d))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then Executive shall be entitled to receive, in addition to the Accrued Amounts (as defined below), the following:</w:t>
      </w:r>
    </w:p>
    <w:p>
      <w:pPr>
        <w:spacing w:after="0" w:line="207" w:lineRule="exact"/>
        <w:rPr>
          <w:rFonts w:ascii="Times New Roman" w:cs="Times New Roman" w:eastAsia="Times New Roman" w:hAnsi="Times New Roman"/>
          <w:sz w:val="22"/>
          <w:szCs w:val="22"/>
          <w:color w:val="auto"/>
        </w:rPr>
      </w:pPr>
    </w:p>
    <w:p>
      <w:pPr>
        <w:jc w:val="both"/>
        <w:ind w:left="1300" w:right="100" w:firstLine="1290"/>
        <w:spacing w:after="0" w:line="250" w:lineRule="auto"/>
        <w:tabs>
          <w:tab w:leader="none" w:pos="3145"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in cash equal to twelve (12) months of Executive’s then-existing Base Salary (without giving effect to any Base Salary reduction giving rise to Good Reason), payable, less applicable withholdings and deductions, in the form of salary continuation in regular installments over the twelve (12)-month period following the date of Executive’s Qualifying Termination in accordance with the Company’s normal payroll practices;</w:t>
      </w:r>
    </w:p>
    <w:p>
      <w:pPr>
        <w:spacing w:after="0" w:line="221" w:lineRule="exact"/>
        <w:rPr>
          <w:rFonts w:ascii="Times New Roman" w:cs="Times New Roman" w:eastAsia="Times New Roman" w:hAnsi="Times New Roman"/>
          <w:sz w:val="22"/>
          <w:szCs w:val="22"/>
          <w:color w:val="auto"/>
        </w:rPr>
      </w:pPr>
    </w:p>
    <w:p>
      <w:pPr>
        <w:jc w:val="both"/>
        <w:ind w:left="1300" w:right="100" w:firstLine="1290"/>
        <w:spacing w:after="0" w:line="253" w:lineRule="auto"/>
        <w:tabs>
          <w:tab w:leader="none" w:pos="3145"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portion (based on the number of days Executive was employed by the Company during the calendar year in which the date of Executive’s Qualifying Termination occurs) of the Target Bonus for the year in which the Qualifying Termination occurred (the “</w:t>
      </w:r>
      <w:r>
        <w:rPr>
          <w:rFonts w:ascii="Times New Roman" w:cs="Times New Roman" w:eastAsia="Times New Roman" w:hAnsi="Times New Roman"/>
          <w:sz w:val="22"/>
          <w:szCs w:val="22"/>
          <w:u w:val="single" w:color="auto"/>
          <w:color w:val="auto"/>
        </w:rPr>
        <w:t>Pro Rata Bonus</w:t>
      </w:r>
      <w:r>
        <w:rPr>
          <w:rFonts w:ascii="Times New Roman" w:cs="Times New Roman" w:eastAsia="Times New Roman" w:hAnsi="Times New Roman"/>
          <w:sz w:val="22"/>
          <w:szCs w:val="22"/>
          <w:color w:val="auto"/>
        </w:rPr>
        <w:t>”), payable in a lump sum within sixty (60) days following the date of Executive’s Qualifying Termination, less applicable withholdings and deductions;</w:t>
      </w:r>
    </w:p>
    <w:p>
      <w:pPr>
        <w:spacing w:after="0" w:line="219" w:lineRule="exact"/>
        <w:rPr>
          <w:rFonts w:ascii="Times New Roman" w:cs="Times New Roman" w:eastAsia="Times New Roman" w:hAnsi="Times New Roman"/>
          <w:sz w:val="22"/>
          <w:szCs w:val="22"/>
          <w:color w:val="auto"/>
        </w:rPr>
      </w:pPr>
    </w:p>
    <w:p>
      <w:pPr>
        <w:jc w:val="both"/>
        <w:ind w:left="1300" w:right="100" w:firstLine="1290"/>
        <w:spacing w:after="0" w:line="261" w:lineRule="auto"/>
        <w:tabs>
          <w:tab w:leader="none" w:pos="3145"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terms of any equity award agreements to the contrary, (i) any time-based vesting criteria of Executive’s then outstanding equity awards (including all RSUs and Options granted under the LTIP and any other equity incentive plan) which would have become satisfied in the twelve (12) months following the date of Executive’s Qualifying Termination if he had remained employed will be deemed satisfied as of the date of Executive’s Qualifying Termination, and (ii)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Executive’s Qualifying Termination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the earlier of the last day</w:t>
      </w:r>
    </w:p>
    <w:p>
      <w:pPr>
        <w:sectPr>
          <w:pgSz w:w="11900" w:h="16838" w:orient="portrait"/>
          <w:cols w:equalWidth="0" w:num="1">
            <w:col w:w="11140"/>
          </w:cols>
          <w:pgMar w:left="420" w:top="33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60" w:right="100"/>
        <w:spacing w:after="0" w:line="263" w:lineRule="auto"/>
        <w:rPr>
          <w:sz w:val="20"/>
          <w:szCs w:val="20"/>
          <w:color w:val="auto"/>
        </w:rPr>
      </w:pPr>
      <w:r>
        <w:rPr>
          <w:rFonts w:ascii="Times New Roman" w:cs="Times New Roman" w:eastAsia="Times New Roman" w:hAnsi="Times New Roman"/>
          <w:sz w:val="22"/>
          <w:szCs w:val="22"/>
          <w:color w:val="auto"/>
        </w:rPr>
        <w:t>of the applicable performance period or the twelve (12) month anniversary of the date of Executive’s Qualifying Termination will be automatically forfeited without payment therefor as of the date of such twelve (12) month anniversary); and</w:t>
      </w:r>
    </w:p>
    <w:p>
      <w:pPr>
        <w:spacing w:after="0" w:line="19" w:lineRule="exact"/>
        <w:rPr>
          <w:sz w:val="20"/>
          <w:szCs w:val="20"/>
          <w:color w:val="auto"/>
        </w:rPr>
      </w:pPr>
    </w:p>
    <w:p>
      <w:pPr>
        <w:jc w:val="both"/>
        <w:ind w:left="660" w:right="100" w:firstLine="1290"/>
        <w:spacing w:after="0" w:line="259" w:lineRule="auto"/>
        <w:tabs>
          <w:tab w:leader="none" w:pos="250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commencing on the date of Executive’s Qualifying Termination and ending on the twelve (12)-month anniversary thereof or, if earlier, the date on which Executive becomes eligible for coverage under any group health plan of a subsequent employer or otherwise (in any case, the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subject to Executive’s valid election to continue healthcare coverage under Section 4980B of the Code and the regulations thereunder, the Company shall, in its sole discretion, either continue to provide coverage to Executive and Executive’s dependents (at the same or reasonably equivalent levels in effect immediately prior to the date of Executive’s Qualifying Termination), or reimburse Executive for coverage for Executive and Executive’s dependents, under its group health plan (if any), at the same or reasonably equivalent levels in effect on the date of Executive’s termination and subject to Executive paying the same cost for such coverage that would have applied had Executive’s employment not terminated, based on Executive’s elections in effect as of immediately prior to the date of Executive’s Qualifying Termination;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the remaining Company subsidy shall thereafter be paid to Executive in equal monthly installments over the COBRA Period (or remaining portion thereof) on the Company’s first regular payroll date of each calendar month, less required withholdings. For the avoidance of doubt, the COBRA continuation period under Section 4980B of the Code shall run concurrently with the period of continued group health plan coverage pursuant to this Section 3.2(a)(i)(4). The continued benefits, reimbursement or cash payments provided for in this Section 3.2(a)(i)(4) are referred to herein as the “</w:t>
      </w:r>
      <w:r>
        <w:rPr>
          <w:rFonts w:ascii="Times New Roman" w:cs="Times New Roman" w:eastAsia="Times New Roman" w:hAnsi="Times New Roman"/>
          <w:sz w:val="21"/>
          <w:szCs w:val="21"/>
          <w:u w:val="single" w:color="auto"/>
          <w:color w:val="auto"/>
        </w:rPr>
        <w:t>Continued Benefits</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color w:val="auto"/>
        </w:rPr>
      </w:pPr>
    </w:p>
    <w:p>
      <w:pPr>
        <w:jc w:val="both"/>
        <w:ind w:right="100" w:firstLine="1302"/>
        <w:spacing w:after="0" w:line="249" w:lineRule="auto"/>
        <w:tabs>
          <w:tab w:leader="none" w:pos="18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Enhancement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Executive is terminated without Cause or Executive resigns for Good Reason within one (1) month before or within twelve (12) months after a Change of Control (as defined below), Executive shall receive all of the benefits provided for in Section 3.2(a)(i) above, provided, however, that notwithstanding the terms any equity award agreements to the contrary, the time-based vesting provisions of all of Executive’s then-outstanding equity awards (including RSU and Options granted under the LTIP and any other equity incentive plans) shall be accelerated so that they are deemed to be one hundred percent (100%) time-vested. The foregoing protections on a Qualifying Termination following a Change of Control shall only apply to any equity awards granted prior to the Change of Control and assumed or substituted in the Change of</w:t>
      </w:r>
    </w:p>
    <w:p>
      <w:pPr>
        <w:sectPr>
          <w:pgSz w:w="11900" w:h="16838" w:orient="portrait"/>
          <w:cols w:equalWidth="0" w:num="1">
            <w:col w:w="10500"/>
          </w:cols>
          <w:pgMar w:left="1060" w:top="33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40" w:right="100"/>
        <w:spacing w:after="0" w:line="256" w:lineRule="auto"/>
        <w:rPr>
          <w:sz w:val="20"/>
          <w:szCs w:val="20"/>
          <w:color w:val="auto"/>
        </w:rPr>
      </w:pPr>
      <w:r>
        <w:rPr>
          <w:rFonts w:ascii="Times New Roman" w:cs="Times New Roman" w:eastAsia="Times New Roman" w:hAnsi="Times New Roman"/>
          <w:sz w:val="22"/>
          <w:szCs w:val="22"/>
          <w:color w:val="auto"/>
        </w:rPr>
        <w:t>Control and shall not apply to any equity awards granted to Executive in connection with or following the Change of Control. For purposes of this Agreement, “Change of Control” shall have the same definition as “Change in Control” set forth in the ECI 2021 Incentive Award Plan; provided, however, that the term “Company” as used therein shall mean either ECI or ESI.</w:t>
      </w:r>
    </w:p>
    <w:p>
      <w:pPr>
        <w:spacing w:after="0" w:line="28" w:lineRule="exact"/>
        <w:rPr>
          <w:sz w:val="20"/>
          <w:szCs w:val="20"/>
          <w:color w:val="auto"/>
        </w:rPr>
      </w:pPr>
    </w:p>
    <w:p>
      <w:pPr>
        <w:jc w:val="both"/>
        <w:ind w:left="640" w:right="100" w:firstLine="1302"/>
        <w:spacing w:after="0" w:line="247" w:lineRule="auto"/>
        <w:tabs>
          <w:tab w:leader="none" w:pos="2489"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payable pursuant to Section 3.2(a)(i) and Section 3.2(a)(ii)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shall be in lieu of notice or any other severance benefits to which you might otherwise be entitled from the Company or any of its subsidiaries. Notwithstanding anything to the contrary herein, the Company’s provision of the Severance Benefits shall be contingent upon Executive’s timely execution and non-revocation of a general waiver and release of claims agreement in substantially the form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subject to the terms set forth herein. Executive will have twenty-one (21) days (or in the event that Executive’s termination of employment is “in connection with an exit incentive or other employment termination program” (as such phrase is defined in the Age Discrimination in Employment Act of 1967, as amended), forty-five</w:t>
      </w:r>
    </w:p>
    <w:p>
      <w:pPr>
        <w:spacing w:after="0" w:line="6" w:lineRule="exact"/>
        <w:rPr>
          <w:rFonts w:ascii="Times New Roman" w:cs="Times New Roman" w:eastAsia="Times New Roman" w:hAnsi="Times New Roman"/>
          <w:sz w:val="22"/>
          <w:szCs w:val="22"/>
          <w:color w:val="auto"/>
        </w:rPr>
      </w:pPr>
    </w:p>
    <w:p>
      <w:pPr>
        <w:jc w:val="both"/>
        <w:ind w:left="640" w:right="100" w:firstLine="6"/>
        <w:spacing w:after="0" w:line="246" w:lineRule="auto"/>
        <w:tabs>
          <w:tab w:leader="none" w:pos="105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Executive’s receipt of the Release Agreement to consider whether or not to accept it. If the Release Agreement is signed and delivered by Executive to the Company, Executive will have seven (7) days from the date of delivery to revoke Executive’s acceptance of such agreement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the extent that any payments of nonqualified deferred compensation (within the meaning of Section 409A) due under this Agreement as a result of Executive’s termination of employment are delayed pursuant to this Section 3.2(a)(iii), such amounts shall be paid in a lump sum on the first payroll date to occur on or following the 60th day following the date of Executive’s Qualifying Termination.</w:t>
      </w:r>
    </w:p>
    <w:p>
      <w:pPr>
        <w:spacing w:after="0" w:line="226" w:lineRule="exact"/>
        <w:rPr>
          <w:rFonts w:ascii="Times New Roman" w:cs="Times New Roman" w:eastAsia="Times New Roman" w:hAnsi="Times New Roman"/>
          <w:sz w:val="22"/>
          <w:szCs w:val="22"/>
          <w:color w:val="auto"/>
        </w:rPr>
      </w:pPr>
    </w:p>
    <w:p>
      <w:pPr>
        <w:jc w:val="both"/>
        <w:ind w:left="640" w:right="100" w:firstLine="1302"/>
        <w:spacing w:after="0" w:line="252" w:lineRule="auto"/>
        <w:tabs>
          <w:tab w:leader="none" w:pos="249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does not timely execute the Release Agreement or such Release Agreement is revoked by Executive during the Revocation Period, the Company shall immediately cease paying or providing the Severance Benefits and Executive shall reimburse the Company for the value of any Severance Benefits already paid or provided.</w:t>
      </w:r>
    </w:p>
    <w:p>
      <w:pPr>
        <w:spacing w:after="0" w:line="287" w:lineRule="exact"/>
        <w:rPr>
          <w:rFonts w:ascii="Times New Roman" w:cs="Times New Roman" w:eastAsia="Times New Roman" w:hAnsi="Times New Roman"/>
          <w:sz w:val="22"/>
          <w:szCs w:val="22"/>
          <w:color w:val="auto"/>
        </w:rPr>
      </w:pPr>
    </w:p>
    <w:p>
      <w:pPr>
        <w:ind w:left="640" w:right="120" w:firstLine="1302"/>
        <w:spacing w:after="0" w:line="284" w:lineRule="auto"/>
        <w:tabs>
          <w:tab w:leader="none" w:pos="2485"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3.2 shall supersede in their entirety any severance payment provisions in any severance plan, policy, program or other arrangement maintained by the Company.</w:t>
      </w:r>
    </w:p>
    <w:p>
      <w:pPr>
        <w:spacing w:after="0" w:line="143" w:lineRule="exact"/>
        <w:rPr>
          <w:rFonts w:ascii="Times New Roman" w:cs="Times New Roman" w:eastAsia="Times New Roman" w:hAnsi="Times New Roman"/>
          <w:sz w:val="22"/>
          <w:szCs w:val="22"/>
          <w:color w:val="auto"/>
        </w:rPr>
      </w:pPr>
    </w:p>
    <w:p>
      <w:pPr>
        <w:jc w:val="both"/>
        <w:ind w:right="100" w:firstLine="1293"/>
        <w:spacing w:after="0" w:line="253" w:lineRule="auto"/>
        <w:tabs>
          <w:tab w:leader="none" w:pos="18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upon a Termination due to Death or Disability</w:t>
      </w:r>
      <w:r>
        <w:rPr>
          <w:rFonts w:ascii="Times New Roman" w:cs="Times New Roman" w:eastAsia="Times New Roman" w:hAnsi="Times New Roman"/>
          <w:sz w:val="22"/>
          <w:szCs w:val="22"/>
          <w:color w:val="auto"/>
        </w:rPr>
        <w:t>. If Executive’s employment is terminated pursuant to Section 3.1(c) above, then Executive shall, subject to Executive’s (or Executive’s personal representative) execution and non-revocation of a Release Agreement, and subject to Sections 3.2(a)(iii), Section 3.2(a)(iv) and 9.7, be entitled to receive, in addition to the Accrued Amounts, the Pro Rata Bonus, payable in a lump sum within sixty (60) days following the date of such termination, less applicable withholdings and deductions.</w:t>
      </w:r>
    </w:p>
    <w:p>
      <w:pPr>
        <w:spacing w:after="0" w:line="286" w:lineRule="exact"/>
        <w:rPr>
          <w:rFonts w:ascii="Times New Roman" w:cs="Times New Roman" w:eastAsia="Times New Roman" w:hAnsi="Times New Roman"/>
          <w:sz w:val="22"/>
          <w:szCs w:val="22"/>
          <w:color w:val="auto"/>
        </w:rPr>
      </w:pPr>
    </w:p>
    <w:p>
      <w:pPr>
        <w:jc w:val="both"/>
        <w:ind w:right="120" w:firstLine="1293"/>
        <w:spacing w:after="0" w:line="257" w:lineRule="auto"/>
        <w:tabs>
          <w:tab w:leader="none" w:pos="184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Executive’s employment pursuant to any of the circumstances listed in Section 3.1 above, Executive (or Executive’s estate) shall be entitled to receive the sum of: (x) any unpaid Base Salary and any other earned but unpaid compensation with</w:t>
      </w:r>
    </w:p>
    <w:p>
      <w:pPr>
        <w:sectPr>
          <w:pgSz w:w="11900" w:h="16838" w:orient="portrait"/>
          <w:cols w:equalWidth="0" w:num="1">
            <w:col w:w="11140"/>
          </w:cols>
          <w:pgMar w:left="420" w:top="33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22"/>
          <w:szCs w:val="22"/>
          <w:color w:val="auto"/>
        </w:rPr>
        <w:t>respect to the period prior to the effective date of termination, (y) reimbursement of expenses to which Executive is entitled and (z) any other benefits to which Executive is legally entitled (collectively, the “</w:t>
      </w:r>
      <w:r>
        <w:rPr>
          <w:rFonts w:ascii="Times New Roman" w:cs="Times New Roman" w:eastAsia="Times New Roman" w:hAnsi="Times New Roman"/>
          <w:sz w:val="22"/>
          <w:szCs w:val="22"/>
          <w:u w:val="single" w:color="auto"/>
          <w:color w:val="auto"/>
        </w:rPr>
        <w:t>Accrued Amounts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IV CONFIDENTIALITY</w:t>
      </w:r>
    </w:p>
    <w:p>
      <w:pPr>
        <w:spacing w:after="0" w:line="251" w:lineRule="exact"/>
        <w:rPr>
          <w:sz w:val="20"/>
          <w:szCs w:val="20"/>
          <w:color w:val="auto"/>
        </w:rPr>
      </w:pPr>
    </w:p>
    <w:p>
      <w:pPr>
        <w:jc w:val="both"/>
        <w:ind w:right="100" w:firstLine="647"/>
        <w:spacing w:after="0" w:line="252"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Confidentiality Obligations</w:t>
      </w:r>
      <w:r>
        <w:rPr>
          <w:rFonts w:ascii="Times New Roman" w:cs="Times New Roman" w:eastAsia="Times New Roman" w:hAnsi="Times New Roman"/>
          <w:sz w:val="22"/>
          <w:szCs w:val="22"/>
          <w:color w:val="auto"/>
        </w:rPr>
        <w:t>. During Executive’s employment with the Company and following termination of that employment for any reason, Executive will not directly or indirectly use or disclose any Confidential Information (as defined below) except in the interest of, for the benefit of, or with the prior consent of the Company, its parents, subsidiaries and affiliates. Executive understands that Executive’s obligations of non-disclosure do not apply to information that Executive can establish by competent proof (x) arises from Executive’s general training, knowledge, skill or experience, whether gained on the job or otherwise; (y) that is readily ascertainable to the public, or (z) that the Executive has a right to disclose as legally protected conduct.</w:t>
      </w:r>
    </w:p>
    <w:p>
      <w:pPr>
        <w:spacing w:after="0" w:line="206" w:lineRule="exact"/>
        <w:rPr>
          <w:sz w:val="20"/>
          <w:szCs w:val="20"/>
          <w:color w:val="auto"/>
        </w:rPr>
      </w:pPr>
    </w:p>
    <w:p>
      <w:pPr>
        <w:jc w:val="both"/>
        <w:ind w:right="120" w:firstLine="647"/>
        <w:spacing w:after="0" w:line="263"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Permitted Communications</w:t>
      </w:r>
      <w:r>
        <w:rPr>
          <w:rFonts w:ascii="Times New Roman" w:cs="Times New Roman" w:eastAsia="Times New Roman" w:hAnsi="Times New Roman"/>
          <w:sz w:val="22"/>
          <w:szCs w:val="22"/>
          <w:color w:val="auto"/>
        </w:rPr>
        <w:t>. Nothing in this Agreement shall be construed to prohibit Executive from providing truthful information to any government agency in connection with an investigation by such agency into a suspected violation of law, subject to Section 9.8.</w:t>
      </w:r>
    </w:p>
    <w:p>
      <w:pPr>
        <w:spacing w:after="0" w:line="275" w:lineRule="exact"/>
        <w:rPr>
          <w:sz w:val="20"/>
          <w:szCs w:val="20"/>
          <w:color w:val="auto"/>
        </w:rPr>
      </w:pPr>
    </w:p>
    <w:p>
      <w:pPr>
        <w:jc w:val="both"/>
        <w:ind w:right="100" w:firstLine="647"/>
        <w:spacing w:after="0" w:line="24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Agreement by Executive.</w:t>
      </w:r>
    </w:p>
    <w:p>
      <w:pPr>
        <w:sectPr>
          <w:pgSz w:w="11900" w:h="16838" w:orient="portrait"/>
          <w:cols w:equalWidth="0" w:num="1">
            <w:col w:w="11140"/>
          </w:cols>
          <w:pgMar w:left="420" w:top="33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ARTICLE V NONCOMPETITION; NONSOLICITATION</w:t>
      </w:r>
    </w:p>
    <w:p>
      <w:pPr>
        <w:spacing w:after="0" w:line="264" w:lineRule="exact"/>
        <w:rPr>
          <w:sz w:val="20"/>
          <w:szCs w:val="20"/>
          <w:color w:val="auto"/>
        </w:rPr>
      </w:pPr>
    </w:p>
    <w:p>
      <w:pPr>
        <w:jc w:val="both"/>
        <w:ind w:right="120" w:firstLine="647"/>
        <w:spacing w:after="0" w:line="25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 In consideration of Executive’s continued participation in the LTIP grant, the equity award grants contemplated to be made to Executive in connection with the execution of this Agreement, the other compensation and benefits described herein, and other good and valuable consideration, Executive agrees that the following restrictions on Executive’s activities during and after Executive’s employment are reasonable and necessary to protect the legitimate interests of the Company:</w:t>
      </w:r>
    </w:p>
    <w:p>
      <w:pPr>
        <w:spacing w:after="0" w:line="206" w:lineRule="exact"/>
        <w:rPr>
          <w:sz w:val="20"/>
          <w:szCs w:val="20"/>
          <w:color w:val="auto"/>
        </w:rPr>
      </w:pPr>
    </w:p>
    <w:p>
      <w:pPr>
        <w:jc w:val="both"/>
        <w:ind w:right="100" w:firstLine="1293"/>
        <w:spacing w:after="0" w:line="248" w:lineRule="auto"/>
        <w:tabs>
          <w:tab w:leader="none" w:pos="184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Executive acknowledges that during Executive’s employment Executive will have access to and knowledge of Confidential Information. To protect the Confidential Information, Executive agrees that during the period of Executive’s employment by the Company, Executive will not, without the Company’s express written consent, engage in any other employment or business activity which is competitive with the Company, or would otherwise conflict with Executive’s obligations to the Company. In addition, to protect such Confidential Information, Executive agrees that during the Restricted Period, Executive will not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in each case involving any of the services Executive provided to the Company at any time during Executive’s employment with the Company or, with respect to the portion of the Restricted Period that follows the termination of Executive’s employment, during the last two (2) years of Executive’s employment with the Company. It is agreed that passive ownership of (i) no more than one percent (1%) of the outstanding voting stock of a publicly traded corporation, or (ii) any stock Executive presently owns or any stock Executive acquires without breaching this Agreement following the Effective Date through an investment directed by him of up to an aggregate of $1,000,000 in any entity (based on the fair market value at the time of acquisition) will not constitute a violation of this provision.</w:t>
      </w:r>
    </w:p>
    <w:p>
      <w:pPr>
        <w:spacing w:after="0" w:line="223" w:lineRule="exact"/>
        <w:rPr>
          <w:rFonts w:ascii="Times New Roman" w:cs="Times New Roman" w:eastAsia="Times New Roman" w:hAnsi="Times New Roman"/>
          <w:sz w:val="22"/>
          <w:szCs w:val="22"/>
          <w:color w:val="auto"/>
        </w:rPr>
      </w:pPr>
    </w:p>
    <w:p>
      <w:pPr>
        <w:jc w:val="both"/>
        <w:ind w:right="100" w:firstLine="1456"/>
        <w:spacing w:after="0" w:line="262" w:lineRule="auto"/>
        <w:tabs>
          <w:tab w:leader="none" w:pos="184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Executive acknowledges that during Executive’s employment Executive will have access to and knowledge of Confidential Information. During the Restricted Period, Executive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Executive shall not be deemed to have solicited an individual in violation of clause (a) above if such individual responds to an employment advertisement, web posting or other public publication regarding an open position with Executive</w:t>
      </w:r>
    </w:p>
    <w:p>
      <w:pPr>
        <w:sectPr>
          <w:pgSz w:w="11900" w:h="16838" w:orient="portrait"/>
          <w:cols w:equalWidth="0" w:num="1">
            <w:col w:w="11140"/>
          </w:cols>
          <w:pgMar w:left="420" w:top="33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or an entity with which Executive is associated, or is referred to Executive or an entity affiliated with Executive by a search firm absent any direct or indirect solicitation by Executive.</w:t>
      </w:r>
    </w:p>
    <w:p>
      <w:pPr>
        <w:spacing w:after="0" w:line="198" w:lineRule="exact"/>
        <w:rPr>
          <w:sz w:val="20"/>
          <w:szCs w:val="20"/>
          <w:color w:val="auto"/>
        </w:rPr>
      </w:pPr>
    </w:p>
    <w:p>
      <w:pPr>
        <w:jc w:val="both"/>
        <w:ind w:right="100" w:firstLine="1293"/>
        <w:spacing w:after="0" w:line="247" w:lineRule="auto"/>
        <w:tabs>
          <w:tab w:leader="none" w:pos="184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this Agreement: (a) during Executive’s employment with the Company, the term “Restricted Business” means any business conducted by the Company at any time during Executive’s employment with the Company, and with respect to the portion of the Restricted Period that follows the termination of Executive’s employment, “Restricted Business” means any business conducted by the Company during Executive’s last two (2) years of employment with the Company, (b) during Executive’s employment with the Company, “Restricted Territory” means any state, county, or locality in the United States in which the Company conducts business and any other country, city, state, jurisdiction, or territory in which the Company does business, in each case, at any time during Executive’s employment or, with respect to the portion of the Restricted Period that follows the termination of Executive’s employment, any geographic area where Executive provided services or had a material presence or influence during Executive’s last two (2) years of employment with the Company, (c) “Restricted Period” means Executive’s employment with the Company whether full-time or part-time and for a period of one (1) year immediately following the termination of Executive’s employment, and (d) “Company” (for purposes of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only) shall include the Company and any parent, affiliate, related and/or direct or indirect subsidiary thereof.</w:t>
      </w: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RETURN OF RECORDS</w:t>
      </w:r>
    </w:p>
    <w:p>
      <w:pPr>
        <w:spacing w:after="0" w:line="209"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2"/>
          <w:szCs w:val="22"/>
          <w:color w:val="auto"/>
        </w:rPr>
        <w:t>Upon termination of Executive’s employment with the Company for any reason, or upon request by the Company at any time: (a) Executive shall promptly return to the Company all documents, records and materials belonging to the Company and all copies of all such materials; and (b) Executive shall permanently destroy and delete all such documents, records and materials in Executive’s possession or to which Executive has access. The foregoing obligations shall not apply to Executive’s own compensation and benefits records and information, and agreements Executive signed in connection with Executive’s employment.</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EXECUTIVE DISCLOSURES AND ACKNOWLEDGMENTS</w:t>
      </w:r>
    </w:p>
    <w:p>
      <w:pPr>
        <w:spacing w:after="0" w:line="304" w:lineRule="exact"/>
        <w:rPr>
          <w:sz w:val="20"/>
          <w:szCs w:val="20"/>
          <w:color w:val="auto"/>
        </w:rPr>
      </w:pPr>
    </w:p>
    <w:p>
      <w:pPr>
        <w:jc w:val="both"/>
        <w:ind w:right="120" w:firstLine="647"/>
        <w:spacing w:after="0" w:line="25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Obligations to Others</w:t>
      </w:r>
      <w:r>
        <w:rPr>
          <w:rFonts w:ascii="Times New Roman" w:cs="Times New Roman" w:eastAsia="Times New Roman" w:hAnsi="Times New Roman"/>
          <w:sz w:val="22"/>
          <w:szCs w:val="22"/>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219" w:lineRule="exact"/>
        <w:rPr>
          <w:sz w:val="20"/>
          <w:szCs w:val="20"/>
          <w:color w:val="auto"/>
        </w:rPr>
      </w:pPr>
    </w:p>
    <w:p>
      <w:pPr>
        <w:jc w:val="both"/>
        <w:ind w:right="1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Scope of Restrictions</w:t>
      </w:r>
      <w:r>
        <w:rPr>
          <w:rFonts w:ascii="Times New Roman" w:cs="Times New Roman" w:eastAsia="Times New Roman" w:hAnsi="Times New Roman"/>
          <w:sz w:val="22"/>
          <w:szCs w:val="22"/>
          <w:color w:val="auto"/>
        </w:rPr>
        <w:t>. Executive acknowledges that: (a) during the course of Executive’s employment with the Company, Executive has gained and will gain knowledge of Confidential Information, including trade secrets, and access to and familiarity with the</w:t>
      </w:r>
    </w:p>
    <w:p>
      <w:pPr>
        <w:sectPr>
          <w:pgSz w:w="11900" w:h="16838" w:orient="portrait"/>
          <w:cols w:equalWidth="0" w:num="1">
            <w:col w:w="11140"/>
          </w:cols>
          <w:pgMar w:left="420" w:top="33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 xml:space="preserve">Company’s customers, employees and contractors; (b) the covenants of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are essential to prevent Executive,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Executive’s skill and experience, business, goodwill and proprietary rights; (d) the Covenants are supported by adequate consideration; and (e) the Covenants will not prevent Executive from earning a living in the event of, and after, termination of Executive’s employment with the Company, for whatever reason. Nothing herein shall be deemed to prevent Executive, after termination of Executive’s employment with the Company, from using general skills and knowledge gained while employed by the Company.</w:t>
      </w:r>
    </w:p>
    <w:p>
      <w:pPr>
        <w:spacing w:after="0" w:line="220" w:lineRule="exact"/>
        <w:rPr>
          <w:sz w:val="20"/>
          <w:szCs w:val="20"/>
          <w:color w:val="auto"/>
        </w:rPr>
      </w:pPr>
    </w:p>
    <w:p>
      <w:pPr>
        <w:jc w:val="both"/>
        <w:ind w:right="100" w:firstLine="647"/>
        <w:spacing w:after="0" w:line="251"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Remedies for Breach</w:t>
      </w:r>
      <w:r>
        <w:rPr>
          <w:rFonts w:ascii="Times New Roman" w:cs="Times New Roman" w:eastAsia="Times New Roman" w:hAnsi="Times New Roman"/>
          <w:sz w:val="22"/>
          <w:szCs w:val="22"/>
          <w:color w:val="auto"/>
        </w:rPr>
        <w:t>. The parties recognize that Executive’s breach of this Agreement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The prevailing party in such action shall be entitled to recover its reasonable attorney’s fees and costs from the non-prevailing party.</w:t>
      </w:r>
    </w:p>
    <w:p>
      <w:pPr>
        <w:spacing w:after="0" w:line="208" w:lineRule="exact"/>
        <w:rPr>
          <w:sz w:val="20"/>
          <w:szCs w:val="20"/>
          <w:color w:val="auto"/>
        </w:rPr>
      </w:pPr>
    </w:p>
    <w:p>
      <w:pPr>
        <w:jc w:val="both"/>
        <w:ind w:right="120" w:firstLine="647"/>
        <w:spacing w:after="0" w:line="284"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Prospective Employers</w:t>
      </w:r>
      <w:r>
        <w:rPr>
          <w:rFonts w:ascii="Times New Roman" w:cs="Times New Roman" w:eastAsia="Times New Roman" w:hAnsi="Times New Roman"/>
          <w:sz w:val="22"/>
          <w:szCs w:val="22"/>
          <w:color w:val="auto"/>
        </w:rPr>
        <w:t>. Executive agrees, during the term of any restriction contained in Articles IV and V of this Agreement, to disclose this Agreement to any entity which offers employment to Executive.</w:t>
      </w:r>
    </w:p>
    <w:p>
      <w:pPr>
        <w:spacing w:after="0" w:line="184" w:lineRule="exact"/>
        <w:rPr>
          <w:sz w:val="20"/>
          <w:szCs w:val="20"/>
          <w:color w:val="auto"/>
        </w:rPr>
      </w:pPr>
    </w:p>
    <w:p>
      <w:pPr>
        <w:jc w:val="both"/>
        <w:ind w:right="100" w:firstLine="647"/>
        <w:spacing w:after="0" w:line="248"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xml:space="preserve">. The Company’s parents, affiliates and subsidiaries are third-party beneficiaries with respect to Executive’s performance of Executive’s duties under this Agreement and the undertakings and covenants contained in this Agreement. The Company and any of its parents, affiliates or subsidiaries, enjoying the benefits thereof, may enforce directly against Executive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this Agreement. For purposes of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this Agreement only, the term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as it relates to the Company, shall mean any individual or entity controlling, controlled by or under common control with the Company.</w:t>
      </w:r>
    </w:p>
    <w:p>
      <w:pPr>
        <w:spacing w:after="0" w:line="227" w:lineRule="exact"/>
        <w:rPr>
          <w:sz w:val="20"/>
          <w:szCs w:val="20"/>
          <w:color w:val="auto"/>
        </w:rPr>
      </w:pPr>
    </w:p>
    <w:p>
      <w:pPr>
        <w:jc w:val="both"/>
        <w:ind w:right="120" w:firstLine="647"/>
        <w:spacing w:after="0" w:line="284"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Extension of Time</w:t>
      </w:r>
      <w:r>
        <w:rPr>
          <w:rFonts w:ascii="Times New Roman" w:cs="Times New Roman" w:eastAsia="Times New Roman" w:hAnsi="Times New Roman"/>
          <w:sz w:val="22"/>
          <w:szCs w:val="22"/>
          <w:color w:val="auto"/>
        </w:rPr>
        <w:t>. The Restricted Period shall be extended by a period of time equal to the duration of any time period during which Executive is in breach of this Agreement.</w:t>
      </w:r>
    </w:p>
    <w:p>
      <w:pPr>
        <w:spacing w:after="0" w:line="171" w:lineRule="exact"/>
        <w:rPr>
          <w:sz w:val="20"/>
          <w:szCs w:val="20"/>
          <w:color w:val="auto"/>
        </w:rPr>
      </w:pPr>
    </w:p>
    <w:p>
      <w:pPr>
        <w:jc w:val="both"/>
        <w:ind w:right="120" w:firstLine="647"/>
        <w:spacing w:after="0" w:line="281"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covenants set forth in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this Agreement shall survive the termination of Executive’s employment hereunder.</w:t>
      </w:r>
    </w:p>
    <w:p>
      <w:pPr>
        <w:spacing w:after="0" w:line="2" w:lineRule="exact"/>
        <w:rPr>
          <w:sz w:val="20"/>
          <w:szCs w:val="20"/>
          <w:color w:val="auto"/>
        </w:rPr>
      </w:pPr>
    </w:p>
    <w:p>
      <w:pPr>
        <w:jc w:val="both"/>
        <w:ind w:right="120" w:firstLine="647"/>
        <w:spacing w:after="0" w:line="250"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It is the intent of the parties that if any court of competent jurisdiction determines that any provision of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ectPr>
          <w:pgSz w:w="11900" w:h="16838" w:orient="portrait"/>
          <w:cols w:equalWidth="0" w:num="1">
            <w:col w:w="11140"/>
          </w:cols>
          <w:pgMar w:left="420" w:top="33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RIGHTS IN DEVELOPMENTS</w:t>
      </w:r>
    </w:p>
    <w:p>
      <w:pPr>
        <w:spacing w:after="0" w:line="223" w:lineRule="exact"/>
        <w:rPr>
          <w:sz w:val="20"/>
          <w:szCs w:val="20"/>
          <w:color w:val="auto"/>
        </w:rPr>
      </w:pPr>
    </w:p>
    <w:p>
      <w:pPr>
        <w:jc w:val="both"/>
        <w:ind w:right="100" w:firstLine="647"/>
        <w:spacing w:after="0" w:line="24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Work for Hire</w:t>
      </w:r>
      <w:r>
        <w:rPr>
          <w:rFonts w:ascii="Times New Roman" w:cs="Times New Roman" w:eastAsia="Times New Roman" w:hAnsi="Times New Roman"/>
          <w:sz w:val="22"/>
          <w:szCs w:val="22"/>
          <w:color w:val="auto"/>
        </w:rPr>
        <w:t>. Executive acknowledges and agrees that all Inventions (defined below) which Executive makes, conceives, reduces to practice or develops (in whole or in part, either alone or jointly with others) within the scope of Executive’s employment shall be the sole and exclusive property of the Company. Unless the Company decides otherwise, the Company shall be the sole owner of all rights in connection therewith. All Inventions are and at all times shall be “work made for hire.” Executive hereby assigns to the Company any and all of Executive’s rights to any Inventions, absolutely and forever, throughout the world and for the full term of each and every such right, including renewal or extension of any such term, provided that this Agreement does not apply to an Invention for which no equipment, supplies, facility or information of the Company was used and which was developed entirely on Executive’s own time, unless (i) the Invention relates directly to the business of the employer to the Restricted Business; or (ii) the Invention results from any work performed by Executive for the Company. The term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any works of authorship, discoveries, formulae, processes, improvements, inventions, designs, drawings, specifications, notes, graphics, source and other code, trade secrets, technologies, algorithms, computer programs, audio, video or other files or content, ideas, designs, processes, techniques, know-how and data, whether or not patentable or copyrightable, made, conceived, reduced to practice or developed by Executive, either alone or jointly with others, during Executive’s employment.</w:t>
      </w:r>
    </w:p>
    <w:p>
      <w:pPr>
        <w:spacing w:after="0" w:line="216" w:lineRule="exact"/>
        <w:rPr>
          <w:sz w:val="20"/>
          <w:szCs w:val="20"/>
          <w:color w:val="auto"/>
        </w:rPr>
      </w:pPr>
    </w:p>
    <w:p>
      <w:pPr>
        <w:jc w:val="both"/>
        <w:ind w:right="100" w:firstLine="647"/>
        <w:spacing w:after="0" w:line="26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Assistance</w:t>
      </w:r>
      <w:r>
        <w:rPr>
          <w:rFonts w:ascii="Times New Roman" w:cs="Times New Roman" w:eastAsia="Times New Roman" w:hAnsi="Times New Roman"/>
          <w:sz w:val="21"/>
          <w:szCs w:val="21"/>
          <w:color w:val="auto"/>
        </w:rPr>
        <w:t>. Executive agrees to perform all acts deemed necessary or desirable by the Company to permit and assist the Company, at the Company’s expense, in evidencing, perfecting, obtaining, maintaining, defending and enforcing the Company’s rights and/or Executive’s assignment with respect to such Inventions in any and all countries. Such acts may include, without limitation,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w:t>
      </w:r>
    </w:p>
    <w:p>
      <w:pPr>
        <w:spacing w:after="0" w:line="260" w:lineRule="exact"/>
        <w:rPr>
          <w:sz w:val="20"/>
          <w:szCs w:val="20"/>
          <w:color w:val="auto"/>
        </w:rPr>
      </w:pPr>
    </w:p>
    <w:p>
      <w:pPr>
        <w:jc w:val="both"/>
        <w:ind w:right="120" w:firstLine="647"/>
        <w:spacing w:after="0" w:line="24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Executive shall keep complete, accurate and authentic information and records on all Inventions in the manner and form reasonably requested by the Company. Such information and records, and all copies thereof, shall be the property of the Company as to any Inventions within the meaning of this Agreement. Such records should be considered proprietary information of the Company and are subject to the provisions of this Agreement. In addition, </w:t>
      </w:r>
      <w:r>
        <w:rPr>
          <w:rFonts w:ascii="Times New Roman" w:cs="Times New Roman" w:eastAsia="Times New Roman" w:hAnsi="Times New Roman"/>
          <w:sz w:val="19"/>
          <w:szCs w:val="19"/>
          <w:color w:val="auto"/>
        </w:rPr>
        <w:t>Executive agrees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promptly surrender all such records and information, and all copies thereof, at the request of the Company.</w:t>
      </w:r>
    </w:p>
    <w:p>
      <w:pPr>
        <w:spacing w:after="0" w:line="248" w:lineRule="exact"/>
        <w:rPr>
          <w:sz w:val="20"/>
          <w:szCs w:val="20"/>
          <w:color w:val="auto"/>
        </w:rPr>
      </w:pPr>
    </w:p>
    <w:p>
      <w:pPr>
        <w:jc w:val="both"/>
        <w:ind w:right="1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List of Inventions</w:t>
      </w:r>
      <w:r>
        <w:rPr>
          <w:rFonts w:ascii="Times New Roman" w:cs="Times New Roman" w:eastAsia="Times New Roman" w:hAnsi="Times New Roman"/>
          <w:sz w:val="22"/>
          <w:szCs w:val="22"/>
          <w:color w:val="auto"/>
        </w:rPr>
        <w:t xml:space="preserve">. Executive has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 complete list of all existing Inventions to which Executive claims ownership as of the date of this Agreement and that Executive desires to clarify are not subject to this Agreement, and Executive acknowledges and</w:t>
      </w:r>
    </w:p>
    <w:p>
      <w:pPr>
        <w:sectPr>
          <w:pgSz w:w="11900" w:h="16838" w:orient="portrait"/>
          <w:cols w:equalWidth="0" w:num="1">
            <w:col w:w="11140"/>
          </w:cols>
          <w:pgMar w:left="420" w:top="33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22"/>
          <w:szCs w:val="22"/>
          <w:color w:val="auto"/>
        </w:rPr>
        <w:t>agrees that such list is complete. If no such list is attached to this Agreement, Executive represents that Executive has no such Inventions at the time of signing this Agreement.</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IX MISCELLANEOUS</w:t>
      </w:r>
    </w:p>
    <w:p>
      <w:pPr>
        <w:spacing w:after="0" w:line="251" w:lineRule="exact"/>
        <w:rPr>
          <w:sz w:val="20"/>
          <w:szCs w:val="20"/>
          <w:color w:val="auto"/>
        </w:rPr>
      </w:pPr>
    </w:p>
    <w:p>
      <w:pPr>
        <w:jc w:val="both"/>
        <w:ind w:right="100" w:firstLine="647"/>
        <w:spacing w:after="0" w:line="25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Entire Agreement; Amendment; Waiver</w:t>
      </w:r>
      <w:r>
        <w:rPr>
          <w:rFonts w:ascii="Times New Roman" w:cs="Times New Roman" w:eastAsia="Times New Roman" w:hAnsi="Times New Roman"/>
          <w:sz w:val="22"/>
          <w:szCs w:val="22"/>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This Agreement shall not be amended or waived in whole or in part except by a written instrument duly executed by each of the parties hereto.</w:t>
      </w:r>
    </w:p>
    <w:p>
      <w:pPr>
        <w:spacing w:after="0" w:line="287" w:lineRule="exact"/>
        <w:rPr>
          <w:sz w:val="20"/>
          <w:szCs w:val="20"/>
          <w:color w:val="auto"/>
        </w:rPr>
      </w:pPr>
    </w:p>
    <w:p>
      <w:pPr>
        <w:jc w:val="both"/>
        <w:ind w:right="100" w:firstLine="647"/>
        <w:spacing w:after="0" w:line="28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sections and articles of this Agreement are for convenience of reference only and shall not control or affect the meaning or construction of any of its provisions.</w:t>
      </w:r>
    </w:p>
    <w:p>
      <w:pPr>
        <w:spacing w:after="0" w:line="171" w:lineRule="exact"/>
        <w:rPr>
          <w:sz w:val="20"/>
          <w:szCs w:val="20"/>
          <w:color w:val="auto"/>
        </w:rPr>
      </w:pPr>
    </w:p>
    <w:p>
      <w:pPr>
        <w:jc w:val="both"/>
        <w:ind w:right="120" w:firstLine="647"/>
        <w:spacing w:after="0" w:line="28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the breach of any provision of this Agreement shall not operate or be construed as a waiver of any subsequent breach by either party.</w:t>
      </w:r>
    </w:p>
    <w:p>
      <w:pPr>
        <w:spacing w:after="0" w:line="252" w:lineRule="exact"/>
        <w:rPr>
          <w:sz w:val="20"/>
          <w:szCs w:val="20"/>
          <w:color w:val="auto"/>
        </w:rPr>
      </w:pPr>
    </w:p>
    <w:p>
      <w:pPr>
        <w:jc w:val="both"/>
        <w:ind w:right="120" w:firstLine="647"/>
        <w:spacing w:after="0" w:line="271"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Governing Law; Exclusive Jurisdiction</w:t>
      </w:r>
      <w:r>
        <w:rPr>
          <w:rFonts w:ascii="Times New Roman" w:cs="Times New Roman" w:eastAsia="Times New Roman" w:hAnsi="Times New Roman"/>
          <w:sz w:val="22"/>
          <w:szCs w:val="22"/>
          <w:color w:val="auto"/>
        </w:rPr>
        <w:t>. This Agreement shall in all respects be construed according to the laws of the State of Colorado, without regard to its conflict of laws principles.</w:t>
      </w:r>
    </w:p>
    <w:p>
      <w:pPr>
        <w:spacing w:after="0" w:line="198" w:lineRule="exact"/>
        <w:rPr>
          <w:sz w:val="20"/>
          <w:szCs w:val="20"/>
          <w:color w:val="auto"/>
        </w:rPr>
      </w:pPr>
    </w:p>
    <w:p>
      <w:pPr>
        <w:jc w:val="both"/>
        <w:ind w:right="120" w:firstLine="647"/>
        <w:spacing w:after="0" w:line="295"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shall inure to the benefit of Executive and Executive’s heirs, executors and estate administrators. This Agreement shall inure to the benefit of the Company and its successors, assigns and legal representatives.</w:t>
      </w:r>
    </w:p>
    <w:p>
      <w:pPr>
        <w:spacing w:after="0" w:line="176" w:lineRule="exact"/>
        <w:rPr>
          <w:sz w:val="20"/>
          <w:szCs w:val="20"/>
          <w:color w:val="auto"/>
        </w:rPr>
      </w:pPr>
    </w:p>
    <w:p>
      <w:pPr>
        <w:jc w:val="both"/>
        <w:ind w:right="120" w:firstLine="647"/>
        <w:spacing w:after="0" w:line="27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all of which together shall contribute one and the same instrument.</w:t>
      </w:r>
    </w:p>
    <w:p>
      <w:pPr>
        <w:spacing w:after="0" w:line="19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right="100" w:firstLine="1375"/>
        <w:spacing w:after="0" w:line="248" w:lineRule="auto"/>
        <w:tabs>
          <w:tab w:leader="none" w:pos="18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It is the intention of both the Company and Executive that the benefits and rights to which Executive could be entitled pursuant to this Agreement comply with Section 409A of the Code and the Treasury Regulations and other guidance promulgated or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Executive and on the Company). No provision of this Agreement shall be interpreted or construed to transfer any liability for failure to comply with the requirements of Section 409A from Executive or any other</w:t>
      </w:r>
    </w:p>
    <w:p>
      <w:pPr>
        <w:sectPr>
          <w:pgSz w:w="11900" w:h="16838" w:orient="portrait"/>
          <w:cols w:equalWidth="0" w:num="1">
            <w:col w:w="11140"/>
          </w:cols>
          <w:pgMar w:left="420" w:top="33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individual to the Company or any of its affiliates, employees or agents. All payments to Executive under this Agreement shall be subject to applicable taxes and withholdings.</w:t>
      </w:r>
    </w:p>
    <w:p>
      <w:pPr>
        <w:spacing w:after="0" w:line="279" w:lineRule="exact"/>
        <w:rPr>
          <w:sz w:val="20"/>
          <w:szCs w:val="20"/>
          <w:color w:val="auto"/>
        </w:rPr>
      </w:pPr>
    </w:p>
    <w:p>
      <w:pPr>
        <w:jc w:val="both"/>
        <w:ind w:right="100" w:firstLine="1293"/>
        <w:spacing w:after="0" w:line="250" w:lineRule="auto"/>
        <w:tabs>
          <w:tab w:leader="none" w:pos="18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on Account of Separation from Service</w:t>
      </w:r>
      <w:r>
        <w:rPr>
          <w:rFonts w:ascii="Times New Roman" w:cs="Times New Roman" w:eastAsia="Times New Roman" w:hAnsi="Times New Roman"/>
          <w:sz w:val="22"/>
          <w:szCs w:val="22"/>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jc w:val="both"/>
        <w:ind w:right="120" w:firstLine="1293"/>
        <w:spacing w:after="0" w:line="256" w:lineRule="auto"/>
        <w:tabs>
          <w:tab w:leader="none" w:pos="18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216" w:lineRule="exact"/>
        <w:rPr>
          <w:rFonts w:ascii="Times New Roman" w:cs="Times New Roman" w:eastAsia="Times New Roman" w:hAnsi="Times New Roman"/>
          <w:sz w:val="22"/>
          <w:szCs w:val="22"/>
          <w:color w:val="auto"/>
        </w:rPr>
      </w:pPr>
    </w:p>
    <w:p>
      <w:pPr>
        <w:jc w:val="both"/>
        <w:ind w:right="100" w:firstLine="1293"/>
        <w:spacing w:after="0" w:line="252" w:lineRule="auto"/>
        <w:tabs>
          <w:tab w:leader="none" w:pos="18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Each Installment as a Separate Payment and Timing of Payments</w:t>
      </w:r>
      <w:r>
        <w:rPr>
          <w:rFonts w:ascii="Times New Roman" w:cs="Times New Roman" w:eastAsia="Times New Roman" w:hAnsi="Times New Roman"/>
          <w:sz w:val="22"/>
          <w:szCs w:val="22"/>
          <w:color w:val="auto"/>
        </w:rPr>
        <w:t>. For purposes of applying the provisions of Section 409A to this Agreement, each 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296" w:lineRule="exact"/>
        <w:rPr>
          <w:rFonts w:ascii="Times New Roman" w:cs="Times New Roman" w:eastAsia="Times New Roman" w:hAnsi="Times New Roman"/>
          <w:sz w:val="22"/>
          <w:szCs w:val="22"/>
          <w:color w:val="auto"/>
        </w:rPr>
      </w:pPr>
    </w:p>
    <w:p>
      <w:pPr>
        <w:jc w:val="both"/>
        <w:ind w:right="100" w:firstLine="1293"/>
        <w:spacing w:after="0" w:line="248" w:lineRule="auto"/>
        <w:tabs>
          <w:tab w:leader="none" w:pos="18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 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228" w:lineRule="exact"/>
        <w:rPr>
          <w:rFonts w:ascii="Times New Roman" w:cs="Times New Roman" w:eastAsia="Times New Roman" w:hAnsi="Times New Roman"/>
          <w:sz w:val="22"/>
          <w:szCs w:val="22"/>
          <w:color w:val="auto"/>
        </w:rPr>
      </w:pPr>
    </w:p>
    <w:p>
      <w:pPr>
        <w:jc w:val="both"/>
        <w:ind w:right="100" w:firstLine="1366"/>
        <w:spacing w:after="0" w:line="250" w:lineRule="auto"/>
        <w:tabs>
          <w:tab w:leader="none" w:pos="185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w:t>
      </w:r>
    </w:p>
    <w:p>
      <w:pPr>
        <w:sectPr>
          <w:pgSz w:w="11900" w:h="16838" w:orient="portrait"/>
          <w:cols w:equalWidth="0" w:num="1">
            <w:col w:w="11140"/>
          </w:cols>
          <w:pgMar w:left="420" w:top="33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2"/>
          <w:szCs w:val="22"/>
          <w:color w:val="auto"/>
        </w:rPr>
        <w:t>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217" w:lineRule="exact"/>
        <w:rPr>
          <w:sz w:val="20"/>
          <w:szCs w:val="20"/>
          <w:color w:val="auto"/>
        </w:rPr>
      </w:pPr>
    </w:p>
    <w:p>
      <w:pPr>
        <w:jc w:val="both"/>
        <w:ind w:right="100" w:firstLine="729"/>
        <w:spacing w:after="0" w:line="261"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Whistleblower Protections and Trade Secrets</w:t>
      </w:r>
      <w:r>
        <w:rPr>
          <w:rFonts w:ascii="Times New Roman" w:cs="Times New Roman" w:eastAsia="Times New Roman" w:hAnsi="Times New Roman"/>
          <w:sz w:val="21"/>
          <w:szCs w:val="21"/>
          <w:color w:val="auto"/>
        </w:rPr>
        <w:t>. Notwithstanding anything to the contrary contained herein, nothing in this Agreement prohibits Executive from communicating with, providing information to or communicating directly with, any United States federal, state, or local governmental agency , including, but not limited to, the U.S. Securities and Exchange Commission, the U.S. Commodity Futures Trading Commission, or the U.S. Department of Justice.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10" w:lineRule="exact"/>
        <w:rPr>
          <w:sz w:val="20"/>
          <w:szCs w:val="20"/>
          <w:color w:val="auto"/>
        </w:rPr>
      </w:pPr>
    </w:p>
    <w:p>
      <w:pPr>
        <w:jc w:val="both"/>
        <w:ind w:right="100" w:firstLine="729"/>
        <w:spacing w:after="0" w:line="247"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 other provision of this Agreement or any other plan, arrangement, or agreement to the contrary, if any of the payments or benefits provided or to be provided by the Company or its affiliates to Executive or for Executive’s benefit pursuant to the terms of this Agreement or otherwise (“</w:t>
      </w:r>
      <w:r>
        <w:rPr>
          <w:rFonts w:ascii="Times New Roman" w:cs="Times New Roman" w:eastAsia="Times New Roman" w:hAnsi="Times New Roman"/>
          <w:sz w:val="22"/>
          <w:szCs w:val="22"/>
          <w:u w:val="single" w:color="auto"/>
          <w:color w:val="auto"/>
        </w:rPr>
        <w:t>Covered Payments</w:t>
      </w:r>
      <w:r>
        <w:rPr>
          <w:rFonts w:ascii="Times New Roman" w:cs="Times New Roman" w:eastAsia="Times New Roman" w:hAnsi="Times New Roman"/>
          <w:sz w:val="22"/>
          <w:szCs w:val="22"/>
          <w:color w:val="auto"/>
        </w:rPr>
        <w:t>”) constitute parachute payments within the meaning of Section 280G of the Code (such payments, the “</w:t>
      </w: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 and would, but for this Section 9.9,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or not be deductible under Section 280G of the Code, then such Covered Payments shall be reduced to the minimum extent necessary to ensure that no portion of the Covered Payments is subject to the Excise Tax, but only if (i) the net amount of such Covered Payments, as so reduced (and after subtracting the net amount of federal, state and local income and employment taxes on such reduced Covered Payments and after taking into account the phase out of itemized deductions and personal exemptions attributable to such reduced Covered Payments), is greater than or equal to (ii) the net amount of such Covered Payments without such reduction (but after subtracting the net amount of federal, state and local income and employment taxes on such Covered Payments and the amount of the Excise Tax to which Executive would be subject in respect of such unreduced Covered Payments and after taking into account the phase out of itemized deductions and personal exemptions attributable to such unreduced Covered Payments). The Covered Payments shall be reduced in a manner that maximizes Executive’s economic position. In applying this principle, the reduction shall be made in a manner consistent with the requirements of Section 409A, to the extent applicable, and where two or more economically equivalent amounts are subject to</w:t>
      </w:r>
    </w:p>
    <w:p>
      <w:pPr>
        <w:sectPr>
          <w:pgSz w:w="11900" w:h="16838" w:orient="portrait"/>
          <w:cols w:equalWidth="0" w:num="1">
            <w:col w:w="11140"/>
          </w:cols>
          <w:pgMar w:left="420" w:top="338"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reduction but payable at different times, such amounts payable at the later time shall be reduced first but not below zero.</w:t>
      </w:r>
    </w:p>
    <w:p>
      <w:pPr>
        <w:spacing w:after="0" w:line="260" w:lineRule="exact"/>
        <w:rPr>
          <w:sz w:val="20"/>
          <w:szCs w:val="20"/>
          <w:color w:val="auto"/>
        </w:rPr>
      </w:pPr>
    </w:p>
    <w:p>
      <w:pPr>
        <w:jc w:val="both"/>
        <w:ind w:right="120" w:firstLine="647"/>
        <w:spacing w:after="0" w:line="250"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Executive acknowledges and agrees that, to the extent the Company adopts any claw-back or similar policy pursuant to the Dodd-Frank Wall Street Reform and Consumer Protection Act and any rules and regulations promulgated thereunder (collectively, “</w:t>
      </w:r>
      <w:r>
        <w:rPr>
          <w:rFonts w:ascii="Times New Roman" w:cs="Times New Roman" w:eastAsia="Times New Roman" w:hAnsi="Times New Roman"/>
          <w:sz w:val="22"/>
          <w:szCs w:val="22"/>
          <w:u w:val="single" w:color="auto"/>
          <w:color w:val="auto"/>
        </w:rPr>
        <w:t>Dodd-Frank</w:t>
      </w:r>
      <w:r>
        <w:rPr>
          <w:rFonts w:ascii="Times New Roman" w:cs="Times New Roman" w:eastAsia="Times New Roman" w:hAnsi="Times New Roman"/>
          <w:sz w:val="22"/>
          <w:szCs w:val="22"/>
          <w:color w:val="auto"/>
        </w:rPr>
        <w:t>”) or otherwise, which policy shall be adopted by the Board in good faith in consultation with the Company’s compensation consultant and/or legal counsel and determined with reference to relevant benchmarking data, he or she shall take all action necessary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221" w:lineRule="exact"/>
        <w:rPr>
          <w:sz w:val="20"/>
          <w:szCs w:val="20"/>
          <w:color w:val="auto"/>
        </w:rPr>
      </w:pPr>
    </w:p>
    <w:p>
      <w:pPr>
        <w:jc w:val="both"/>
        <w:ind w:right="100" w:firstLine="647"/>
        <w:spacing w:after="0" w:line="256" w:lineRule="auto"/>
        <w:rPr>
          <w:sz w:val="20"/>
          <w:szCs w:val="20"/>
          <w:color w:val="auto"/>
        </w:rPr>
      </w:pPr>
      <w:r>
        <w:rPr>
          <w:rFonts w:ascii="Times New Roman" w:cs="Times New Roman" w:eastAsia="Times New Roman" w:hAnsi="Times New Roman"/>
          <w:sz w:val="22"/>
          <w:szCs w:val="22"/>
          <w:color w:val="auto"/>
        </w:rPr>
        <w:t>1.11 Acknowledgement. Executive acknowledges that (1) the Company provided Executive written notice of the requirement to sign this Agreement a copy of the Agreement to review at least (14) days before the Effective Date,, (2) that Executive has been and is hereby advised of his right to consult an attorney before signing this Agreement, and (3) Executive has carefully read this Agreement and understand and agree to all of the provisions in this Agreement.</w:t>
      </w:r>
    </w:p>
    <w:p>
      <w:pPr>
        <w:spacing w:after="0" w:line="217" w:lineRule="exact"/>
        <w:rPr>
          <w:sz w:val="20"/>
          <w:szCs w:val="20"/>
          <w:color w:val="auto"/>
        </w:rPr>
      </w:pPr>
    </w:p>
    <w:p>
      <w:pPr>
        <w:jc w:val="both"/>
        <w:ind w:right="120" w:firstLine="647"/>
        <w:spacing w:after="0" w:line="26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Execution; Guarantee</w:t>
      </w:r>
      <w:r>
        <w:rPr>
          <w:rFonts w:ascii="Times New Roman" w:cs="Times New Roman" w:eastAsia="Times New Roman" w:hAnsi="Times New Roman"/>
          <w:sz w:val="21"/>
          <w:szCs w:val="21"/>
          <w:color w:val="auto"/>
        </w:rPr>
        <w:t>. This Agreement is being executed by ECI on behalf of itself and ESI. ECI unconditionally guarantees to Executive the due performance of all obligations (including, without limitation, payment obligations) of ESI hereunder, and in the event of any failure of ESI to perform any of those obligations, ECI covenants to assume and perform or cause to be performed all of those obligations. ECI hereby acknowledges that Executive may proceed to enforce the obligations of this guarantee by ECI without first pursuing or exhausting any right or remedy he may have against ESI.</w:t>
      </w: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 Signature Page to Follow]</w:t>
      </w:r>
    </w:p>
    <w:p>
      <w:pPr>
        <w:sectPr>
          <w:pgSz w:w="11900" w:h="16838" w:orient="portrait"/>
          <w:cols w:equalWidth="0" w:num="1">
            <w:col w:w="11140"/>
          </w:cols>
          <w:pgMar w:left="420" w:top="338"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Executive Employment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EVERCOMMERCE INC.</w:t>
      </w:r>
    </w:p>
    <w:p>
      <w:pPr>
        <w:spacing w:after="0" w:line="2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Remer</w:t>
      </w:r>
    </w:p>
    <w:p>
      <w:pPr>
        <w:spacing w:after="0" w:line="1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Eric Remer</w:t>
      </w:r>
    </w:p>
    <w:p>
      <w:pPr>
        <w:spacing w:after="0" w:line="11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Ryan Siurek</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Ryan Siurek</w:t>
      </w:r>
    </w:p>
    <w:p>
      <w:pPr>
        <w:sectPr>
          <w:pgSz w:w="11900" w:h="16838" w:orient="portrait"/>
          <w:cols w:equalWidth="0" w:num="1">
            <w:col w:w="11140"/>
          </w:cols>
          <w:pgMar w:left="420" w:top="33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External Board Service</w:t>
      </w:r>
    </w:p>
    <w:p>
      <w:pPr>
        <w:spacing w:after="0" w:line="247" w:lineRule="exact"/>
        <w:rPr>
          <w:sz w:val="20"/>
          <w:szCs w:val="20"/>
          <w:color w:val="auto"/>
        </w:rPr>
      </w:pPr>
    </w:p>
    <w:p>
      <w:pPr>
        <w:ind w:left="1480" w:hanging="648"/>
        <w:spacing w:after="0"/>
        <w:tabs>
          <w:tab w:leader="none" w:pos="1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FASB Small Business Advisory Committee</w:t>
      </w:r>
    </w:p>
    <w:p>
      <w:pPr>
        <w:spacing w:after="0" w:line="27"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board of Frassati Catholic Academy</w:t>
      </w:r>
    </w:p>
    <w:p>
      <w:pPr>
        <w:sectPr>
          <w:pgSz w:w="11900" w:h="16838" w:orient="portrait"/>
          <w:cols w:equalWidth="0" w:num="1">
            <w:col w:w="10120"/>
          </w:cols>
          <w:pgMar w:left="1440" w:top="33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Form of Release Agreement</w:t>
      </w:r>
    </w:p>
    <w:p>
      <w:pPr>
        <w:spacing w:after="0" w:line="258" w:lineRule="exact"/>
        <w:rPr>
          <w:sz w:val="20"/>
          <w:szCs w:val="20"/>
          <w:color w:val="auto"/>
        </w:rPr>
      </w:pPr>
    </w:p>
    <w:p>
      <w:pPr>
        <w:jc w:val="both"/>
        <w:ind w:right="120" w:firstLine="647"/>
        <w:spacing w:after="0" w:line="260" w:lineRule="auto"/>
        <w:rPr>
          <w:sz w:val="20"/>
          <w:szCs w:val="20"/>
          <w:color w:val="auto"/>
        </w:rPr>
      </w:pPr>
      <w:r>
        <w:rPr>
          <w:rFonts w:ascii="Times New Roman" w:cs="Times New Roman" w:eastAsia="Times New Roman" w:hAnsi="Times New Roman"/>
          <w:sz w:val="22"/>
          <w:szCs w:val="22"/>
          <w:color w:val="auto"/>
        </w:rPr>
        <w:t>This General Release of Claims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made by [ ]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in favor of EverCommerce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(as defined below), as of the date of Executive’s execution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-371475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0" w:lineRule="exact"/>
        <w:rPr>
          <w:sz w:val="20"/>
          <w:szCs w:val="20"/>
          <w:color w:val="auto"/>
        </w:rPr>
      </w:pPr>
    </w:p>
    <w:p>
      <w:pPr>
        <w:ind w:left="1840" w:hanging="626"/>
        <w:spacing w:after="0"/>
        <w:tabs>
          <w:tab w:leader="none" w:pos="18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by Executive</w:t>
      </w:r>
      <w:r>
        <w:rPr>
          <w:rFonts w:ascii="Times New Roman" w:cs="Times New Roman" w:eastAsia="Times New Roman" w:hAnsi="Times New Roman"/>
          <w:sz w:val="22"/>
          <w:szCs w:val="22"/>
          <w:color w:val="auto"/>
        </w:rPr>
        <w:t>. In exchange for the benefits set forth in the certain Employment Agreement</w:t>
      </w:r>
    </w:p>
    <w:p>
      <w:pPr>
        <w:spacing w:after="0" w:line="28"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2"/>
          <w:szCs w:val="22"/>
          <w:color w:val="auto"/>
        </w:rPr>
        <w:t>entered into by and between the Company and Executive, dated as of [ ],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to which this Release is an exhibit, which are conditioned on Executive signing this Release, and to which Executive is not otherwise entitled, and for other good and valuable consideration, the receipt and adequacy of which are hereby acknowledged, Executive, his heirs, executors, administrators, beneficiaries, representatives, assigns and successors, and all others connected with or claiming through Executive, fully and forever agree to release and discharge the Company and the Company’s parent and subsidiary corporations, and all of their respective past, present and future employee benefit plans, joint venturers, predecessors, successors, assigns, employees, officers, directors, shareholders, administrators, trustees, agents, representatives, and consultants, and all those connected with any of them, in their official and personal capacities (hereinafter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manner of claims, liabilities and actions, causes of action, in law or in equity, demands, suits, rights, or damages of any kind or nature, whether known or unknown, fixed or contingent (hereinafter called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that Executive now has or may hereafter have against the Releasees arising out of, connected with or relating to Executive’s employment by the Company and/or other relationship with the Company, or the termination of Executive’s employment and/or other relationship, by reason of any and all acts, omissions, events or facts occurring or existing prior to Executive’s execution of this Release. The Claims released hereunder, including without limitation, any claim of wrongful discharge, breach of contract, breach of the covenant of good faith and fair dealing, violation of public policy, defamation, discrimination, personal injury, physical injury, emotional distress, claims under the Age Discrimination in Employment Act, as amended, 29 U.S.C. § 621 et seq.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the Older Workers’ Protection Benefit Act of 1990;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w:t>
      </w:r>
      <w:r>
        <w:rPr>
          <w:rFonts w:ascii="Times New Roman" w:cs="Times New Roman" w:eastAsia="Times New Roman" w:hAnsi="Times New Roman"/>
          <w:sz w:val="22"/>
          <w:szCs w:val="22"/>
          <w:b w:val="1"/>
          <w:bCs w:val="1"/>
          <w:i w:val="1"/>
          <w:iCs w:val="1"/>
          <w:color w:val="auto"/>
        </w:rPr>
        <w:t>WARN</w:t>
      </w:r>
      <w:r>
        <w:rPr>
          <w:rFonts w:ascii="Times New Roman" w:cs="Times New Roman" w:eastAsia="Times New Roman" w:hAnsi="Times New Roman"/>
          <w:sz w:val="22"/>
          <w:szCs w:val="22"/>
          <w:color w:val="auto"/>
        </w:rPr>
        <w:t>”), as amended, 29 U.S.C. § 2101 et seq.; the Fair Labor Standards Act, 29 U.S.C. § 215 et seq.; and any federal, state or local laws of similar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-3655695</wp:posOffset>
            </wp:positionV>
            <wp:extent cx="197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202" w:lineRule="exact"/>
        <w:rPr>
          <w:sz w:val="20"/>
          <w:szCs w:val="20"/>
          <w:color w:val="auto"/>
        </w:rPr>
      </w:pPr>
    </w:p>
    <w:p>
      <w:pPr>
        <w:jc w:val="both"/>
        <w:ind w:right="100" w:firstLine="1214"/>
        <w:spacing w:after="0" w:line="253" w:lineRule="auto"/>
        <w:tabs>
          <w:tab w:leader="none" w:pos="185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This Release shall not apply to: the Company’s obligations to provide the separation benefits under [Section 3.2] of the Agreement; Executive’s right to bring any action to enforce the terms of same or of this Release; Executive’s right to indemnification under any applicable indemnification policy of the Company, including without limitation, any general liability or “directors and officers” insurance policy, any shareholders or other agreement with the Company (including pursuant to any individual indemnification</w:t>
      </w:r>
    </w:p>
    <w:p>
      <w:pPr>
        <w:sectPr>
          <w:pgSz w:w="11900" w:h="16838" w:orient="portrait"/>
          <w:cols w:equalWidth="0" w:num="1">
            <w:col w:w="11140"/>
          </w:cols>
          <w:pgMar w:left="420" w:top="33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0120"/>
          </w:cols>
          <w:pgMar w:left="1440" w:top="33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Form of Release Agreement</w:t>
      </w:r>
    </w:p>
    <w:p>
      <w:pPr>
        <w:spacing w:after="0" w:line="258" w:lineRule="exact"/>
        <w:rPr>
          <w:sz w:val="20"/>
          <w:szCs w:val="20"/>
          <w:color w:val="auto"/>
        </w:rPr>
      </w:pPr>
    </w:p>
    <w:p>
      <w:pPr>
        <w:jc w:val="both"/>
        <w:ind w:right="120" w:firstLine="647"/>
        <w:spacing w:after="0" w:line="260" w:lineRule="auto"/>
        <w:rPr>
          <w:sz w:val="20"/>
          <w:szCs w:val="20"/>
          <w:color w:val="auto"/>
        </w:rPr>
      </w:pPr>
      <w:r>
        <w:rPr>
          <w:rFonts w:ascii="Times New Roman" w:cs="Times New Roman" w:eastAsia="Times New Roman" w:hAnsi="Times New Roman"/>
          <w:sz w:val="22"/>
          <w:szCs w:val="22"/>
          <w:color w:val="auto"/>
        </w:rPr>
        <w:t>This General Release of Claims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made by [ ]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in favor of EverCommerce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(as defined below), as of the date of Executive’s execution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-371475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0" w:lineRule="exact"/>
        <w:rPr>
          <w:sz w:val="20"/>
          <w:szCs w:val="20"/>
          <w:color w:val="auto"/>
        </w:rPr>
      </w:pPr>
    </w:p>
    <w:p>
      <w:pPr>
        <w:ind w:left="1840" w:hanging="62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by Executive</w:t>
      </w:r>
      <w:r>
        <w:rPr>
          <w:rFonts w:ascii="Times New Roman" w:cs="Times New Roman" w:eastAsia="Times New Roman" w:hAnsi="Times New Roman"/>
          <w:sz w:val="22"/>
          <w:szCs w:val="22"/>
          <w:color w:val="auto"/>
        </w:rPr>
        <w:t>. In exchange for the benefits set forth in the certain Employment Agreement</w:t>
      </w:r>
    </w:p>
    <w:p>
      <w:pPr>
        <w:spacing w:after="0" w:line="28"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2"/>
          <w:szCs w:val="22"/>
          <w:color w:val="auto"/>
        </w:rPr>
        <w:t>entered into by and between the Company and Executive, dated as of [ ],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to which this Release is an exhibit, which are conditioned on Executive signing this Release, and to which Executive is not otherwise entitled, and for other good and valuable consideration, the receipt and adequacy of which are hereby acknowledged, Executive, his heirs, executors, administrators, beneficiaries, representatives, assigns and successors, and all others connected with or claiming through Executive, fully and forever agree to release and discharge the Company and the Company’s parent and subsidiary corporations, and all of their respective past, present and future employee benefit plans, joint venturers, predecessors, successors, assigns, employees, officers, directors, shareholders, administrators, trustees, agents, representatives, and consultants, and all those connected with any of them, in their official and personal capacities (hereinafter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manner of claims, liabilities and actions, causes of action, in law or in equity, demands, suits, rights, or damages of any kind or nature, whether known or unknown, fixed or contingent (hereinafter called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that Executive now has or may hereafter have against the Releasees arising out of, connected with or relating to Executive’s employment by the Company and/or other relationship with the Company, or the termination of Executive’s employment and/or other relationship, by reason of any and all acts, omissions, events or facts occurring or existing prior to Executive’s execution of this Release. The Claims released hereunder, including without limitation, any claim of wrongful discharge, breach of contract, breach of the covenant of good faith and fair dealing, violation of public policy, defamation, discrimination, personal injury, physical injury, emotional distress, claims under the Age Discrimination in Employment Act, as amended, 29 U.S.C. § 621 et seq.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the Older Workers’ Protection Benefit Act of 1990;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w:t>
      </w:r>
      <w:r>
        <w:rPr>
          <w:rFonts w:ascii="Times New Roman" w:cs="Times New Roman" w:eastAsia="Times New Roman" w:hAnsi="Times New Roman"/>
          <w:sz w:val="22"/>
          <w:szCs w:val="22"/>
          <w:b w:val="1"/>
          <w:bCs w:val="1"/>
          <w:i w:val="1"/>
          <w:iCs w:val="1"/>
          <w:color w:val="auto"/>
        </w:rPr>
        <w:t>WARN</w:t>
      </w:r>
      <w:r>
        <w:rPr>
          <w:rFonts w:ascii="Times New Roman" w:cs="Times New Roman" w:eastAsia="Times New Roman" w:hAnsi="Times New Roman"/>
          <w:sz w:val="22"/>
          <w:szCs w:val="22"/>
          <w:color w:val="auto"/>
        </w:rPr>
        <w:t>”), as amended, 29 U.S.C. § 2101 et seq.; the Fair Labor Standards Act, 29 U.S.C. § 215 et seq.; and any federal, state or local laws of similar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-3655695</wp:posOffset>
            </wp:positionV>
            <wp:extent cx="197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202" w:lineRule="exact"/>
        <w:rPr>
          <w:sz w:val="20"/>
          <w:szCs w:val="20"/>
          <w:color w:val="auto"/>
        </w:rPr>
      </w:pPr>
    </w:p>
    <w:p>
      <w:pPr>
        <w:jc w:val="both"/>
        <w:ind w:right="100" w:firstLine="1214"/>
        <w:spacing w:after="0" w:line="253" w:lineRule="auto"/>
        <w:tabs>
          <w:tab w:leader="none" w:pos="18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This Release shall not apply to: the Company’s obligations to provide the separation benefits under [Section 3.2] of the Agreement; Executive’s right to bring any action to enforce the terms of same or of this Release; Executive’s right to indemnification under any applicable indemnification policy of the Company, including without limitation, any general liability or “directors and officers” insurance policy, any shareholders or other agreement with the Company (including pursuant to any individual indemnification</w:t>
      </w:r>
    </w:p>
    <w:p>
      <w:pPr>
        <w:sectPr>
          <w:pgSz w:w="11900" w:h="16838" w:orient="portrait"/>
          <w:cols w:equalWidth="0" w:num="1">
            <w:col w:w="11140"/>
          </w:cols>
          <w:pgMar w:left="420" w:top="338"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 w:right="100"/>
        <w:spacing w:after="0" w:line="260" w:lineRule="auto"/>
        <w:rPr>
          <w:sz w:val="20"/>
          <w:szCs w:val="20"/>
          <w:color w:val="auto"/>
        </w:rPr>
      </w:pPr>
      <w:r>
        <w:rPr>
          <w:rFonts w:ascii="Times New Roman" w:cs="Times New Roman" w:eastAsia="Times New Roman" w:hAnsi="Times New Roman"/>
          <w:sz w:val="21"/>
          <w:szCs w:val="21"/>
          <w:color w:val="auto"/>
        </w:rPr>
        <w:t>agreement), the Company’s governing documents or applicable law; Executive’s right to assert claims for workers’ compensation or unemployment benefits; Executive’s right to bring to the attention of the Equal Employment Opportunity Commission (“</w:t>
      </w:r>
      <w:r>
        <w:rPr>
          <w:rFonts w:ascii="Times New Roman" w:cs="Times New Roman" w:eastAsia="Times New Roman" w:hAnsi="Times New Roman"/>
          <w:sz w:val="21"/>
          <w:szCs w:val="21"/>
          <w:b w:val="1"/>
          <w:bCs w:val="1"/>
          <w:i w:val="1"/>
          <w:iCs w:val="1"/>
          <w:color w:val="auto"/>
        </w:rPr>
        <w:t>EEOC</w:t>
      </w:r>
      <w:r>
        <w:rPr>
          <w:rFonts w:ascii="Times New Roman" w:cs="Times New Roman" w:eastAsia="Times New Roman" w:hAnsi="Times New Roman"/>
          <w:sz w:val="21"/>
          <w:szCs w:val="21"/>
          <w:color w:val="auto"/>
        </w:rPr>
        <w:t>”) or any analogous state agency claims of discrimination, harassment or retaliation (provided, however, that Executive hereby agrees to waive Executive’s right to recover monetary damages or other individual relief in any such charge, investigation or proceeding or any related complaint or lawsuit filed by Executive or anyone else on Executive’s behalf), to the extent required by law; any right to communicate directly with, cooperate with, or provide information to, any federal, state or local government regulator; any right to file an unfair labor practice charge under the National Labor Relations Act (“</w:t>
      </w:r>
      <w:r>
        <w:rPr>
          <w:rFonts w:ascii="Times New Roman" w:cs="Times New Roman" w:eastAsia="Times New Roman" w:hAnsi="Times New Roman"/>
          <w:sz w:val="21"/>
          <w:szCs w:val="21"/>
          <w:b w:val="1"/>
          <w:bCs w:val="1"/>
          <w:i w:val="1"/>
          <w:iCs w:val="1"/>
          <w:color w:val="auto"/>
        </w:rPr>
        <w:t>NLRA</w:t>
      </w:r>
      <w:r>
        <w:rPr>
          <w:rFonts w:ascii="Times New Roman" w:cs="Times New Roman" w:eastAsia="Times New Roman" w:hAnsi="Times New Roman"/>
          <w:sz w:val="21"/>
          <w:szCs w:val="21"/>
          <w:color w:val="auto"/>
        </w:rPr>
        <w:t>”); Executive’s vested rights under any retirement or welfare benefit plan of the Company; any rights Executive may have to benefits under the Company’s standard benefit programs; Executive’s rights in his or her capacity as an equity holder of the Company; Executive’s right to receive payment for accrued salary and any earned but unpaid Annual Bonus with respect to the year prior to the year in which Executive’s date of termination of employment occurs for services rendered through Executive’s last day of employment, and reimbursement for travel and business expenses properly incurred prior to the separation date, but unreimbursed; or any other rights that may not be waived by an employee under applicable law.</w:t>
      </w:r>
    </w:p>
    <w:p>
      <w:pPr>
        <w:spacing w:after="0" w:line="213" w:lineRule="exact"/>
        <w:rPr>
          <w:sz w:val="20"/>
          <w:szCs w:val="20"/>
          <w:color w:val="auto"/>
        </w:rPr>
      </w:pPr>
    </w:p>
    <w:p>
      <w:pPr>
        <w:ind w:left="2" w:right="120" w:firstLine="1214"/>
        <w:spacing w:after="0" w:line="275" w:lineRule="auto"/>
        <w:tabs>
          <w:tab w:leader="none" w:pos="185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Older Worker’s Benefit Protection Act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accordance with the Older Worker’s Benefit Protection Act, Executive is hereby advised as follows:</w:t>
      </w:r>
    </w:p>
    <w:p>
      <w:pPr>
        <w:spacing w:after="0" w:line="193" w:lineRule="exact"/>
        <w:rPr>
          <w:rFonts w:ascii="Times New Roman" w:cs="Times New Roman" w:eastAsia="Times New Roman" w:hAnsi="Times New Roman"/>
          <w:sz w:val="22"/>
          <w:szCs w:val="22"/>
          <w:color w:val="auto"/>
        </w:rPr>
      </w:pPr>
    </w:p>
    <w:p>
      <w:pPr>
        <w:jc w:val="both"/>
        <w:ind w:left="2" w:right="120" w:firstLine="1617"/>
        <w:spacing w:after="0" w:line="257" w:lineRule="auto"/>
        <w:tabs>
          <w:tab w:leader="none" w:pos="24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read this Release and understands its terms and effect, including the fact that Executive is agreeing to release and forever discharge the Company and each of the Releasees from any Claims released in this Release.</w:t>
      </w:r>
    </w:p>
    <w:p>
      <w:pPr>
        <w:spacing w:after="0" w:line="213" w:lineRule="exact"/>
        <w:rPr>
          <w:rFonts w:ascii="Times New Roman" w:cs="Times New Roman" w:eastAsia="Times New Roman" w:hAnsi="Times New Roman"/>
          <w:sz w:val="22"/>
          <w:szCs w:val="22"/>
          <w:color w:val="auto"/>
        </w:rPr>
      </w:pPr>
    </w:p>
    <w:p>
      <w:pPr>
        <w:jc w:val="both"/>
        <w:ind w:left="2" w:right="120" w:firstLine="1617"/>
        <w:spacing w:after="0" w:line="257" w:lineRule="auto"/>
        <w:tabs>
          <w:tab w:leader="none" w:pos="249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that, by entering into this Release, Executive does not waive any Claims that may arise after the date of Executive’s execution of this Release, including without limitation any rights or claims that Executive may have to secure enforcement of the terms and conditions of this Release.</w:t>
      </w:r>
    </w:p>
    <w:p>
      <w:pPr>
        <w:spacing w:after="0" w:line="213" w:lineRule="exact"/>
        <w:rPr>
          <w:rFonts w:ascii="Times New Roman" w:cs="Times New Roman" w:eastAsia="Times New Roman" w:hAnsi="Times New Roman"/>
          <w:sz w:val="22"/>
          <w:szCs w:val="22"/>
          <w:color w:val="auto"/>
        </w:rPr>
      </w:pPr>
    </w:p>
    <w:p>
      <w:pPr>
        <w:jc w:val="both"/>
        <w:ind w:left="2" w:right="120" w:firstLine="1617"/>
        <w:spacing w:after="0" w:line="263" w:lineRule="auto"/>
        <w:tabs>
          <w:tab w:leader="none" w:pos="24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signed this Release voluntarily and knowingly in exchange for the consideration described in this Release, which Executive acknowledges is adequate and satisfactory to Executive and in addition to any other benefits to which Executive is otherwise entitled.</w:t>
      </w:r>
    </w:p>
    <w:p>
      <w:pPr>
        <w:spacing w:after="0" w:line="275" w:lineRule="exact"/>
        <w:rPr>
          <w:rFonts w:ascii="Times New Roman" w:cs="Times New Roman" w:eastAsia="Times New Roman" w:hAnsi="Times New Roman"/>
          <w:sz w:val="22"/>
          <w:szCs w:val="22"/>
          <w:color w:val="auto"/>
        </w:rPr>
      </w:pPr>
    </w:p>
    <w:p>
      <w:pPr>
        <w:ind w:left="2482" w:hanging="863"/>
        <w:spacing w:after="0"/>
        <w:tabs>
          <w:tab w:leader="none" w:pos="248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Executive to consult with an attorney prior to executing this Release.</w:t>
      </w:r>
    </w:p>
    <w:p>
      <w:pPr>
        <w:spacing w:after="0" w:line="240" w:lineRule="exact"/>
        <w:rPr>
          <w:rFonts w:ascii="Times New Roman" w:cs="Times New Roman" w:eastAsia="Times New Roman" w:hAnsi="Times New Roman"/>
          <w:sz w:val="22"/>
          <w:szCs w:val="22"/>
          <w:color w:val="auto"/>
        </w:rPr>
      </w:pPr>
    </w:p>
    <w:p>
      <w:pPr>
        <w:jc w:val="both"/>
        <w:ind w:left="2" w:right="120" w:firstLine="1617"/>
        <w:spacing w:after="0" w:line="243" w:lineRule="auto"/>
        <w:tabs>
          <w:tab w:leader="none" w:pos="2495"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twenty-one (21) days [forty-five (45) days)]</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to review and decide whether or not to sign this Release. If Executive signs this Release prior to the expiration of such period, Executive acknowledges that Executive has done so voluntarily, had sufficient time to consider the Release, to consult with counsel and that Executive does not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0</wp:posOffset>
            </wp:positionV>
            <wp:extent cx="16459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9" w:lineRule="exact"/>
        <w:rPr>
          <w:sz w:val="20"/>
          <w:szCs w:val="20"/>
          <w:color w:val="auto"/>
        </w:rPr>
      </w:pPr>
    </w:p>
    <w:p>
      <w:pPr>
        <w:ind w:left="102" w:hanging="102"/>
        <w:spacing w:after="0"/>
        <w:tabs>
          <w:tab w:leader="none" w:pos="102"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instead of twenty-one days in this paragraph (e) if termination is part of a group termination/layoff.</w:t>
      </w:r>
    </w:p>
    <w:p>
      <w:pPr>
        <w:sectPr>
          <w:pgSz w:w="11900" w:h="16838" w:orient="portrait"/>
          <w:cols w:equalWidth="0" w:num="1">
            <w:col w:w="11142"/>
          </w:cols>
          <w:pgMar w:left="418" w:top="338"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2" w:right="120"/>
        <w:spacing w:after="0" w:line="284" w:lineRule="auto"/>
        <w:rPr>
          <w:sz w:val="20"/>
          <w:szCs w:val="20"/>
          <w:color w:val="auto"/>
        </w:rPr>
      </w:pPr>
      <w:r>
        <w:rPr>
          <w:rFonts w:ascii="Times New Roman" w:cs="Times New Roman" w:eastAsia="Times New Roman" w:hAnsi="Times New Roman"/>
          <w:sz w:val="22"/>
          <w:szCs w:val="22"/>
          <w:color w:val="auto"/>
        </w:rPr>
        <w:t>additional time and hereby waives the remainder of the twenty-one (21) day period. In the event of any changes to this Release, whether or not material, Executive waives the restarting of the twenty-one (21) day period.</w:t>
      </w:r>
    </w:p>
    <w:p>
      <w:pPr>
        <w:spacing w:after="0" w:line="171" w:lineRule="exact"/>
        <w:rPr>
          <w:sz w:val="20"/>
          <w:szCs w:val="20"/>
          <w:color w:val="auto"/>
        </w:rPr>
      </w:pPr>
    </w:p>
    <w:p>
      <w:pPr>
        <w:jc w:val="both"/>
        <w:ind w:left="2" w:right="120" w:firstLine="1619"/>
        <w:spacing w:after="0" w:line="253" w:lineRule="auto"/>
        <w:rPr>
          <w:sz w:val="20"/>
          <w:szCs w:val="20"/>
          <w:color w:val="auto"/>
        </w:rPr>
      </w:pPr>
      <w:r>
        <w:rPr>
          <w:rFonts w:ascii="Times New Roman" w:cs="Times New Roman" w:eastAsia="Times New Roman" w:hAnsi="Times New Roman"/>
          <w:sz w:val="22"/>
          <w:szCs w:val="22"/>
          <w:color w:val="auto"/>
        </w:rPr>
        <w:t>(f)Executive has seven (7) days after signing this Release to revoke this Release and this Release will become effective upon the expiration of that revocation period. If Executive revokes this Release during such seven (7)-day period, this Release will be null and void and of no force or effect on either the Company or Executive and Executive will not be entitled to any of the payments or benefits which are expressly conditioned upon the execution and non-revocation of this Release.</w:t>
      </w:r>
    </w:p>
    <w:p>
      <w:pPr>
        <w:spacing w:after="0" w:line="206" w:lineRule="exact"/>
        <w:rPr>
          <w:sz w:val="20"/>
          <w:szCs w:val="20"/>
          <w:color w:val="auto"/>
        </w:rPr>
      </w:pPr>
    </w:p>
    <w:p>
      <w:pPr>
        <w:jc w:val="both"/>
        <w:ind w:left="2" w:right="100" w:firstLine="647"/>
        <w:spacing w:after="0" w:line="234" w:lineRule="auto"/>
        <w:rPr>
          <w:sz w:val="20"/>
          <w:szCs w:val="20"/>
          <w:color w:val="auto"/>
        </w:rPr>
      </w:pPr>
      <w:r>
        <w:rPr>
          <w:rFonts w:ascii="Times New Roman" w:cs="Times New Roman" w:eastAsia="Times New Roman" w:hAnsi="Times New Roman"/>
          <w:sz w:val="22"/>
          <w:szCs w:val="22"/>
          <w:color w:val="auto"/>
        </w:rPr>
        <w:t>If Executive wishes to revoke this Release, Executive shall deliver written notice stating his or her intent to revoke this Release to [NAME, OFFICER TITLE, DEPARTMENT, ADDRESS], on or before 5:00 p.m. on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date on which Executive signs this Release.</w:t>
      </w:r>
    </w:p>
    <w:p>
      <w:pPr>
        <w:spacing w:after="0" w:line="232" w:lineRule="exact"/>
        <w:rPr>
          <w:sz w:val="20"/>
          <w:szCs w:val="20"/>
          <w:color w:val="auto"/>
        </w:rPr>
      </w:pPr>
    </w:p>
    <w:p>
      <w:pPr>
        <w:ind w:left="1602" w:hanging="386"/>
        <w:spacing w:after="0"/>
        <w:tabs>
          <w:tab w:leader="none" w:pos="160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2" w:right="120" w:firstLine="1617"/>
        <w:spacing w:after="0" w:line="257" w:lineRule="auto"/>
        <w:tabs>
          <w:tab w:leader="none" w:pos="249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there has been no assignment or other transfer of any interest in any Claim which he or she may have against Releasees, or any of them, based on actions occurring prior to the date of this Agreement.</w:t>
      </w:r>
    </w:p>
    <w:p>
      <w:pPr>
        <w:spacing w:after="0" w:line="213" w:lineRule="exact"/>
        <w:rPr>
          <w:rFonts w:ascii="Times New Roman" w:cs="Times New Roman" w:eastAsia="Times New Roman" w:hAnsi="Times New Roman"/>
          <w:sz w:val="22"/>
          <w:szCs w:val="22"/>
          <w:color w:val="auto"/>
        </w:rPr>
      </w:pPr>
    </w:p>
    <w:p>
      <w:pPr>
        <w:jc w:val="both"/>
        <w:ind w:left="2" w:right="120" w:firstLine="1617"/>
        <w:spacing w:after="0" w:line="257" w:lineRule="auto"/>
        <w:tabs>
          <w:tab w:leader="none" w:pos="2494"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that, as of the date of execution of this Release, he has not filed any lawsuits, charges, complaints, petitions, administrative claims or other accusatory pleadings in any court or with any governmental agency against any of the Releasees.</w:t>
      </w:r>
    </w:p>
    <w:p>
      <w:pPr>
        <w:spacing w:after="0" w:line="213" w:lineRule="exact"/>
        <w:rPr>
          <w:rFonts w:ascii="Times New Roman" w:cs="Times New Roman" w:eastAsia="Times New Roman" w:hAnsi="Times New Roman"/>
          <w:sz w:val="22"/>
          <w:szCs w:val="22"/>
          <w:color w:val="auto"/>
        </w:rPr>
      </w:pPr>
    </w:p>
    <w:p>
      <w:pPr>
        <w:jc w:val="both"/>
        <w:ind w:left="2" w:right="100" w:firstLine="1214"/>
        <w:spacing w:after="0" w:line="260" w:lineRule="auto"/>
        <w:tabs>
          <w:tab w:leader="none" w:pos="185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Notwithstanding anything in this Release to the contrary, nothing contained in this Release shall prohibit Executive (or Executive’s attorney) from (i) filing a charge with, reporting possible violations of federal law or regulation to, participating in any investigation by, or cooperating with the U.S. Securities and Exchange 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the Financial Industry Regulatory Authority, the EEOC, the NLRB,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1"/>
          <w:szCs w:val="21"/>
          <w:b w:val="1"/>
          <w:bCs w:val="1"/>
          <w:i w:val="1"/>
          <w:iCs w:val="1"/>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Agencies</w:t>
      </w:r>
      <w:r>
        <w:rPr>
          <w:rFonts w:ascii="Times New Roman" w:cs="Times New Roman" w:eastAsia="Times New Roman" w:hAnsi="Times New Roman"/>
          <w:sz w:val="21"/>
          <w:szCs w:val="21"/>
          <w:color w:val="auto"/>
        </w:rPr>
        <w:t>”), or making other disclosures that are protected under the whistleblower provisions of applicable law or regulation,</w:t>
      </w:r>
    </w:p>
    <w:p>
      <w:pPr>
        <w:spacing w:after="0" w:line="1" w:lineRule="exact"/>
        <w:rPr>
          <w:rFonts w:ascii="Times New Roman" w:cs="Times New Roman" w:eastAsia="Times New Roman" w:hAnsi="Times New Roman"/>
          <w:sz w:val="21"/>
          <w:szCs w:val="21"/>
          <w:color w:val="auto"/>
        </w:rPr>
      </w:pPr>
    </w:p>
    <w:p>
      <w:pPr>
        <w:jc w:val="both"/>
        <w:ind w:left="2" w:right="100" w:hanging="2"/>
        <w:spacing w:after="0" w:line="265" w:lineRule="auto"/>
        <w:tabs>
          <w:tab w:leader="none" w:pos="35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communicating directly with, cooperating with, or providing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and/or (iii) receiving an award for information provided to any Government Agency. Pursuant to 18 USC Section</w:t>
      </w:r>
    </w:p>
    <w:p>
      <w:pPr>
        <w:spacing w:after="0" w:line="341" w:lineRule="exact"/>
        <w:rPr>
          <w:sz w:val="20"/>
          <w:szCs w:val="20"/>
          <w:color w:val="auto"/>
        </w:rPr>
      </w:pPr>
    </w:p>
    <w:p>
      <w:pPr>
        <w:jc w:val="center"/>
        <w:ind w:right="78"/>
        <w:spacing w:after="0"/>
        <w:rPr>
          <w:sz w:val="20"/>
          <w:szCs w:val="20"/>
          <w:color w:val="auto"/>
        </w:rPr>
      </w:pPr>
      <w:r>
        <w:rPr>
          <w:rFonts w:ascii="Georgia" w:cs="Georgia" w:eastAsia="Georgia" w:hAnsi="Georgia"/>
          <w:sz w:val="16"/>
          <w:szCs w:val="16"/>
          <w:color w:val="191919"/>
        </w:rPr>
        <w:t xml:space="preserve">EverCommerce </w:t>
      </w:r>
      <w:r>
        <w:rPr>
          <w:rFonts w:ascii="Georgia" w:cs="Georgia" w:eastAsia="Georgia" w:hAnsi="Georgia"/>
          <w:sz w:val="16"/>
          <w:szCs w:val="16"/>
          <w:color w:val="FFC000"/>
        </w:rPr>
        <w:t>|</w:t>
      </w:r>
      <w:r>
        <w:rPr>
          <w:rFonts w:ascii="Georgia" w:cs="Georgia" w:eastAsia="Georgia" w:hAnsi="Georgia"/>
          <w:sz w:val="16"/>
          <w:szCs w:val="16"/>
          <w:color w:val="191919"/>
        </w:rPr>
        <w:t xml:space="preserve"> 3601 Walnut Street, Suite 400, Denver, CO 80205 </w:t>
      </w:r>
      <w:r>
        <w:rPr>
          <w:rFonts w:ascii="Georgia" w:cs="Georgia" w:eastAsia="Georgia" w:hAnsi="Georgia"/>
          <w:sz w:val="16"/>
          <w:szCs w:val="16"/>
          <w:color w:val="FFC000"/>
        </w:rPr>
        <w:t>|</w:t>
      </w:r>
      <w:r>
        <w:rPr>
          <w:rFonts w:ascii="Georgia" w:cs="Georgia" w:eastAsia="Georgia" w:hAnsi="Georgia"/>
          <w:sz w:val="16"/>
          <w:szCs w:val="16"/>
          <w:color w:val="191919"/>
        </w:rPr>
        <w:t xml:space="preserve"> evercommerce.com</w:t>
      </w:r>
    </w:p>
    <w:p>
      <w:pPr>
        <w:spacing w:after="0" w:line="241"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142"/>
          </w:cols>
          <w:pgMar w:left="418" w:top="12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22"/>
          <w:szCs w:val="22"/>
          <w:color w:val="auto"/>
        </w:rPr>
        <w:t>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Release is intended to or shall preclude Executive from providing truthful testimony in response to a valid subpoena, court order, regulatory request or other judicial, administrative or legal process or otherwise as required by law. Nothing in this Agreement prevents you from making truthful disclosures regarding any allegedly unlawful workplace discrimination by the Company, including, but not limited to, harassment or sexual assault. Further, nothing in this Agreement restricts or impedes you from exercising protected rights, including any rights under the National Labor Relations Act (“NLRA”), to the extent that such rights cannot be waived by agreement, or from complying with any applicable law or regulation, and nothing in this Agreement prevents you from communicating with or assisting other employees or a union with matters that have been or may be brought before the NLRB to the extent authorized by the NLRA or other applicable law.</w:t>
      </w:r>
    </w:p>
    <w:p>
      <w:pPr>
        <w:spacing w:after="0" w:line="225" w:lineRule="exact"/>
        <w:rPr>
          <w:sz w:val="20"/>
          <w:szCs w:val="20"/>
          <w:color w:val="auto"/>
        </w:rPr>
      </w:pPr>
    </w:p>
    <w:p>
      <w:pPr>
        <w:ind w:left="1600" w:hanging="386"/>
        <w:spacing w:after="0"/>
        <w:tabs>
          <w:tab w:leader="none" w:pos="16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2" w:lineRule="exact"/>
        <w:rPr>
          <w:rFonts w:ascii="Times New Roman" w:cs="Times New Roman" w:eastAsia="Times New Roman" w:hAnsi="Times New Roman"/>
          <w:sz w:val="22"/>
          <w:szCs w:val="22"/>
          <w:color w:val="auto"/>
        </w:rPr>
      </w:pPr>
    </w:p>
    <w:p>
      <w:pPr>
        <w:jc w:val="both"/>
        <w:ind w:right="100" w:firstLine="1617"/>
        <w:spacing w:after="0" w:line="265" w:lineRule="auto"/>
        <w:tabs>
          <w:tab w:leader="none" w:pos="24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sentence, phrase, section, subsection or portion of this Release is found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illegal or unenforceable, such action shall not affect the validity or enforceability of the remaining sentences, phrases, sections, subsections or portions of this Release, which shall remain fully valid and enforceable.</w:t>
      </w:r>
    </w:p>
    <w:p>
      <w:pPr>
        <w:spacing w:after="0" w:line="201" w:lineRule="exact"/>
        <w:rPr>
          <w:rFonts w:ascii="Times New Roman" w:cs="Times New Roman" w:eastAsia="Times New Roman" w:hAnsi="Times New Roman"/>
          <w:sz w:val="22"/>
          <w:szCs w:val="22"/>
          <w:color w:val="auto"/>
        </w:rPr>
      </w:pPr>
    </w:p>
    <w:p>
      <w:pPr>
        <w:ind w:right="120" w:firstLine="1617"/>
        <w:spacing w:after="0" w:line="275" w:lineRule="auto"/>
        <w:tabs>
          <w:tab w:leader="none" w:pos="24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The headings in this Release are provided solely for convenience, and are not intended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part of, nor to affect or alter the interpretation or meaning of, this Release.</w:t>
      </w:r>
    </w:p>
    <w:p>
      <w:pPr>
        <w:spacing w:after="0" w:line="189" w:lineRule="exact"/>
        <w:rPr>
          <w:rFonts w:ascii="Times New Roman" w:cs="Times New Roman" w:eastAsia="Times New Roman" w:hAnsi="Times New Roman"/>
          <w:sz w:val="22"/>
          <w:szCs w:val="22"/>
          <w:color w:val="auto"/>
        </w:rPr>
      </w:pPr>
    </w:p>
    <w:p>
      <w:pPr>
        <w:jc w:val="both"/>
        <w:ind w:right="100" w:firstLine="1617"/>
        <w:spacing w:after="0" w:line="253" w:lineRule="auto"/>
        <w:tabs>
          <w:tab w:leader="none" w:pos="24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Construction of Agreement</w:t>
      </w:r>
      <w:r>
        <w:rPr>
          <w:rFonts w:ascii="Times New Roman" w:cs="Times New Roman" w:eastAsia="Times New Roman" w:hAnsi="Times New Roman"/>
          <w:sz w:val="22"/>
          <w:szCs w:val="22"/>
          <w:color w:val="auto"/>
        </w:rPr>
        <w:t>. Executive has been represented by, or had the opportunity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represented by, counsel in connection with the negotiation and execution of this Release. Any rule of construction to the effect that ambiguities are to be resolved against the drafting party shall not be applied in the construction or interpretation of this Release.</w:t>
      </w:r>
    </w:p>
    <w:p>
      <w:pPr>
        <w:spacing w:after="0" w:line="215" w:lineRule="exact"/>
        <w:rPr>
          <w:rFonts w:ascii="Times New Roman" w:cs="Times New Roman" w:eastAsia="Times New Roman" w:hAnsi="Times New Roman"/>
          <w:sz w:val="22"/>
          <w:szCs w:val="22"/>
          <w:color w:val="auto"/>
        </w:rPr>
      </w:pPr>
    </w:p>
    <w:p>
      <w:pPr>
        <w:jc w:val="both"/>
        <w:ind w:right="100" w:firstLine="1617"/>
        <w:spacing w:after="0" w:line="252" w:lineRule="auto"/>
        <w:tabs>
          <w:tab w:leader="none" w:pos="24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Agreement/Integration</w:t>
      </w:r>
      <w:r>
        <w:rPr>
          <w:rFonts w:ascii="Times New Roman" w:cs="Times New Roman" w:eastAsia="Times New Roman" w:hAnsi="Times New Roman"/>
          <w:sz w:val="22"/>
          <w:szCs w:val="22"/>
          <w:color w:val="auto"/>
        </w:rPr>
        <w:t>. This Release, together with the Agreement and the Restrictive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Covenant Agreement, which is attached to the Agreement as an exhibit, constitutes the entire agreement between Executive and the Company concerning the subject matter hereof. No covenants, agreements, representations, or warranties of any kind, other than those set forth herein, have been made to any party hereto with respect to this Release. All prior discussions and negotiations have been and are merged and integrated into, and are superseded by, this Release. No amendments to this Release will be valid unless written and signed by Executive and an authorized representative of the Company.</w:t>
      </w:r>
    </w:p>
    <w:p>
      <w:pPr>
        <w:spacing w:after="0" w:line="355" w:lineRule="exact"/>
        <w:rPr>
          <w:sz w:val="20"/>
          <w:szCs w:val="20"/>
          <w:color w:val="auto"/>
        </w:rPr>
      </w:pPr>
    </w:p>
    <w:p>
      <w:pPr>
        <w:jc w:val="center"/>
        <w:ind w:right="80"/>
        <w:spacing w:after="0"/>
        <w:rPr>
          <w:sz w:val="20"/>
          <w:szCs w:val="20"/>
          <w:color w:val="auto"/>
        </w:rPr>
      </w:pPr>
      <w:r>
        <w:rPr>
          <w:rFonts w:ascii="Georgia" w:cs="Georgia" w:eastAsia="Georgia" w:hAnsi="Georgia"/>
          <w:sz w:val="16"/>
          <w:szCs w:val="16"/>
          <w:color w:val="191919"/>
        </w:rPr>
        <w:t xml:space="preserve">EverCommerce </w:t>
      </w:r>
      <w:r>
        <w:rPr>
          <w:rFonts w:ascii="Georgia" w:cs="Georgia" w:eastAsia="Georgia" w:hAnsi="Georgia"/>
          <w:sz w:val="16"/>
          <w:szCs w:val="16"/>
          <w:color w:val="FFC000"/>
        </w:rPr>
        <w:t>|</w:t>
      </w:r>
      <w:r>
        <w:rPr>
          <w:rFonts w:ascii="Georgia" w:cs="Georgia" w:eastAsia="Georgia" w:hAnsi="Georgia"/>
          <w:sz w:val="16"/>
          <w:szCs w:val="16"/>
          <w:color w:val="191919"/>
        </w:rPr>
        <w:t xml:space="preserve"> 3601 Walnut Street, Suite 400, Denver, CO 80205 </w:t>
      </w:r>
      <w:r>
        <w:rPr>
          <w:rFonts w:ascii="Georgia" w:cs="Georgia" w:eastAsia="Georgia" w:hAnsi="Georgia"/>
          <w:sz w:val="16"/>
          <w:szCs w:val="16"/>
          <w:color w:val="FFC000"/>
        </w:rPr>
        <w:t>|</w:t>
      </w:r>
      <w:r>
        <w:rPr>
          <w:rFonts w:ascii="Georgia" w:cs="Georgia" w:eastAsia="Georgia" w:hAnsi="Georgia"/>
          <w:sz w:val="16"/>
          <w:szCs w:val="16"/>
          <w:color w:val="191919"/>
        </w:rPr>
        <w:t xml:space="preserve"> evercommerce.com</w:t>
      </w: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140"/>
          </w:cols>
          <w:pgMar w:left="420" w:top="122"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Sign only on or within [twenty-one (21)][forty-five (45) days after [DATE]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328295</wp:posOffset>
            </wp:positionV>
            <wp:extent cx="32918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Georgia" w:cs="Georgia" w:eastAsia="Georgia" w:hAnsi="Georgia"/>
          <w:sz w:val="16"/>
          <w:szCs w:val="16"/>
          <w:color w:val="191919"/>
        </w:rPr>
        <w:t xml:space="preserve">EverCommerce </w:t>
      </w:r>
      <w:r>
        <w:rPr>
          <w:rFonts w:ascii="Georgia" w:cs="Georgia" w:eastAsia="Georgia" w:hAnsi="Georgia"/>
          <w:sz w:val="16"/>
          <w:szCs w:val="16"/>
          <w:color w:val="FFC000"/>
        </w:rPr>
        <w:t>|</w:t>
      </w:r>
      <w:r>
        <w:rPr>
          <w:rFonts w:ascii="Georgia" w:cs="Georgia" w:eastAsia="Georgia" w:hAnsi="Georgia"/>
          <w:sz w:val="16"/>
          <w:szCs w:val="16"/>
          <w:color w:val="191919"/>
        </w:rPr>
        <w:t xml:space="preserve"> 3601 Walnut Street, Suite 400, Denver, CO 80205 </w:t>
      </w:r>
      <w:r>
        <w:rPr>
          <w:rFonts w:ascii="Georgia" w:cs="Georgia" w:eastAsia="Georgia" w:hAnsi="Georgia"/>
          <w:sz w:val="16"/>
          <w:szCs w:val="16"/>
          <w:color w:val="FFC000"/>
        </w:rPr>
        <w:t>|</w:t>
      </w:r>
      <w:r>
        <w:rPr>
          <w:rFonts w:ascii="Georgia" w:cs="Georgia" w:eastAsia="Georgia" w:hAnsi="Georgia"/>
          <w:sz w:val="16"/>
          <w:szCs w:val="16"/>
          <w:color w:val="191919"/>
        </w:rPr>
        <w:t xml:space="preserve"> evercommerce.com</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5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20"/>
        <w:spacing w:after="0"/>
        <w:rPr>
          <w:sz w:val="20"/>
          <w:szCs w:val="20"/>
          <w:color w:val="auto"/>
        </w:rPr>
      </w:pPr>
      <w:r>
        <w:rPr>
          <w:rFonts w:ascii="Georgia" w:cs="Georgia" w:eastAsia="Georgia" w:hAnsi="Georgia"/>
          <w:sz w:val="16"/>
          <w:szCs w:val="16"/>
          <w:color w:val="191919"/>
        </w:rPr>
        <w:t xml:space="preserve">EverCommerce </w:t>
      </w:r>
      <w:r>
        <w:rPr>
          <w:rFonts w:ascii="Georgia" w:cs="Georgia" w:eastAsia="Georgia" w:hAnsi="Georgia"/>
          <w:sz w:val="16"/>
          <w:szCs w:val="16"/>
          <w:color w:val="FFC000"/>
        </w:rPr>
        <w:t>|</w:t>
      </w:r>
      <w:r>
        <w:rPr>
          <w:rFonts w:ascii="Georgia" w:cs="Georgia" w:eastAsia="Georgia" w:hAnsi="Georgia"/>
          <w:sz w:val="16"/>
          <w:szCs w:val="16"/>
          <w:color w:val="191919"/>
        </w:rPr>
        <w:t xml:space="preserve"> 3601 Walnut Street, Suite 400, Denver, CO 80205 </w:t>
      </w:r>
      <w:r>
        <w:rPr>
          <w:rFonts w:ascii="Georgia" w:cs="Georgia" w:eastAsia="Georgia" w:hAnsi="Georgia"/>
          <w:sz w:val="16"/>
          <w:szCs w:val="16"/>
          <w:color w:val="FFC000"/>
        </w:rPr>
        <w:t>|</w:t>
      </w:r>
      <w:r>
        <w:rPr>
          <w:rFonts w:ascii="Georgia" w:cs="Georgia" w:eastAsia="Georgia" w:hAnsi="Georgia"/>
          <w:sz w:val="16"/>
          <w:szCs w:val="16"/>
          <w:color w:val="191919"/>
        </w:rPr>
        <w:t xml:space="preserve"> evercommerce.com</w:t>
      </w:r>
    </w:p>
    <w:p>
      <w:pPr>
        <w:sectPr>
          <w:pgSz w:w="11900" w:h="16838" w:orient="portrait"/>
          <w:cols w:equalWidth="0" w:num="1">
            <w:col w:w="10120"/>
          </w:cols>
          <w:pgMar w:left="1440" w:top="122" w:right="339" w:bottom="1440" w:gutter="0" w:footer="0" w:header="0"/>
        </w:sect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20"/>
          </w:cols>
          <w:pgMar w:left="1440" w:top="122" w:right="339" w:bottom="1440" w:gutter="0" w:footer="0" w:header="0"/>
          <w:type w:val="continuous"/>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6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73"/>
        </w:trPr>
        <w:tc>
          <w:tcPr>
            <w:tcW w:w="360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H. Siurek, certify that:</w:t>
      </w:r>
    </w:p>
    <w:p>
      <w:pPr>
        <w:spacing w:after="0" w:line="198"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6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Ryan H. Siurek</w:t>
            </w:r>
          </w:p>
        </w:tc>
        <w:tc>
          <w:tcPr>
            <w:tcW w:w="0" w:type="dxa"/>
            <w:vAlign w:val="bottom"/>
          </w:tcPr>
          <w:p>
            <w:pPr>
              <w:spacing w:after="0"/>
              <w:rPr>
                <w:sz w:val="1"/>
                <w:szCs w:val="1"/>
                <w:color w:val="auto"/>
              </w:rPr>
            </w:pPr>
          </w:p>
        </w:tc>
      </w:tr>
      <w:tr>
        <w:trPr>
          <w:trHeight w:val="72"/>
        </w:trPr>
        <w:tc>
          <w:tcPr>
            <w:tcW w:w="360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36" w:lineRule="auto"/>
        <w:rPr>
          <w:sz w:val="20"/>
          <w:szCs w:val="20"/>
          <w:color w:val="auto"/>
        </w:rPr>
      </w:pPr>
      <w:r>
        <w:rPr>
          <w:rFonts w:ascii="Times New Roman" w:cs="Times New Roman" w:eastAsia="Times New Roman" w:hAnsi="Times New Roman"/>
          <w:sz w:val="17"/>
          <w:szCs w:val="17"/>
          <w:color w:val="auto"/>
        </w:rPr>
        <w:t>In connection with the Quarterly Report on Form 10-Q of EverCommerce Inc. (the “Company”) for the period ended September 30, 2024 as filed with the Securities and Exchange Commission on the date hereof (the “Report”), I certify, pursuant to 18 U.S.C. § 1350, as adopted pursuant to § 906 of the</w:t>
      </w: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74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76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86"/>
        </w:trPr>
        <w:tc>
          <w:tcPr>
            <w:tcW w:w="37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36" w:lineRule="auto"/>
        <w:rPr>
          <w:sz w:val="20"/>
          <w:szCs w:val="20"/>
          <w:color w:val="auto"/>
        </w:rPr>
      </w:pPr>
      <w:r>
        <w:rPr>
          <w:rFonts w:ascii="Times New Roman" w:cs="Times New Roman" w:eastAsia="Times New Roman" w:hAnsi="Times New Roman"/>
          <w:sz w:val="17"/>
          <w:szCs w:val="17"/>
          <w:color w:val="auto"/>
        </w:rPr>
        <w:t>In connection with the Quarterly Report on Form 10-Q of EverCommerce Inc. (the “Company”) for the period ended September 30, 2024 as filed with the Securities and Exchange Commission on the date hereof (the “Report”), I certify, pursuant to 18 U.S.C. § 1350, as adopted pursuant to § 906 of the</w:t>
      </w: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74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76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c>
          <w:tcPr>
            <w:tcW w:w="0" w:type="dxa"/>
            <w:vAlign w:val="bottom"/>
          </w:tcPr>
          <w:p>
            <w:pPr>
              <w:spacing w:after="0"/>
              <w:rPr>
                <w:sz w:val="1"/>
                <w:szCs w:val="1"/>
                <w:color w:val="auto"/>
              </w:rPr>
            </w:pPr>
          </w:p>
        </w:tc>
      </w:tr>
      <w:tr>
        <w:trPr>
          <w:trHeight w:val="86"/>
        </w:trPr>
        <w:tc>
          <w:tcPr>
            <w:tcW w:w="37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upperLetter"/>
      <w:start w:val="35"/>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lvl w:ilvl="1">
      <w:lvlJc w:val="left"/>
      <w:lvlText w:val="%2."/>
      <w:numFmt w:val="lowerLetter"/>
      <w:start w:val="1"/>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6"/>
    </w:lvl>
  </w:abstractNum>
  <w:abstractNum w:abstractNumId="10">
    <w:nsid w:val="71F32454"/>
    <w:multiLevelType w:val="hybridMultilevel"/>
    <w:lvl w:ilvl="0">
      <w:lvlJc w:val="left"/>
      <w:lvlText w:val="§"/>
      <w:numFmt w:val="bullet"/>
      <w:start w:val="1"/>
    </w:lvl>
    <w:lvl w:ilvl="1">
      <w:lvlJc w:val="left"/>
      <w:lvlText w:val="%2."/>
      <w:numFmt w:val="decimal"/>
      <w:start w:val="1"/>
    </w:lvl>
  </w:abstractNum>
  <w:abstractNum w:abstractNumId="11">
    <w:nsid w:val="2CA88611"/>
    <w:multiLevelType w:val="hybridMultilevel"/>
    <w:lvl w:ilvl="0">
      <w:lvlJc w:val="left"/>
      <w:lvlText w:val="§"/>
      <w:numFmt w:val="bullet"/>
      <w:start w:val="1"/>
    </w:lvl>
    <w:lvl w:ilvl="1">
      <w:lvlJc w:val="left"/>
      <w:lvlText w:val="%2."/>
      <w:numFmt w:val="decimal"/>
      <w:start w:val="2"/>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decimal"/>
      <w:start w:val="4"/>
    </w:lvl>
    <w:lvl w:ilvl="1">
      <w:lvlJc w:val="left"/>
      <w:lvlText w:val="(%2)"/>
      <w:numFmt w:val="lowerLetter"/>
      <w:start w:val="1"/>
    </w:lvl>
  </w:abstractNum>
  <w:abstractNum w:abstractNumId="14">
    <w:nsid w:val="3A95F874"/>
    <w:multiLevelType w:val="hybridMultilevel"/>
    <w:lvl w:ilvl="0">
      <w:lvlJc w:val="left"/>
      <w:lvlText w:val="(%1)"/>
      <w:numFmt w:val="lowerLetter"/>
      <w:start w:val="2"/>
    </w:lvl>
  </w:abstractNum>
  <w:abstractNum w:abstractNumId="15">
    <w:nsid w:val="8138641"/>
    <w:multiLevelType w:val="hybridMultilevel"/>
    <w:lvl w:ilvl="0">
      <w:lvlJc w:val="left"/>
      <w:lvlText w:val="%1."/>
      <w:numFmt w:val="decimal"/>
      <w:start w:val="5"/>
    </w:lvl>
    <w:lvl w:ilvl="1">
      <w:lvlJc w:val="left"/>
      <w:lvlText w:val="(%2)"/>
      <w:numFmt w:val="lowerLetter"/>
      <w:start w:val="1"/>
    </w:lvl>
  </w:abstractNum>
  <w:abstractNum w:abstractNumId="16">
    <w:nsid w:val="1E7FF521"/>
    <w:multiLevelType w:val="hybridMultilevel"/>
    <w:lvl w:ilvl="0">
      <w:lvlJc w:val="left"/>
      <w:lvlText w:val="%1."/>
      <w:numFmt w:val="decimal"/>
      <w:start w:val="7"/>
    </w:lvl>
    <w:lvl w:ilvl="1">
      <w:lvlJc w:val="left"/>
      <w:lvlText w:val="(%2)"/>
      <w:numFmt w:val="lowerLetter"/>
      <w:start w:val="1"/>
    </w:lvl>
  </w:abstractNum>
  <w:abstractNum w:abstractNumId="17">
    <w:nsid w:val="7C3DBD3D"/>
    <w:multiLevelType w:val="hybridMultilevel"/>
    <w:lvl w:ilvl="0">
      <w:lvlJc w:val="left"/>
      <w:lvlText w:val="%1"/>
      <w:numFmt w:val="decimal"/>
      <w:start w:val="1"/>
    </w:lvl>
    <w:lvl w:ilvl="1">
      <w:lvlJc w:val="left"/>
      <w:lvlText w:val="(%2)"/>
      <w:numFmt w:val="lowerLetter"/>
      <w:start w:val="4"/>
    </w:lvl>
  </w:abstractNum>
  <w:abstractNum w:abstractNumId="18">
    <w:nsid w:val="737B8DDC"/>
    <w:multiLevelType w:val="hybridMultilevel"/>
    <w:lvl w:ilvl="0">
      <w:lvlJc w:val="left"/>
      <w:lvlText w:val="%1."/>
      <w:numFmt w:val="decimal"/>
      <w:start w:val="1"/>
    </w:lvl>
    <w:lvl w:ilvl="1">
      <w:lvlJc w:val="left"/>
      <w:lvlText w:val="%2"/>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3"/>
    </w:lvl>
  </w:abstractNum>
  <w:abstractNum w:abstractNumId="21">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
    <w:nsid w:val="3006C83E"/>
    <w:multiLevelType w:val="hybridMultilevel"/>
    <w:lvl w:ilvl="0">
      <w:lvlJc w:val="left"/>
      <w:lvlText w:val="%1"/>
      <w:numFmt w:val="lowerRoman"/>
      <w:start w:val="1"/>
    </w:lvl>
    <w:lvl w:ilvl="1">
      <w:lvlJc w:val="left"/>
      <w:lvlText w:val="(%2)"/>
      <w:numFmt w:val="decimal"/>
      <w:start w:val="4"/>
    </w:lvl>
  </w:abstractNum>
  <w:abstractNum w:abstractNumId="23">
    <w:nsid w:val="614FD4A1"/>
    <w:multiLevelType w:val="hybridMultilevel"/>
    <w:lvl w:ilvl="0">
      <w:lvlJc w:val="left"/>
      <w:lvlText w:val="(%1)"/>
      <w:numFmt w:val="lowerRoman"/>
      <w:start w:val="2"/>
    </w:lvl>
    <w:lvl w:ilvl="1">
      <w:lvlJc w:val="left"/>
      <w:lvlText w:val="%2"/>
      <w:numFmt w:val="decimal"/>
      <w:start w:val="1"/>
    </w:lvl>
  </w:abstractNum>
  <w:abstractNum w:abstractNumId="24">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5">
    <w:nsid w:val="5577F8E1"/>
    <w:multiLevelType w:val="hybridMultilevel"/>
    <w:lvl w:ilvl="0">
      <w:lvlJc w:val="left"/>
      <w:lvlText w:val="(%1)"/>
      <w:numFmt w:val="decimal"/>
      <w:start w:val="45"/>
    </w:lvl>
    <w:lvl w:ilvl="1">
      <w:lvlJc w:val="left"/>
      <w:lvlText w:val="(%2)"/>
      <w:numFmt w:val="lowerLetter"/>
      <w:start w:val="1"/>
    </w:lvl>
    <w:lvl w:ilvl="2">
      <w:lvlJc w:val="left"/>
      <w:lvlText w:val="(%3)"/>
      <w:numFmt w:val="lowerRoman"/>
      <w:start w:val="4"/>
    </w:lvl>
  </w:abstractNum>
  <w:abstractNum w:abstractNumId="26">
    <w:nsid w:val="440BADFC"/>
    <w:multiLevelType w:val="hybridMultilevel"/>
    <w:lvl w:ilvl="0">
      <w:lvlJc w:val="left"/>
      <w:lvlText w:val="(%1)"/>
      <w:numFmt w:val="lowerLetter"/>
      <w:start w:val="1"/>
    </w:lvl>
    <w:lvl w:ilvl="1">
      <w:lvlJc w:val="left"/>
      <w:lvlText w:val="(%2)"/>
      <w:numFmt w:val="lowerLetter"/>
      <w:start w:val="2"/>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2"/>
    </w:lvl>
    <w:lvl w:ilvl="1">
      <w:lvlJc w:val="left"/>
      <w:lvlText w:val="(%2)"/>
      <w:numFmt w:val="lowerLetter"/>
      <w:start w:val="6"/>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3"/>
    </w:lvl>
    <w:lvl w:ilvl="1">
      <w:lvlJc w:val="left"/>
      <w:lvlText w:val="(%2)"/>
      <w:numFmt w:val="lowerLetter"/>
      <w:start w:val="1"/>
    </w:lvl>
  </w:abstractNum>
  <w:abstractNum w:abstractNumId="36">
    <w:nsid w:val="580BD78F"/>
    <w:multiLevelType w:val="hybridMultilevel"/>
    <w:lvl w:ilvl="0">
      <w:lvlJc w:val="left"/>
      <w:lvlText w:val="2"/>
      <w:numFmt w:val="bullet"/>
      <w:start w:val="1"/>
    </w:lvl>
  </w:abstractNum>
  <w:abstractNum w:abstractNumId="37">
    <w:nsid w:val="153EA43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8">
    <w:nsid w:val="385558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9">
    <w:nsid w:val="70A64E2A"/>
    <w:multiLevelType w:val="hybridMultilevel"/>
    <w:lvl w:ilvl="0">
      <w:lvlJc w:val="left"/>
      <w:lvlText w:val="%1."/>
      <w:numFmt w:val="decimal"/>
      <w:start w:val="6"/>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jpeg"/><Relationship Id="rId70" Type="http://schemas.openxmlformats.org/officeDocument/2006/relationships/image" Target="media/image61.png"/><Relationship Id="rId71" Type="http://schemas.openxmlformats.org/officeDocument/2006/relationships/image" Target="media/image62.jpeg"/><Relationship Id="rId49" Type="http://schemas.openxmlformats.org/officeDocument/2006/relationships/hyperlink" Target="https://www.sec.gov/Archives/edgar/data/0001853145/000114036121023912/nt10022251x16_ex3-1.htm" TargetMode="External"/><Relationship Id="rId50" Type="http://schemas.openxmlformats.org/officeDocument/2006/relationships/hyperlink" Target="https://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2024-11-12T16:40:32Z</dcterms:created>
  <dcterms:modified xsi:type="dcterms:W3CDTF">2024-11-12T16:40:32Z</dcterms:modified>
</cp:coreProperties>
</file>