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56" w:lineRule="exact"/>
        <w:rPr>
          <w:sz w:val="24"/>
          <w:szCs w:val="24"/>
          <w:color w:val="auto"/>
        </w:rPr>
      </w:pPr>
    </w:p>
    <w:p>
      <w:pPr>
        <w:ind w:left="540" w:hanging="521"/>
        <w:spacing w:after="0"/>
        <w:tabs>
          <w:tab w:leader="none" w:pos="54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 the quarterly period ended March 31, 2026</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9" w:lineRule="exact"/>
        <w:rPr>
          <w:sz w:val="24"/>
          <w:szCs w:val="24"/>
          <w:color w:val="auto"/>
        </w:rPr>
      </w:pPr>
    </w:p>
    <w:p>
      <w:pPr>
        <w:ind w:left="600" w:hanging="539"/>
        <w:spacing w:after="0"/>
        <w:tabs>
          <w:tab w:leader="none" w:pos="60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97" w:lineRule="exact"/>
        <w:rPr>
          <w:rFonts w:ascii="MS PGothic" w:cs="MS PGothic" w:eastAsia="MS PGothic" w:hAnsi="MS PGothic"/>
          <w:sz w:val="14"/>
          <w:szCs w:val="14"/>
          <w:color w:val="auto"/>
          <w:highlight w:val="black"/>
        </w:rPr>
      </w:pPr>
    </w:p>
    <w:p>
      <w:pPr>
        <w:ind w:left="352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3"/>
          <w:szCs w:val="13"/>
          <w:b w:val="1"/>
          <w:bCs w:val="1"/>
          <w:color w:val="auto"/>
        </w:rPr>
        <w:t>For the transition period from ___________________ to ___________________</w:t>
      </w:r>
    </w:p>
    <w:p>
      <w:pPr>
        <w:spacing w:after="0" w:line="94" w:lineRule="exact"/>
        <w:rPr>
          <w:rFonts w:ascii="MS PGothic" w:cs="MS PGothic" w:eastAsia="MS PGothic" w:hAnsi="MS PGothic"/>
          <w:sz w:val="14"/>
          <w:szCs w:val="14"/>
          <w:color w:val="auto"/>
          <w:highlight w:val="black"/>
        </w:rPr>
      </w:pPr>
    </w:p>
    <w:p>
      <w:pPr>
        <w:ind w:left="464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3"/>
          <w:szCs w:val="13"/>
          <w:b w:val="1"/>
          <w:bCs w:val="1"/>
          <w:color w:val="auto"/>
        </w:rPr>
        <w:t>Commission File Number: 001-40575</w:t>
      </w:r>
    </w:p>
    <w:p>
      <w:pPr>
        <w:spacing w:after="0" w:line="109" w:lineRule="exact"/>
        <w:rPr>
          <w:sz w:val="24"/>
          <w:szCs w:val="24"/>
          <w:color w:val="auto"/>
        </w:rPr>
      </w:pPr>
    </w:p>
    <w:tbl>
      <w:tblPr>
        <w:tblLayout w:type="fixed"/>
        <w:tblInd w:w="10" w:type="dxa"/>
        <w:tblCellMar>
          <w:top w:w="0" w:type="dxa"/>
          <w:left w:w="0" w:type="dxa"/>
          <w:bottom w:w="0" w:type="dxa"/>
          <w:right w:w="0" w:type="dxa"/>
        </w:tblCellMar>
      </w:tblPr>
      <w:tr>
        <w:trPr>
          <w:trHeight w:val="300"/>
        </w:trPr>
        <w:tc>
          <w:tcPr>
            <w:tcW w:w="3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180" w:type="dxa"/>
            <w:vAlign w:val="bottom"/>
          </w:tcPr>
          <w:p>
            <w:pPr>
              <w:jc w:val="center"/>
              <w:ind w:left="55"/>
              <w:spacing w:after="0"/>
              <w:rPr>
                <w:sz w:val="20"/>
                <w:szCs w:val="20"/>
                <w:color w:val="auto"/>
              </w:rPr>
            </w:pPr>
            <w:r>
              <w:rPr>
                <w:rFonts w:ascii="Times New Roman" w:cs="Times New Roman" w:eastAsia="Times New Roman" w:hAnsi="Times New Roman"/>
                <w:sz w:val="23"/>
                <w:szCs w:val="23"/>
                <w:b w:val="1"/>
                <w:bCs w:val="1"/>
                <w:color w:val="auto"/>
                <w:w w:val="97"/>
              </w:rPr>
              <w:t>EverCommerce Inc.</w:t>
            </w:r>
          </w:p>
        </w:tc>
        <w:tc>
          <w:tcPr>
            <w:tcW w:w="4120" w:type="dxa"/>
            <w:vAlign w:val="bottom"/>
          </w:tcPr>
          <w:p>
            <w:pPr>
              <w:spacing w:after="0"/>
              <w:rPr>
                <w:sz w:val="24"/>
                <w:szCs w:val="24"/>
                <w:color w:val="auto"/>
              </w:rPr>
            </w:pPr>
          </w:p>
        </w:tc>
      </w:tr>
      <w:tr>
        <w:trPr>
          <w:trHeight w:val="221"/>
        </w:trPr>
        <w:tc>
          <w:tcPr>
            <w:tcW w:w="3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180" w:type="dxa"/>
            <w:vAlign w:val="bottom"/>
          </w:tcPr>
          <w:p>
            <w:pPr>
              <w:jc w:val="center"/>
              <w:ind w:left="35"/>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tc>
        <w:tc>
          <w:tcPr>
            <w:tcW w:w="4120" w:type="dxa"/>
            <w:vAlign w:val="bottom"/>
          </w:tcPr>
          <w:p>
            <w:pPr>
              <w:spacing w:after="0"/>
              <w:rPr>
                <w:sz w:val="19"/>
                <w:szCs w:val="19"/>
                <w:color w:val="auto"/>
              </w:rPr>
            </w:pPr>
          </w:p>
        </w:tc>
      </w:tr>
      <w:tr>
        <w:trPr>
          <w:trHeight w:val="308"/>
        </w:trPr>
        <w:tc>
          <w:tcPr>
            <w:tcW w:w="3500" w:type="dxa"/>
            <w:vAlign w:val="bottom"/>
          </w:tcPr>
          <w:p>
            <w:pPr>
              <w:jc w:val="center"/>
              <w:ind w:left="1587"/>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5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120" w:type="dxa"/>
            <w:vAlign w:val="bottom"/>
          </w:tcPr>
          <w:p>
            <w:pPr>
              <w:jc w:val="right"/>
              <w:ind w:right="2887"/>
              <w:spacing w:after="0"/>
              <w:rPr>
                <w:sz w:val="20"/>
                <w:szCs w:val="20"/>
                <w:color w:val="auto"/>
              </w:rPr>
            </w:pPr>
            <w:r>
              <w:rPr>
                <w:rFonts w:ascii="Times New Roman" w:cs="Times New Roman" w:eastAsia="Times New Roman" w:hAnsi="Times New Roman"/>
                <w:sz w:val="11"/>
                <w:szCs w:val="11"/>
                <w:b w:val="1"/>
                <w:bCs w:val="1"/>
                <w:color w:val="auto"/>
              </w:rPr>
              <w:t>81-4063248</w:t>
            </w:r>
          </w:p>
        </w:tc>
      </w:tr>
      <w:tr>
        <w:trPr>
          <w:trHeight w:val="154"/>
        </w:trPr>
        <w:tc>
          <w:tcPr>
            <w:tcW w:w="3500" w:type="dxa"/>
            <w:vAlign w:val="bottom"/>
          </w:tcPr>
          <w:p>
            <w:pPr>
              <w:jc w:val="center"/>
              <w:ind w:left="1567"/>
              <w:spacing w:after="0"/>
              <w:rPr>
                <w:sz w:val="20"/>
                <w:szCs w:val="20"/>
                <w:color w:val="auto"/>
              </w:rPr>
            </w:pPr>
            <w:r>
              <w:rPr>
                <w:rFonts w:ascii="Times New Roman" w:cs="Times New Roman" w:eastAsia="Times New Roman" w:hAnsi="Times New Roman"/>
                <w:sz w:val="10"/>
                <w:szCs w:val="10"/>
                <w:color w:val="auto"/>
                <w:w w:val="99"/>
              </w:rPr>
              <w:t>(State or other jurisdiction of</w:t>
            </w:r>
          </w:p>
        </w:tc>
        <w:tc>
          <w:tcPr>
            <w:tcW w:w="5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4120" w:type="dxa"/>
            <w:vAlign w:val="bottom"/>
          </w:tcPr>
          <w:p>
            <w:pPr>
              <w:jc w:val="center"/>
              <w:ind w:right="2247"/>
              <w:spacing w:after="0"/>
              <w:rPr>
                <w:sz w:val="20"/>
                <w:szCs w:val="20"/>
                <w:color w:val="auto"/>
              </w:rPr>
            </w:pPr>
            <w:r>
              <w:rPr>
                <w:rFonts w:ascii="Times New Roman" w:cs="Times New Roman" w:eastAsia="Times New Roman" w:hAnsi="Times New Roman"/>
                <w:sz w:val="10"/>
                <w:szCs w:val="10"/>
                <w:color w:val="auto"/>
                <w:w w:val="97"/>
              </w:rPr>
              <w:t>(I.R.S. Employer Identification</w:t>
            </w:r>
          </w:p>
        </w:tc>
      </w:tr>
      <w:tr>
        <w:trPr>
          <w:trHeight w:val="128"/>
        </w:trPr>
        <w:tc>
          <w:tcPr>
            <w:tcW w:w="3500" w:type="dxa"/>
            <w:vAlign w:val="bottom"/>
          </w:tcPr>
          <w:p>
            <w:pPr>
              <w:jc w:val="center"/>
              <w:ind w:left="1567"/>
              <w:spacing w:after="0"/>
              <w:rPr>
                <w:sz w:val="20"/>
                <w:szCs w:val="20"/>
                <w:color w:val="auto"/>
              </w:rPr>
            </w:pPr>
            <w:r>
              <w:rPr>
                <w:rFonts w:ascii="Times New Roman" w:cs="Times New Roman" w:eastAsia="Times New Roman" w:hAnsi="Times New Roman"/>
                <w:sz w:val="10"/>
                <w:szCs w:val="10"/>
                <w:color w:val="auto"/>
                <w:w w:val="99"/>
              </w:rPr>
              <w:t>incorporation or organization)</w:t>
            </w:r>
          </w:p>
        </w:tc>
        <w:tc>
          <w:tcPr>
            <w:tcW w:w="50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4120" w:type="dxa"/>
            <w:vAlign w:val="bottom"/>
          </w:tcPr>
          <w:p>
            <w:pPr>
              <w:jc w:val="center"/>
              <w:ind w:right="2247"/>
              <w:spacing w:after="0"/>
              <w:rPr>
                <w:sz w:val="20"/>
                <w:szCs w:val="20"/>
                <w:color w:val="auto"/>
              </w:rPr>
            </w:pPr>
            <w:r>
              <w:rPr>
                <w:rFonts w:ascii="Times New Roman" w:cs="Times New Roman" w:eastAsia="Times New Roman" w:hAnsi="Times New Roman"/>
                <w:sz w:val="10"/>
                <w:szCs w:val="10"/>
                <w:color w:val="auto"/>
                <w:w w:val="99"/>
              </w:rPr>
              <w:t>No.)</w:t>
            </w:r>
          </w:p>
        </w:tc>
      </w:tr>
      <w:tr>
        <w:trPr>
          <w:trHeight w:val="269"/>
        </w:trPr>
        <w:tc>
          <w:tcPr>
            <w:tcW w:w="3500" w:type="dxa"/>
            <w:vAlign w:val="bottom"/>
          </w:tcPr>
          <w:p>
            <w:pPr>
              <w:jc w:val="center"/>
              <w:ind w:left="1567"/>
              <w:spacing w:after="0"/>
              <w:rPr>
                <w:sz w:val="20"/>
                <w:szCs w:val="20"/>
                <w:color w:val="auto"/>
              </w:rPr>
            </w:pPr>
            <w:r>
              <w:rPr>
                <w:rFonts w:ascii="Times New Roman" w:cs="Times New Roman" w:eastAsia="Times New Roman" w:hAnsi="Times New Roman"/>
                <w:sz w:val="11"/>
                <w:szCs w:val="11"/>
                <w:b w:val="1"/>
                <w:bCs w:val="1"/>
                <w:color w:val="auto"/>
              </w:rPr>
              <w:t>3601 Walnut Street, Suite 400</w:t>
            </w:r>
          </w:p>
        </w:tc>
        <w:tc>
          <w:tcPr>
            <w:tcW w:w="50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4120" w:type="dxa"/>
            <w:vAlign w:val="bottom"/>
          </w:tcPr>
          <w:p>
            <w:pPr>
              <w:spacing w:after="0"/>
              <w:rPr>
                <w:sz w:val="23"/>
                <w:szCs w:val="23"/>
                <w:color w:val="auto"/>
              </w:rPr>
            </w:pPr>
          </w:p>
        </w:tc>
      </w:tr>
      <w:tr>
        <w:trPr>
          <w:trHeight w:val="159"/>
        </w:trPr>
        <w:tc>
          <w:tcPr>
            <w:tcW w:w="3500" w:type="dxa"/>
            <w:vAlign w:val="bottom"/>
          </w:tcPr>
          <w:p>
            <w:pPr>
              <w:jc w:val="center"/>
              <w:ind w:left="1567"/>
              <w:spacing w:after="0"/>
              <w:rPr>
                <w:sz w:val="20"/>
                <w:szCs w:val="20"/>
                <w:color w:val="auto"/>
              </w:rPr>
            </w:pPr>
            <w:r>
              <w:rPr>
                <w:rFonts w:ascii="Times New Roman" w:cs="Times New Roman" w:eastAsia="Times New Roman" w:hAnsi="Times New Roman"/>
                <w:sz w:val="11"/>
                <w:szCs w:val="11"/>
                <w:b w:val="1"/>
                <w:bCs w:val="1"/>
                <w:color w:val="auto"/>
              </w:rPr>
              <w:t>Denver, Colorado</w:t>
            </w:r>
          </w:p>
        </w:tc>
        <w:tc>
          <w:tcPr>
            <w:tcW w:w="5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4120" w:type="dxa"/>
            <w:vAlign w:val="bottom"/>
          </w:tcPr>
          <w:p>
            <w:pPr>
              <w:jc w:val="right"/>
              <w:ind w:right="3007"/>
              <w:spacing w:after="0"/>
              <w:rPr>
                <w:sz w:val="20"/>
                <w:szCs w:val="20"/>
                <w:color w:val="auto"/>
              </w:rPr>
            </w:pPr>
            <w:r>
              <w:rPr>
                <w:rFonts w:ascii="Times New Roman" w:cs="Times New Roman" w:eastAsia="Times New Roman" w:hAnsi="Times New Roman"/>
                <w:sz w:val="11"/>
                <w:szCs w:val="11"/>
                <w:b w:val="1"/>
                <w:bCs w:val="1"/>
                <w:color w:val="auto"/>
              </w:rPr>
              <w:t>80205</w:t>
            </w:r>
          </w:p>
        </w:tc>
      </w:tr>
      <w:tr>
        <w:trPr>
          <w:trHeight w:val="166"/>
        </w:trPr>
        <w:tc>
          <w:tcPr>
            <w:tcW w:w="3500" w:type="dxa"/>
            <w:vAlign w:val="bottom"/>
          </w:tcPr>
          <w:p>
            <w:pPr>
              <w:jc w:val="center"/>
              <w:ind w:left="1567"/>
              <w:spacing w:after="0"/>
              <w:rPr>
                <w:sz w:val="20"/>
                <w:szCs w:val="20"/>
                <w:color w:val="auto"/>
              </w:rPr>
            </w:pPr>
            <w:r>
              <w:rPr>
                <w:rFonts w:ascii="Times New Roman" w:cs="Times New Roman" w:eastAsia="Times New Roman" w:hAnsi="Times New Roman"/>
                <w:sz w:val="10"/>
                <w:szCs w:val="10"/>
                <w:color w:val="auto"/>
                <w:w w:val="98"/>
              </w:rPr>
              <w:t>(Address of principal executive offices)</w:t>
            </w:r>
          </w:p>
        </w:tc>
        <w:tc>
          <w:tcPr>
            <w:tcW w:w="5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120" w:type="dxa"/>
            <w:vAlign w:val="bottom"/>
          </w:tcPr>
          <w:p>
            <w:pPr>
              <w:jc w:val="center"/>
              <w:ind w:right="2247"/>
              <w:spacing w:after="0"/>
              <w:rPr>
                <w:sz w:val="20"/>
                <w:szCs w:val="20"/>
                <w:color w:val="auto"/>
              </w:rPr>
            </w:pPr>
            <w:r>
              <w:rPr>
                <w:rFonts w:ascii="Times New Roman" w:cs="Times New Roman" w:eastAsia="Times New Roman" w:hAnsi="Times New Roman"/>
                <w:sz w:val="10"/>
                <w:szCs w:val="10"/>
                <w:color w:val="auto"/>
                <w:w w:val="94"/>
              </w:rPr>
              <w:t>(Zip Code)</w:t>
            </w:r>
          </w:p>
        </w:tc>
      </w:tr>
      <w:tr>
        <w:trPr>
          <w:trHeight w:val="227"/>
        </w:trPr>
        <w:tc>
          <w:tcPr>
            <w:tcW w:w="3500" w:type="dxa"/>
            <w:vAlign w:val="bottom"/>
          </w:tcPr>
          <w:p>
            <w:pPr>
              <w:spacing w:after="0"/>
              <w:rPr>
                <w:sz w:val="19"/>
                <w:szCs w:val="19"/>
                <w:color w:val="auto"/>
              </w:rPr>
            </w:pPr>
          </w:p>
        </w:tc>
        <w:tc>
          <w:tcPr>
            <w:tcW w:w="3680" w:type="dxa"/>
            <w:vAlign w:val="bottom"/>
            <w:gridSpan w:val="2"/>
          </w:tcPr>
          <w:p>
            <w:pPr>
              <w:jc w:val="center"/>
              <w:ind w:left="540"/>
              <w:spacing w:after="0"/>
              <w:rPr>
                <w:sz w:val="20"/>
                <w:szCs w:val="20"/>
                <w:color w:val="auto"/>
              </w:rPr>
            </w:pPr>
            <w:r>
              <w:rPr>
                <w:rFonts w:ascii="Times New Roman" w:cs="Times New Roman" w:eastAsia="Times New Roman" w:hAnsi="Times New Roman"/>
                <w:sz w:val="13"/>
                <w:szCs w:val="13"/>
                <w:b w:val="1"/>
                <w:bCs w:val="1"/>
                <w:color w:val="auto"/>
                <w:w w:val="98"/>
              </w:rPr>
              <w:t>(720) 647-4948</w:t>
            </w:r>
          </w:p>
        </w:tc>
        <w:tc>
          <w:tcPr>
            <w:tcW w:w="4120" w:type="dxa"/>
            <w:vAlign w:val="bottom"/>
          </w:tcPr>
          <w:p>
            <w:pPr>
              <w:spacing w:after="0"/>
              <w:rPr>
                <w:sz w:val="19"/>
                <w:szCs w:val="19"/>
                <w:color w:val="auto"/>
              </w:rPr>
            </w:pPr>
          </w:p>
        </w:tc>
      </w:tr>
      <w:tr>
        <w:trPr>
          <w:trHeight w:val="149"/>
        </w:trPr>
        <w:tc>
          <w:tcPr>
            <w:tcW w:w="3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180" w:type="dxa"/>
            <w:vAlign w:val="bottom"/>
          </w:tcPr>
          <w:p>
            <w:pPr>
              <w:jc w:val="center"/>
              <w:ind w:left="35"/>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tc>
        <w:tc>
          <w:tcPr>
            <w:tcW w:w="4120" w:type="dxa"/>
            <w:vAlign w:val="bottom"/>
          </w:tcPr>
          <w:p>
            <w:pPr>
              <w:spacing w:after="0"/>
              <w:rPr>
                <w:sz w:val="12"/>
                <w:szCs w:val="12"/>
                <w:color w:val="auto"/>
              </w:rPr>
            </w:pPr>
          </w:p>
        </w:tc>
      </w:tr>
      <w:tr>
        <w:trPr>
          <w:trHeight w:val="201"/>
        </w:trPr>
        <w:tc>
          <w:tcPr>
            <w:tcW w:w="3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180" w:type="dxa"/>
            <w:vAlign w:val="bottom"/>
          </w:tcPr>
          <w:p>
            <w:pPr>
              <w:jc w:val="center"/>
              <w:ind w:left="35"/>
              <w:spacing w:after="0"/>
              <w:rPr>
                <w:sz w:val="20"/>
                <w:szCs w:val="20"/>
                <w:color w:val="auto"/>
              </w:rPr>
            </w:pPr>
            <w:r>
              <w:rPr>
                <w:rFonts w:ascii="Times New Roman" w:cs="Times New Roman" w:eastAsia="Times New Roman" w:hAnsi="Times New Roman"/>
                <w:sz w:val="11"/>
                <w:szCs w:val="11"/>
                <w:b w:val="1"/>
                <w:bCs w:val="1"/>
                <w:color w:val="auto"/>
              </w:rPr>
              <w:t>N/A</w:t>
            </w:r>
          </w:p>
        </w:tc>
        <w:tc>
          <w:tcPr>
            <w:tcW w:w="4120" w:type="dxa"/>
            <w:vAlign w:val="bottom"/>
          </w:tcPr>
          <w:p>
            <w:pPr>
              <w:spacing w:after="0"/>
              <w:rPr>
                <w:sz w:val="17"/>
                <w:szCs w:val="17"/>
                <w:color w:val="auto"/>
              </w:rPr>
            </w:pPr>
          </w:p>
        </w:tc>
      </w:tr>
      <w:tr>
        <w:trPr>
          <w:trHeight w:val="149"/>
        </w:trPr>
        <w:tc>
          <w:tcPr>
            <w:tcW w:w="3500" w:type="dxa"/>
            <w:vAlign w:val="bottom"/>
          </w:tcPr>
          <w:p>
            <w:pPr>
              <w:spacing w:after="0"/>
              <w:rPr>
                <w:sz w:val="12"/>
                <w:szCs w:val="12"/>
                <w:color w:val="auto"/>
              </w:rPr>
            </w:pPr>
          </w:p>
        </w:tc>
        <w:tc>
          <w:tcPr>
            <w:tcW w:w="7800" w:type="dxa"/>
            <w:vAlign w:val="bottom"/>
            <w:gridSpan w:val="3"/>
          </w:tcPr>
          <w:p>
            <w:pPr>
              <w:jc w:val="center"/>
              <w:ind w:right="3447"/>
              <w:spacing w:after="0"/>
              <w:rPr>
                <w:sz w:val="20"/>
                <w:szCs w:val="20"/>
                <w:color w:val="auto"/>
              </w:rPr>
            </w:pPr>
            <w:r>
              <w:rPr>
                <w:rFonts w:ascii="Times New Roman" w:cs="Times New Roman" w:eastAsia="Times New Roman" w:hAnsi="Times New Roman"/>
                <w:sz w:val="11"/>
                <w:szCs w:val="11"/>
                <w:b w:val="1"/>
                <w:bCs w:val="1"/>
                <w:color w:val="auto"/>
              </w:rPr>
              <w:t>(Former name, former address and former fiscal year, if changed since last report)</w:t>
            </w:r>
          </w:p>
        </w:tc>
      </w:tr>
      <w:tr>
        <w:trPr>
          <w:trHeight w:val="223"/>
        </w:trPr>
        <w:tc>
          <w:tcPr>
            <w:tcW w:w="3500" w:type="dxa"/>
            <w:vAlign w:val="bottom"/>
          </w:tcPr>
          <w:p>
            <w:pPr>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5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72"/>
        </w:trPr>
        <w:tc>
          <w:tcPr>
            <w:tcW w:w="35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180" w:type="dxa"/>
            <w:vAlign w:val="bottom"/>
            <w:tcBorders>
              <w:bottom w:val="single" w:sz="8" w:color="auto"/>
            </w:tcBorders>
          </w:tcPr>
          <w:p>
            <w:pPr>
              <w:spacing w:after="0"/>
              <w:rPr>
                <w:sz w:val="6"/>
                <w:szCs w:val="6"/>
                <w:color w:val="auto"/>
              </w:rPr>
            </w:pPr>
          </w:p>
        </w:tc>
        <w:tc>
          <w:tcPr>
            <w:tcW w:w="4120" w:type="dxa"/>
            <w:vAlign w:val="bottom"/>
            <w:tcBorders>
              <w:bottom w:val="single" w:sz="8" w:color="auto"/>
            </w:tcBorders>
          </w:tcPr>
          <w:p>
            <w:pPr>
              <w:spacing w:after="0"/>
              <w:rPr>
                <w:sz w:val="6"/>
                <w:szCs w:val="6"/>
                <w:color w:val="auto"/>
              </w:rPr>
            </w:pPr>
          </w:p>
        </w:tc>
      </w:tr>
      <w:tr>
        <w:trPr>
          <w:trHeight w:val="127"/>
        </w:trPr>
        <w:tc>
          <w:tcPr>
            <w:tcW w:w="3500" w:type="dxa"/>
            <w:vAlign w:val="bottom"/>
            <w:tcBorders>
              <w:left w:val="single" w:sz="8" w:color="auto"/>
            </w:tcBorders>
          </w:tcPr>
          <w:p>
            <w:pPr>
              <w:jc w:val="center"/>
              <w:ind w:left="447"/>
              <w:spacing w:after="0"/>
              <w:rPr>
                <w:sz w:val="20"/>
                <w:szCs w:val="20"/>
                <w:color w:val="auto"/>
              </w:rPr>
            </w:pPr>
            <w:r>
              <w:rPr>
                <w:rFonts w:ascii="Times New Roman" w:cs="Times New Roman" w:eastAsia="Times New Roman" w:hAnsi="Times New Roman"/>
                <w:sz w:val="10"/>
                <w:szCs w:val="10"/>
                <w:b w:val="1"/>
                <w:bCs w:val="1"/>
                <w:color w:val="auto"/>
              </w:rPr>
              <w:t>Title of each class</w:t>
            </w:r>
          </w:p>
        </w:tc>
        <w:tc>
          <w:tcPr>
            <w:tcW w:w="500" w:type="dxa"/>
            <w:vAlign w:val="bottom"/>
            <w:tcBorders>
              <w:right w:val="single" w:sz="8" w:color="auto"/>
            </w:tcBorders>
          </w:tcPr>
          <w:p>
            <w:pPr>
              <w:spacing w:after="0"/>
              <w:rPr>
                <w:sz w:val="11"/>
                <w:szCs w:val="11"/>
                <w:color w:val="auto"/>
              </w:rPr>
            </w:pPr>
          </w:p>
        </w:tc>
        <w:tc>
          <w:tcPr>
            <w:tcW w:w="3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Trading Symbol(s)</w:t>
            </w:r>
          </w:p>
        </w:tc>
        <w:tc>
          <w:tcPr>
            <w:tcW w:w="4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Name of each exchange on which registered</w:t>
            </w:r>
          </w:p>
        </w:tc>
      </w:tr>
      <w:tr>
        <w:trPr>
          <w:trHeight w:val="23"/>
        </w:trPr>
        <w:tc>
          <w:tcPr>
            <w:tcW w:w="350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4120" w:type="dxa"/>
            <w:vAlign w:val="bottom"/>
            <w:tcBorders>
              <w:bottom w:val="single" w:sz="8" w:color="auto"/>
              <w:right w:val="single" w:sz="8" w:color="auto"/>
            </w:tcBorders>
          </w:tcPr>
          <w:p>
            <w:pPr>
              <w:spacing w:after="0"/>
              <w:rPr>
                <w:sz w:val="2"/>
                <w:szCs w:val="2"/>
                <w:color w:val="auto"/>
              </w:rPr>
            </w:pPr>
          </w:p>
        </w:tc>
      </w:tr>
      <w:tr>
        <w:trPr>
          <w:trHeight w:val="141"/>
        </w:trPr>
        <w:tc>
          <w:tcPr>
            <w:tcW w:w="3500" w:type="dxa"/>
            <w:vAlign w:val="bottom"/>
            <w:tcBorders>
              <w:left w:val="single" w:sz="8" w:color="auto"/>
            </w:tcBorders>
          </w:tcPr>
          <w:p>
            <w:pPr>
              <w:jc w:val="center"/>
              <w:ind w:left="447"/>
              <w:spacing w:after="0"/>
              <w:rPr>
                <w:sz w:val="20"/>
                <w:szCs w:val="20"/>
                <w:color w:val="auto"/>
              </w:rPr>
            </w:pPr>
            <w:r>
              <w:rPr>
                <w:rFonts w:ascii="Times New Roman" w:cs="Times New Roman" w:eastAsia="Times New Roman" w:hAnsi="Times New Roman"/>
                <w:sz w:val="11"/>
                <w:szCs w:val="11"/>
                <w:color w:val="auto"/>
              </w:rPr>
              <w:t>Common stock, $0.00001 par value</w:t>
            </w:r>
          </w:p>
        </w:tc>
        <w:tc>
          <w:tcPr>
            <w:tcW w:w="500" w:type="dxa"/>
            <w:vAlign w:val="bottom"/>
            <w:tcBorders>
              <w:right w:val="single" w:sz="8" w:color="auto"/>
            </w:tcBorders>
          </w:tcPr>
          <w:p>
            <w:pPr>
              <w:spacing w:after="0"/>
              <w:rPr>
                <w:sz w:val="12"/>
                <w:szCs w:val="12"/>
                <w:color w:val="auto"/>
              </w:rPr>
            </w:pPr>
          </w:p>
        </w:tc>
        <w:tc>
          <w:tcPr>
            <w:tcW w:w="3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EVCM</w:t>
            </w:r>
          </w:p>
        </w:tc>
        <w:tc>
          <w:tcPr>
            <w:tcW w:w="4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The Nasdaq Stock Market LLC</w:t>
            </w:r>
          </w:p>
        </w:tc>
      </w:tr>
      <w:tr>
        <w:trPr>
          <w:trHeight w:val="30"/>
        </w:trPr>
        <w:tc>
          <w:tcPr>
            <w:tcW w:w="350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4120" w:type="dxa"/>
            <w:vAlign w:val="bottom"/>
            <w:tcBorders>
              <w:bottom w:val="single" w:sz="8" w:color="auto"/>
              <w:right w:val="single" w:sz="8" w:color="auto"/>
            </w:tcBorders>
          </w:tcPr>
          <w:p>
            <w:pPr>
              <w:spacing w:after="0"/>
              <w:rPr>
                <w:sz w:val="2"/>
                <w:szCs w:val="2"/>
                <w:color w:val="auto"/>
              </w:rPr>
            </w:pPr>
          </w:p>
        </w:tc>
      </w:tr>
    </w:tbl>
    <w:p>
      <w:pPr>
        <w:spacing w:after="0" w:line="148" w:lineRule="exact"/>
        <w:rPr>
          <w:sz w:val="24"/>
          <w:szCs w:val="24"/>
          <w:color w:val="auto"/>
        </w:rPr>
      </w:pPr>
    </w:p>
    <w:p>
      <w:pPr>
        <w:jc w:val="both"/>
        <w:ind w:right="20"/>
        <w:spacing w:after="0" w:line="245"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85" w:lineRule="exact"/>
        <w:rPr>
          <w:sz w:val="24"/>
          <w:szCs w:val="24"/>
          <w:color w:val="auto"/>
        </w:rPr>
      </w:pPr>
    </w:p>
    <w:p>
      <w:pPr>
        <w:jc w:val="both"/>
        <w:ind w:right="20"/>
        <w:spacing w:after="0" w:line="245" w:lineRule="auto"/>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85" w:lineRule="exact"/>
        <w:rPr>
          <w:sz w:val="24"/>
          <w:szCs w:val="24"/>
          <w:color w:val="auto"/>
        </w:rPr>
      </w:pPr>
    </w:p>
    <w:p>
      <w:pPr>
        <w:jc w:val="both"/>
        <w:ind w:right="20"/>
        <w:spacing w:after="0" w:line="264"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20" w:type="dxa"/>
        <w:tblCellMar>
          <w:top w:w="0" w:type="dxa"/>
          <w:left w:w="0" w:type="dxa"/>
          <w:bottom w:w="0" w:type="dxa"/>
          <w:right w:w="0" w:type="dxa"/>
        </w:tblCellMar>
      </w:tblPr>
      <w:tr>
        <w:trPr>
          <w:trHeight w:val="191"/>
        </w:trPr>
        <w:tc>
          <w:tcPr>
            <w:tcW w:w="26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860" w:type="dxa"/>
            <w:vAlign w:val="bottom"/>
          </w:tcPr>
          <w:p>
            <w:pPr>
              <w:ind w:left="1300"/>
              <w:spacing w:after="0" w:line="131" w:lineRule="exact"/>
              <w:rPr>
                <w:sz w:val="20"/>
                <w:szCs w:val="20"/>
                <w:color w:val="auto"/>
              </w:rPr>
            </w:pPr>
            <w:r>
              <w:rPr>
                <w:rFonts w:ascii="MS PGothic" w:cs="MS PGothic" w:eastAsia="MS PGothic" w:hAnsi="MS PGothic"/>
                <w:sz w:val="13"/>
                <w:szCs w:val="13"/>
                <w:color w:val="auto"/>
              </w:rPr>
              <w:t>☐</w:t>
            </w:r>
          </w:p>
        </w:tc>
        <w:tc>
          <w:tcPr>
            <w:tcW w:w="4120" w:type="dxa"/>
            <w:vAlign w:val="bottom"/>
          </w:tcPr>
          <w:p>
            <w:pPr>
              <w:ind w:left="1420"/>
              <w:spacing w:after="0"/>
              <w:rPr>
                <w:sz w:val="20"/>
                <w:szCs w:val="20"/>
                <w:color w:val="auto"/>
              </w:rPr>
            </w:pPr>
            <w:r>
              <w:rPr>
                <w:rFonts w:ascii="Times New Roman" w:cs="Times New Roman" w:eastAsia="Times New Roman" w:hAnsi="Times New Roman"/>
                <w:sz w:val="13"/>
                <w:szCs w:val="13"/>
                <w:color w:val="auto"/>
              </w:rPr>
              <w:t>Accelerated filer</w:t>
            </w:r>
          </w:p>
        </w:tc>
        <w:tc>
          <w:tcPr>
            <w:tcW w:w="1420" w:type="dxa"/>
            <w:vAlign w:val="bottom"/>
          </w:tcPr>
          <w:p>
            <w:pPr>
              <w:ind w:left="13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1"/>
        </w:trPr>
        <w:tc>
          <w:tcPr>
            <w:tcW w:w="26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860" w:type="dxa"/>
            <w:vAlign w:val="bottom"/>
          </w:tcPr>
          <w:p>
            <w:pPr>
              <w:ind w:left="1300"/>
              <w:spacing w:after="0" w:line="131" w:lineRule="exact"/>
              <w:rPr>
                <w:sz w:val="20"/>
                <w:szCs w:val="20"/>
                <w:color w:val="auto"/>
              </w:rPr>
            </w:pPr>
            <w:r>
              <w:rPr>
                <w:rFonts w:ascii="MS PGothic" w:cs="MS PGothic" w:eastAsia="MS PGothic" w:hAnsi="MS PGothic"/>
                <w:sz w:val="13"/>
                <w:szCs w:val="13"/>
                <w:color w:val="auto"/>
              </w:rPr>
              <w:t>☐</w:t>
            </w:r>
          </w:p>
        </w:tc>
        <w:tc>
          <w:tcPr>
            <w:tcW w:w="4120" w:type="dxa"/>
            <w:vAlign w:val="bottom"/>
          </w:tcPr>
          <w:p>
            <w:pPr>
              <w:ind w:left="14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420" w:type="dxa"/>
            <w:vAlign w:val="bottom"/>
          </w:tcPr>
          <w:p>
            <w:pPr>
              <w:ind w:left="13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4"/>
        </w:trPr>
        <w:tc>
          <w:tcPr>
            <w:tcW w:w="268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860" w:type="dxa"/>
            <w:vAlign w:val="bottom"/>
          </w:tcPr>
          <w:p>
            <w:pPr>
              <w:ind w:left="1300"/>
              <w:spacing w:after="0" w:line="131" w:lineRule="exact"/>
              <w:rPr>
                <w:sz w:val="20"/>
                <w:szCs w:val="20"/>
                <w:color w:val="auto"/>
              </w:rPr>
            </w:pPr>
            <w:r>
              <w:rPr>
                <w:rFonts w:ascii="MS PGothic" w:cs="MS PGothic" w:eastAsia="MS PGothic" w:hAnsi="MS PGothic"/>
                <w:sz w:val="13"/>
                <w:szCs w:val="13"/>
                <w:color w:val="auto"/>
              </w:rPr>
              <w:t>☒</w:t>
            </w:r>
          </w:p>
        </w:tc>
        <w:tc>
          <w:tcPr>
            <w:tcW w:w="4120" w:type="dxa"/>
            <w:vAlign w:val="bottom"/>
          </w:tcPr>
          <w:p>
            <w:pPr>
              <w:spacing w:after="0"/>
              <w:rPr>
                <w:sz w:val="18"/>
                <w:szCs w:val="18"/>
                <w:color w:val="auto"/>
              </w:rPr>
            </w:pPr>
          </w:p>
        </w:tc>
        <w:tc>
          <w:tcPr>
            <w:tcW w:w="1420" w:type="dxa"/>
            <w:vAlign w:val="bottom"/>
          </w:tcPr>
          <w:p>
            <w:pPr>
              <w:spacing w:after="0"/>
              <w:rPr>
                <w:sz w:val="18"/>
                <w:szCs w:val="18"/>
                <w:color w:val="auto"/>
              </w:rPr>
            </w:pPr>
          </w:p>
        </w:tc>
      </w:tr>
    </w:tbl>
    <w:p>
      <w:pPr>
        <w:spacing w:after="0" w:line="133" w:lineRule="exact"/>
        <w:rPr>
          <w:sz w:val="24"/>
          <w:szCs w:val="24"/>
          <w:color w:val="auto"/>
        </w:rPr>
      </w:pPr>
    </w:p>
    <w:p>
      <w:pPr>
        <w:ind w:right="2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p>
    <w:p>
      <w:pPr>
        <w:ind w:right="4820"/>
        <w:spacing w:after="0" w:line="235"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As of May 5, 2026, there were 176,950,701 shares of the registrant’s common stock, par value $0.00001,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529590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1101"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340" w:type="dxa"/>
            <w:vAlign w:val="bottom"/>
          </w:tcPr>
          <w:p>
            <w:pPr>
              <w:ind w:left="40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44"/>
        </w:trPr>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340" w:type="dxa"/>
            <w:vAlign w:val="bottom"/>
          </w:tcPr>
          <w:p>
            <w:pPr>
              <w:spacing w:after="0"/>
              <w:rPr>
                <w:sz w:val="21"/>
                <w:szCs w:val="21"/>
                <w:color w:val="auto"/>
              </w:rPr>
            </w:pPr>
          </w:p>
        </w:tc>
        <w:tc>
          <w:tcPr>
            <w:tcW w:w="10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Page</w:t>
            </w:r>
          </w:p>
        </w:tc>
      </w:tr>
      <w:tr>
        <w:trPr>
          <w:trHeight w:val="22"/>
        </w:trPr>
        <w:tc>
          <w:tcPr>
            <w:tcW w:w="40" w:type="dxa"/>
            <w:vAlign w:val="bottom"/>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93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2"/>
        </w:trPr>
        <w:tc>
          <w:tcPr>
            <w:tcW w:w="40" w:type="dxa"/>
            <w:vAlign w:val="bottom"/>
          </w:tcPr>
          <w:p>
            <w:pPr>
              <w:spacing w:after="0"/>
              <w:rPr>
                <w:sz w:val="14"/>
                <w:szCs w:val="14"/>
                <w:color w:val="auto"/>
              </w:rPr>
            </w:pPr>
          </w:p>
        </w:tc>
        <w:tc>
          <w:tcPr>
            <w:tcW w:w="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9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FINANCIAL INFORMATION</w:t>
            </w:r>
          </w:p>
        </w:tc>
        <w:tc>
          <w:tcPr>
            <w:tcW w:w="1040" w:type="dxa"/>
            <w:vAlign w:val="bottom"/>
            <w:tcBorders>
              <w:bottom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91"/>
        </w:trPr>
        <w:tc>
          <w:tcPr>
            <w:tcW w:w="40" w:type="dxa"/>
            <w:vAlign w:val="bottom"/>
          </w:tcPr>
          <w:p>
            <w:pPr>
              <w:spacing w:after="0"/>
              <w:rPr>
                <w:sz w:val="16"/>
                <w:szCs w:val="16"/>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Item 1.</w:t>
            </w:r>
          </w:p>
        </w:tc>
        <w:tc>
          <w:tcPr>
            <w:tcW w:w="9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Financial Statements</w:t>
            </w: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9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Condensed Consolidated Balance Sheets as of March 31, 2026 (unaudited) and December 31, 2025</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0000FF"/>
              </w:rPr>
              <w:t>1</w:t>
            </w:r>
          </w:p>
        </w:tc>
        <w:tc>
          <w:tcPr>
            <w:tcW w:w="40" w:type="dxa"/>
            <w:vAlign w:val="bottom"/>
          </w:tcPr>
          <w:p>
            <w:pPr>
              <w:spacing w:after="0"/>
              <w:rPr>
                <w:sz w:val="16"/>
                <w:szCs w:val="16"/>
                <w:color w:val="auto"/>
              </w:rPr>
            </w:pPr>
          </w:p>
        </w:tc>
      </w:tr>
      <w:tr>
        <w:trPr>
          <w:trHeight w:val="191"/>
        </w:trPr>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Condensed Consolidated Statements of Operations and Comprehensive Income (Loss) (unaudited) for the three months ended March 31, 2026 and 2025</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0000FF"/>
              </w:rPr>
              <w:t>2</w:t>
            </w:r>
          </w:p>
        </w:tc>
        <w:tc>
          <w:tcPr>
            <w:tcW w:w="40" w:type="dxa"/>
            <w:vAlign w:val="bottom"/>
          </w:tcPr>
          <w:p>
            <w:pPr>
              <w:spacing w:after="0"/>
              <w:rPr>
                <w:sz w:val="16"/>
                <w:szCs w:val="16"/>
                <w:color w:val="auto"/>
              </w:rPr>
            </w:pPr>
          </w:p>
        </w:tc>
      </w:tr>
      <w:tr>
        <w:trPr>
          <w:trHeight w:val="22"/>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9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Condensed Consolidated Statements of Stockholders’ Equity (unaudited) for the three months ended March 31, 2026 and 2025</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0000FF"/>
              </w:rPr>
              <w:t>3</w:t>
            </w:r>
          </w:p>
        </w:tc>
        <w:tc>
          <w:tcPr>
            <w:tcW w:w="40" w:type="dxa"/>
            <w:vAlign w:val="bottom"/>
          </w:tcPr>
          <w:p>
            <w:pPr>
              <w:spacing w:after="0"/>
              <w:rPr>
                <w:sz w:val="16"/>
                <w:szCs w:val="16"/>
                <w:color w:val="auto"/>
              </w:rPr>
            </w:pPr>
          </w:p>
        </w:tc>
      </w:tr>
      <w:tr>
        <w:trPr>
          <w:trHeight w:val="191"/>
        </w:trPr>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Condensed Consolidated Statements of Cash Flows (unaudited) for the three months ended March 31, 2026 and 2025</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0000FF"/>
              </w:rPr>
              <w:t>4</w:t>
            </w:r>
          </w:p>
        </w:tc>
        <w:tc>
          <w:tcPr>
            <w:tcW w:w="40" w:type="dxa"/>
            <w:vAlign w:val="bottom"/>
          </w:tcPr>
          <w:p>
            <w:pPr>
              <w:spacing w:after="0"/>
              <w:rPr>
                <w:sz w:val="16"/>
                <w:szCs w:val="16"/>
                <w:color w:val="auto"/>
              </w:rPr>
            </w:pPr>
          </w:p>
        </w:tc>
      </w:tr>
      <w:tr>
        <w:trPr>
          <w:trHeight w:val="22"/>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9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Notes to Condensed Consolidated Financial Statements (unaudited)</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0000FF"/>
              </w:rPr>
              <w:t>5</w:t>
            </w:r>
          </w:p>
        </w:tc>
        <w:tc>
          <w:tcPr>
            <w:tcW w:w="40" w:type="dxa"/>
            <w:vAlign w:val="bottom"/>
          </w:tcPr>
          <w:p>
            <w:pPr>
              <w:spacing w:after="0"/>
              <w:rPr>
                <w:sz w:val="16"/>
                <w:szCs w:val="16"/>
                <w:color w:val="auto"/>
              </w:rPr>
            </w:pPr>
          </w:p>
        </w:tc>
      </w:tr>
      <w:tr>
        <w:trPr>
          <w:trHeight w:val="191"/>
        </w:trPr>
        <w:tc>
          <w:tcPr>
            <w:tcW w:w="40" w:type="dxa"/>
            <w:vAlign w:val="bottom"/>
          </w:tcPr>
          <w:p>
            <w:pPr>
              <w:spacing w:after="0"/>
              <w:rPr>
                <w:sz w:val="16"/>
                <w:szCs w:val="16"/>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Item 2.</w:t>
            </w:r>
          </w:p>
        </w:tc>
        <w:tc>
          <w:tcPr>
            <w:tcW w:w="9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20</w:t>
            </w:r>
          </w:p>
        </w:tc>
        <w:tc>
          <w:tcPr>
            <w:tcW w:w="40" w:type="dxa"/>
            <w:vAlign w:val="bottom"/>
          </w:tcPr>
          <w:p>
            <w:pPr>
              <w:spacing w:after="0"/>
              <w:rPr>
                <w:sz w:val="16"/>
                <w:szCs w:val="16"/>
                <w:color w:val="auto"/>
              </w:rPr>
            </w:pPr>
          </w:p>
        </w:tc>
      </w:tr>
      <w:tr>
        <w:trPr>
          <w:trHeight w:val="22"/>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Item 3.</w:t>
            </w:r>
          </w:p>
        </w:tc>
        <w:tc>
          <w:tcPr>
            <w:tcW w:w="9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Quantitative and Qualitative Disclosures About Market Risk</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0000FF"/>
                <w:w w:val="99"/>
              </w:rPr>
              <w:t>33</w:t>
            </w:r>
          </w:p>
        </w:tc>
        <w:tc>
          <w:tcPr>
            <w:tcW w:w="40" w:type="dxa"/>
            <w:vAlign w:val="bottom"/>
          </w:tcPr>
          <w:p>
            <w:pPr>
              <w:spacing w:after="0"/>
              <w:rPr>
                <w:sz w:val="16"/>
                <w:szCs w:val="16"/>
                <w:color w:val="auto"/>
              </w:rPr>
            </w:pPr>
          </w:p>
        </w:tc>
      </w:tr>
      <w:tr>
        <w:trPr>
          <w:trHeight w:val="191"/>
        </w:trPr>
        <w:tc>
          <w:tcPr>
            <w:tcW w:w="40" w:type="dxa"/>
            <w:vAlign w:val="bottom"/>
          </w:tcPr>
          <w:p>
            <w:pPr>
              <w:spacing w:after="0"/>
              <w:rPr>
                <w:sz w:val="16"/>
                <w:szCs w:val="16"/>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Item 4.</w:t>
            </w:r>
          </w:p>
        </w:tc>
        <w:tc>
          <w:tcPr>
            <w:tcW w:w="9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Controls and Procedures</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33</w:t>
            </w:r>
          </w:p>
        </w:tc>
        <w:tc>
          <w:tcPr>
            <w:tcW w:w="40" w:type="dxa"/>
            <w:vAlign w:val="bottom"/>
          </w:tcPr>
          <w:p>
            <w:pPr>
              <w:spacing w:after="0"/>
              <w:rPr>
                <w:sz w:val="16"/>
                <w:szCs w:val="16"/>
                <w:color w:val="auto"/>
              </w:rPr>
            </w:pPr>
          </w:p>
        </w:tc>
      </w:tr>
      <w:tr>
        <w:trPr>
          <w:trHeight w:val="22"/>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2"/>
        </w:trPr>
        <w:tc>
          <w:tcPr>
            <w:tcW w:w="40" w:type="dxa"/>
            <w:vAlign w:val="bottom"/>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1"/>
        </w:trPr>
        <w:tc>
          <w:tcPr>
            <w:tcW w:w="40" w:type="dxa"/>
            <w:vAlign w:val="bottom"/>
          </w:tcPr>
          <w:p>
            <w:pPr>
              <w:spacing w:after="0"/>
              <w:rPr>
                <w:sz w:val="16"/>
                <w:szCs w:val="16"/>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93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OTHER INFORMATION</w:t>
            </w: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Item 1.</w:t>
            </w:r>
          </w:p>
        </w:tc>
        <w:tc>
          <w:tcPr>
            <w:tcW w:w="9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Legal Proceedings</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0000FF"/>
                <w:w w:val="99"/>
              </w:rPr>
              <w:t>34</w:t>
            </w:r>
          </w:p>
        </w:tc>
        <w:tc>
          <w:tcPr>
            <w:tcW w:w="40" w:type="dxa"/>
            <w:vAlign w:val="bottom"/>
          </w:tcPr>
          <w:p>
            <w:pPr>
              <w:spacing w:after="0"/>
              <w:rPr>
                <w:sz w:val="16"/>
                <w:szCs w:val="16"/>
                <w:color w:val="auto"/>
              </w:rPr>
            </w:pPr>
          </w:p>
        </w:tc>
      </w:tr>
      <w:tr>
        <w:trPr>
          <w:trHeight w:val="191"/>
        </w:trPr>
        <w:tc>
          <w:tcPr>
            <w:tcW w:w="40" w:type="dxa"/>
            <w:vAlign w:val="bottom"/>
          </w:tcPr>
          <w:p>
            <w:pPr>
              <w:spacing w:after="0"/>
              <w:rPr>
                <w:sz w:val="16"/>
                <w:szCs w:val="16"/>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Item 1A.</w:t>
            </w:r>
          </w:p>
        </w:tc>
        <w:tc>
          <w:tcPr>
            <w:tcW w:w="9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Risk Factors</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34</w:t>
            </w:r>
          </w:p>
        </w:tc>
        <w:tc>
          <w:tcPr>
            <w:tcW w:w="40" w:type="dxa"/>
            <w:vAlign w:val="bottom"/>
          </w:tcPr>
          <w:p>
            <w:pPr>
              <w:spacing w:after="0"/>
              <w:rPr>
                <w:sz w:val="16"/>
                <w:szCs w:val="16"/>
                <w:color w:val="auto"/>
              </w:rPr>
            </w:pPr>
          </w:p>
        </w:tc>
      </w:tr>
      <w:tr>
        <w:trPr>
          <w:trHeight w:val="22"/>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Item 2.</w:t>
            </w:r>
          </w:p>
        </w:tc>
        <w:tc>
          <w:tcPr>
            <w:tcW w:w="9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Unregistered Sales of Equity Securities and Use of Proceeds</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0000FF"/>
                <w:w w:val="99"/>
              </w:rPr>
              <w:t>34</w:t>
            </w:r>
          </w:p>
        </w:tc>
        <w:tc>
          <w:tcPr>
            <w:tcW w:w="40" w:type="dxa"/>
            <w:vAlign w:val="bottom"/>
          </w:tcPr>
          <w:p>
            <w:pPr>
              <w:spacing w:after="0"/>
              <w:rPr>
                <w:sz w:val="16"/>
                <w:szCs w:val="16"/>
                <w:color w:val="auto"/>
              </w:rPr>
            </w:pPr>
          </w:p>
        </w:tc>
      </w:tr>
      <w:tr>
        <w:trPr>
          <w:trHeight w:val="191"/>
        </w:trPr>
        <w:tc>
          <w:tcPr>
            <w:tcW w:w="40" w:type="dxa"/>
            <w:vAlign w:val="bottom"/>
          </w:tcPr>
          <w:p>
            <w:pPr>
              <w:spacing w:after="0"/>
              <w:rPr>
                <w:sz w:val="16"/>
                <w:szCs w:val="16"/>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Item 3.</w:t>
            </w:r>
          </w:p>
        </w:tc>
        <w:tc>
          <w:tcPr>
            <w:tcW w:w="9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Defaults Upon Senior Securities</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34</w:t>
            </w:r>
          </w:p>
        </w:tc>
        <w:tc>
          <w:tcPr>
            <w:tcW w:w="40" w:type="dxa"/>
            <w:vAlign w:val="bottom"/>
          </w:tcPr>
          <w:p>
            <w:pPr>
              <w:spacing w:after="0"/>
              <w:rPr>
                <w:sz w:val="16"/>
                <w:szCs w:val="16"/>
                <w:color w:val="auto"/>
              </w:rPr>
            </w:pPr>
          </w:p>
        </w:tc>
      </w:tr>
      <w:tr>
        <w:trPr>
          <w:trHeight w:val="22"/>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Item 4.</w:t>
            </w:r>
          </w:p>
        </w:tc>
        <w:tc>
          <w:tcPr>
            <w:tcW w:w="9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Mine Safety Disclosures</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0000FF"/>
                <w:w w:val="99"/>
              </w:rPr>
              <w:t>34</w:t>
            </w:r>
          </w:p>
        </w:tc>
        <w:tc>
          <w:tcPr>
            <w:tcW w:w="40" w:type="dxa"/>
            <w:vAlign w:val="bottom"/>
          </w:tcPr>
          <w:p>
            <w:pPr>
              <w:spacing w:after="0"/>
              <w:rPr>
                <w:sz w:val="16"/>
                <w:szCs w:val="16"/>
                <w:color w:val="auto"/>
              </w:rPr>
            </w:pPr>
          </w:p>
        </w:tc>
      </w:tr>
      <w:tr>
        <w:trPr>
          <w:trHeight w:val="191"/>
        </w:trPr>
        <w:tc>
          <w:tcPr>
            <w:tcW w:w="40" w:type="dxa"/>
            <w:vAlign w:val="bottom"/>
          </w:tcPr>
          <w:p>
            <w:pPr>
              <w:spacing w:after="0"/>
              <w:rPr>
                <w:sz w:val="16"/>
                <w:szCs w:val="16"/>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Item 5.</w:t>
            </w:r>
          </w:p>
        </w:tc>
        <w:tc>
          <w:tcPr>
            <w:tcW w:w="9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Information</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34</w:t>
            </w:r>
          </w:p>
        </w:tc>
        <w:tc>
          <w:tcPr>
            <w:tcW w:w="40" w:type="dxa"/>
            <w:vAlign w:val="bottom"/>
          </w:tcPr>
          <w:p>
            <w:pPr>
              <w:spacing w:after="0"/>
              <w:rPr>
                <w:sz w:val="16"/>
                <w:szCs w:val="16"/>
                <w:color w:val="auto"/>
              </w:rPr>
            </w:pPr>
          </w:p>
        </w:tc>
      </w:tr>
      <w:tr>
        <w:trPr>
          <w:trHeight w:val="22"/>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Item 6.</w:t>
            </w:r>
          </w:p>
        </w:tc>
        <w:tc>
          <w:tcPr>
            <w:tcW w:w="9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Exhibits</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0000FF"/>
                <w:w w:val="99"/>
              </w:rPr>
              <w:t>35</w:t>
            </w:r>
          </w:p>
        </w:tc>
        <w:tc>
          <w:tcPr>
            <w:tcW w:w="40" w:type="dxa"/>
            <w:vAlign w:val="bottom"/>
          </w:tcPr>
          <w:p>
            <w:pPr>
              <w:spacing w:after="0"/>
              <w:rPr>
                <w:sz w:val="16"/>
                <w:szCs w:val="16"/>
                <w:color w:val="auto"/>
              </w:rPr>
            </w:pPr>
          </w:p>
        </w:tc>
      </w:tr>
      <w:tr>
        <w:trPr>
          <w:trHeight w:val="191"/>
        </w:trPr>
        <w:tc>
          <w:tcPr>
            <w:tcW w:w="40" w:type="dxa"/>
            <w:vAlign w:val="bottom"/>
          </w:tcPr>
          <w:p>
            <w:pPr>
              <w:spacing w:after="0"/>
              <w:rPr>
                <w:sz w:val="16"/>
                <w:szCs w:val="16"/>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Signatures</w:t>
            </w:r>
          </w:p>
        </w:tc>
        <w:tc>
          <w:tcPr>
            <w:tcW w:w="93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36</w:t>
            </w:r>
          </w:p>
        </w:tc>
        <w:tc>
          <w:tcPr>
            <w:tcW w:w="40" w:type="dxa"/>
            <w:vAlign w:val="bottom"/>
          </w:tcPr>
          <w:p>
            <w:pPr>
              <w:spacing w:after="0"/>
              <w:rPr>
                <w:sz w:val="16"/>
                <w:szCs w:val="16"/>
                <w:color w:val="auto"/>
              </w:rPr>
            </w:pPr>
          </w:p>
        </w:tc>
      </w:tr>
      <w:tr>
        <w:trPr>
          <w:trHeight w:val="1010"/>
        </w:trPr>
        <w:tc>
          <w:tcPr>
            <w:tcW w:w="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9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56"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macroeconomic and market conditions, equity compensation, business strategy, plans, market growth, future acquisitions and other capital expenditures, our stock repurchase program, plans for acquired businesses, progress towards remediation of our material weakness, and our objectives for future operations.</w:t>
      </w:r>
    </w:p>
    <w:p>
      <w:pPr>
        <w:spacing w:after="0" w:line="6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our limited operating history and evolving business; our recent growth rates may not be sustainable or indicative of future growth; we have experienced net losses in the past and we may not achieve profitability in the future; we may continue to experience significant quarterly and annual fluctuations in our operating results due to a number of factors, which makes our future operating results difficult to predict; in order to support the growth of our business and acquisition strategy, we may need to incur additional indebtedness or seek capital through new equity or debt financings; we may not be able to continue to expand our share of our existing vertical markets or expand into new vertical markets; we face intense competition in each of the industries in which we operate; the industries in which we operate are rapidly evolving and the market for technology-enabled services that empower small and medium-sized businesses is relatively immature and unproven; we are subject to economic and political risk, the business cycles of our clients and changes in the overall level of consumer and commercial spending, which could negatively impact our business, financial condition and results of operations; we are dependent on payment card networks, such as Visa and MasterCard, and payment processors, such as Worldpay and PayPal, and if we fail to comply with the applicable requirements of the payment networks or our payment processors, they can seek to fine us, suspend us, terminate our agreements and/or terminate our registrations through our bank sponsors; if we cannot keep pace with rapid developments and changes in the electronic payments market or are unable to introduce, develop and market new and enhanced versions of our software solutions we may be put at a competitive disadvantage with respect to our services that incorporated payment technology; real or perceived errors, failures or bugs in our solutions could adversely affect our business results of operations, financial condition and growth prospects; our and our third-party providers exposure to cybersecurity risks and incidents; our use of AI technologies may not be beneficial to our business, and may cause the performance of our products, services and business, as well as our reputation and reputations of our customers, to suffer or cause us to incur liability resulting from the violation of laws or contracts to which we are a party; our estimated total addressable market is subject to inherent challenges and uncertainties; failure to effectively develop and expand our sales and marketing capabilities; our ability to increase our customer base and achieve broader market acceptance and utilization of our solutions; impairment in the value of our goodwill or intangible assets; our information technology systems and our third-party providers’ information technology systems, including Worldpay, PayPal and other payment processing partners, may fail, or our third-party providers may discontinue providing their services or technology generally or to us specifically; the impact of a future pandemic, epidemic, or outbreak of infectious disease could impact our business, financial condition and results of operations, as well as the business or operations of third parties with whom we conduct business; we are subject to economic and political risk, the business cycles of our clients and changes in the overall level of consumer and commercial spending we may be unsuccessful in achieving our objectives through acquisitions, dispositions or other strategic transactions; revenues and profits generated through acquisitions may be less than anticipated, and we may fail to uncover all liabilities of acquisition targets; risks related to scrutiny on environmental sustainability and social initiatives; our ability to adequately protect or enforce our intellectual property and other proprietary rights; risk of patent, trademark and other intellectual property infringement claims; risks related to governmental regulation and other legal obligations, particularly related to privacy, data protection and information security, and our actual or perceived failure to comply with such obligations; risks related to our sponsor stockholders agreement and qualifying as a “controlled company” under the rules of The Nasdaq Stock Market; significant increased costs as a result of operating as a public company, and our management is required to devote substantial time to new compliance initiatives; as well as the other factors described in our Annual Report on Form 10-K for the year ended December 31, 2025 (“Annual Report on Form 10-K”), as updated by our other filings with the Securities and Exchange Commission (the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534035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color w:val="auto"/>
        </w:rPr>
        <w:t>of, all potentially available relevant information. These statements are inherently uncertain and investors are cautioned not to unduly rely upon these statements.</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You should read this Quarterly Report on Form 10-Q and the documents that we reference in this Quarterly Report on Form 10-Q and have filed as exhibits to this Quarterly Report on Form 10-Q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518795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4"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and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220" w:type="dxa"/>
            <w:vAlign w:val="bottom"/>
          </w:tcPr>
          <w:p>
            <w:pPr>
              <w:spacing w:after="0"/>
              <w:rPr>
                <w:sz w:val="14"/>
                <w:szCs w:val="14"/>
                <w:color w:val="auto"/>
              </w:rPr>
            </w:pPr>
          </w:p>
        </w:tc>
        <w:tc>
          <w:tcPr>
            <w:tcW w:w="1200" w:type="dxa"/>
            <w:vAlign w:val="bottom"/>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99"/>
        </w:trPr>
        <w:tc>
          <w:tcPr>
            <w:tcW w:w="83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7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3"/>
        </w:trPr>
        <w:tc>
          <w:tcPr>
            <w:tcW w:w="8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9"/>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129,316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129,730</w:t>
            </w:r>
          </w:p>
        </w:tc>
      </w:tr>
      <w:tr>
        <w:trPr>
          <w:trHeight w:val="183"/>
        </w:trPr>
        <w:tc>
          <w:tcPr>
            <w:tcW w:w="8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Accounts receivable, net of allowance for expected credit losses of $3.5 million and $3.6 million at March 31, 2026 and December 31, 2025, respectively</w:t>
            </w: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38,474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37,046</w:t>
            </w:r>
          </w:p>
        </w:tc>
      </w:tr>
      <w:tr>
        <w:trPr>
          <w:trHeight w:val="199"/>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Contract assets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11,612</w:t>
            </w:r>
          </w:p>
        </w:tc>
      </w:tr>
      <w:tr>
        <w:trPr>
          <w:trHeight w:val="183"/>
        </w:trPr>
        <w:tc>
          <w:tcPr>
            <w:tcW w:w="83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36,506</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34,391</w:t>
            </w:r>
          </w:p>
        </w:tc>
      </w:tr>
      <w:tr>
        <w:trPr>
          <w:trHeight w:val="189"/>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215,801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212,779</w:t>
            </w:r>
          </w:p>
        </w:tc>
      </w:tr>
      <w:tr>
        <w:trPr>
          <w:trHeight w:val="183"/>
        </w:trPr>
        <w:tc>
          <w:tcPr>
            <w:tcW w:w="8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6,043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5,744</w:t>
            </w:r>
          </w:p>
        </w:tc>
      </w:tr>
      <w:tr>
        <w:trPr>
          <w:trHeight w:val="199"/>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Capitalized software, net</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62,610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58,968</w:t>
            </w:r>
          </w:p>
        </w:tc>
      </w:tr>
      <w:tr>
        <w:trPr>
          <w:trHeight w:val="183"/>
        </w:trPr>
        <w:tc>
          <w:tcPr>
            <w:tcW w:w="8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 non-current assets</w:t>
            </w: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37,760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36,261</w:t>
            </w:r>
          </w:p>
        </w:tc>
      </w:tr>
      <w:tr>
        <w:trPr>
          <w:trHeight w:val="199"/>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Intangible assets, net</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152,940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164,240</w:t>
            </w:r>
          </w:p>
        </w:tc>
      </w:tr>
      <w:tr>
        <w:trPr>
          <w:trHeight w:val="183"/>
        </w:trPr>
        <w:tc>
          <w:tcPr>
            <w:tcW w:w="83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Goodwill</w:t>
            </w: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893,124</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893,802</w:t>
            </w:r>
          </w:p>
        </w:tc>
      </w:tr>
      <w:tr>
        <w:trPr>
          <w:trHeight w:val="189"/>
        </w:trPr>
        <w:tc>
          <w:tcPr>
            <w:tcW w:w="8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1,368,278</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1,371,794</w:t>
            </w:r>
          </w:p>
        </w:tc>
      </w:tr>
      <w:tr>
        <w:trPr>
          <w:trHeight w:val="163"/>
        </w:trPr>
        <w:tc>
          <w:tcPr>
            <w:tcW w:w="8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9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83"/>
        </w:trPr>
        <w:tc>
          <w:tcPr>
            <w:tcW w:w="8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Accounts payable</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12,122</w:t>
            </w:r>
          </w:p>
        </w:tc>
        <w:tc>
          <w:tcPr>
            <w:tcW w:w="80" w:type="dxa"/>
            <w:vAlign w:val="bottom"/>
          </w:tcPr>
          <w:p>
            <w:pPr>
              <w:spacing w:after="0"/>
              <w:rPr>
                <w:sz w:val="15"/>
                <w:szCs w:val="15"/>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5,125</w:t>
            </w:r>
          </w:p>
        </w:tc>
      </w:tr>
      <w:tr>
        <w:trPr>
          <w:trHeight w:val="199"/>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Accrued expenses and other</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52,198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55,836</w:t>
            </w:r>
          </w:p>
        </w:tc>
      </w:tr>
      <w:tr>
        <w:trPr>
          <w:trHeight w:val="183"/>
        </w:trPr>
        <w:tc>
          <w:tcPr>
            <w:tcW w:w="8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Deferred revenue</w:t>
            </w: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21,554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21,670</w:t>
            </w:r>
          </w:p>
        </w:tc>
      </w:tr>
      <w:tr>
        <w:trPr>
          <w:trHeight w:val="199"/>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Customer deposits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12,513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12,519</w:t>
            </w:r>
          </w:p>
        </w:tc>
      </w:tr>
      <w:tr>
        <w:trPr>
          <w:trHeight w:val="183"/>
        </w:trPr>
        <w:tc>
          <w:tcPr>
            <w:tcW w:w="83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Current maturities of long-term debt</w:t>
            </w: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5,500</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5,500</w:t>
            </w:r>
          </w:p>
        </w:tc>
      </w:tr>
      <w:tr>
        <w:trPr>
          <w:trHeight w:val="189"/>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103,887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100,650</w:t>
            </w:r>
          </w:p>
        </w:tc>
      </w:tr>
      <w:tr>
        <w:trPr>
          <w:trHeight w:val="183"/>
        </w:trPr>
        <w:tc>
          <w:tcPr>
            <w:tcW w:w="8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Long-term debt, net of current maturities and deferred financing costs</w:t>
            </w: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516,666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517,891</w:t>
            </w:r>
          </w:p>
        </w:tc>
      </w:tr>
      <w:tr>
        <w:trPr>
          <w:trHeight w:val="199"/>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33,756</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36,380</w:t>
            </w:r>
          </w:p>
        </w:tc>
      </w:tr>
      <w:tr>
        <w:trPr>
          <w:trHeight w:val="174"/>
        </w:trPr>
        <w:tc>
          <w:tcPr>
            <w:tcW w:w="834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654,309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654,921</w:t>
            </w:r>
          </w:p>
        </w:tc>
      </w:tr>
      <w:tr>
        <w:trPr>
          <w:trHeight w:val="19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16)</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83"/>
        </w:trPr>
        <w:tc>
          <w:tcPr>
            <w:tcW w:w="8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Stockholders’ equity:</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9"/>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Preferred stock, $0.00001 par value, 50,000,000 shares authorized and no shares issued or outstanding as of March 31, 2026 and December 31, 2025</w:t>
            </w:r>
          </w:p>
        </w:tc>
        <w:tc>
          <w:tcPr>
            <w:tcW w:w="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9"/>
        </w:trPr>
        <w:tc>
          <w:tcPr>
            <w:tcW w:w="8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Common stock, $0.00001 par value, 2,000,000,000 shares authorized and 177,250,834 and 178,111,971 shares issued and outstanding at March 31, 2026 and</w:t>
            </w: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4"/>
        </w:trPr>
        <w:tc>
          <w:tcPr>
            <w:tcW w:w="8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December 31, 2025, respectively</w:t>
            </w: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99"/>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(13,547)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(12,686)</w:t>
            </w:r>
          </w:p>
        </w:tc>
      </w:tr>
      <w:tr>
        <w:trPr>
          <w:trHeight w:val="183"/>
        </w:trPr>
        <w:tc>
          <w:tcPr>
            <w:tcW w:w="8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1,363,808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1,373,022</w:t>
            </w:r>
          </w:p>
        </w:tc>
      </w:tr>
      <w:tr>
        <w:trPr>
          <w:trHeight w:val="199"/>
        </w:trPr>
        <w:tc>
          <w:tcPr>
            <w:tcW w:w="8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Accumulated deficit</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(636,294)</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(643,465)</w:t>
            </w:r>
          </w:p>
        </w:tc>
      </w:tr>
      <w:tr>
        <w:trPr>
          <w:trHeight w:val="174"/>
        </w:trPr>
        <w:tc>
          <w:tcPr>
            <w:tcW w:w="8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Total stockholders’ equity</w:t>
            </w: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713,969</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716,873</w:t>
            </w:r>
          </w:p>
        </w:tc>
      </w:tr>
      <w:tr>
        <w:trPr>
          <w:trHeight w:val="214"/>
        </w:trPr>
        <w:tc>
          <w:tcPr>
            <w:tcW w:w="8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1,368,278</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1,371,794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0"/>
        </w:trPr>
        <w:tc>
          <w:tcPr>
            <w:tcW w:w="6560" w:type="dxa"/>
            <w:vAlign w:val="bottom"/>
            <w:gridSpan w:val="5"/>
          </w:tcPr>
          <w:p>
            <w:pPr>
              <w:jc w:val="center"/>
              <w:ind w:left="4669"/>
              <w:spacing w:after="0"/>
              <w:rPr>
                <w:sz w:val="20"/>
                <w:szCs w:val="20"/>
                <w:color w:val="auto"/>
              </w:rPr>
            </w:pPr>
            <w:r>
              <w:rPr>
                <w:rFonts w:ascii="Times New Roman" w:cs="Times New Roman" w:eastAsia="Times New Roman" w:hAnsi="Times New Roman"/>
                <w:sz w:val="14"/>
                <w:szCs w:val="14"/>
                <w:b w:val="1"/>
                <w:bCs w:val="1"/>
                <w:color w:val="auto"/>
              </w:rPr>
              <w:t>EverCommerce Inc.</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8240" w:type="dxa"/>
            <w:vAlign w:val="bottom"/>
            <w:gridSpan w:val="8"/>
          </w:tcPr>
          <w:p>
            <w:pPr>
              <w:jc w:val="center"/>
              <w:ind w:left="296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 and Comprehensive Income (Loss)</w:t>
            </w:r>
          </w:p>
        </w:tc>
      </w:tr>
      <w:tr>
        <w:trPr>
          <w:trHeight w:val="170"/>
        </w:trPr>
        <w:tc>
          <w:tcPr>
            <w:tcW w:w="8240" w:type="dxa"/>
            <w:vAlign w:val="bottom"/>
            <w:gridSpan w:val="8"/>
          </w:tcPr>
          <w:p>
            <w:pPr>
              <w:jc w:val="center"/>
              <w:ind w:left="2989"/>
              <w:spacing w:after="0"/>
              <w:rPr>
                <w:sz w:val="20"/>
                <w:szCs w:val="20"/>
                <w:color w:val="auto"/>
              </w:rPr>
            </w:pPr>
            <w:r>
              <w:rPr>
                <w:rFonts w:ascii="Times New Roman" w:cs="Times New Roman" w:eastAsia="Times New Roman" w:hAnsi="Times New Roman"/>
                <w:sz w:val="14"/>
                <w:szCs w:val="14"/>
                <w:b w:val="1"/>
                <w:bCs w:val="1"/>
                <w:color w:val="auto"/>
              </w:rPr>
              <w:t>(in thousands, except per share and share amounts)</w:t>
            </w:r>
          </w:p>
        </w:tc>
      </w:tr>
      <w:tr>
        <w:trPr>
          <w:trHeight w:val="186"/>
        </w:trPr>
        <w:tc>
          <w:tcPr>
            <w:tcW w:w="5260" w:type="dxa"/>
            <w:vAlign w:val="bottom"/>
          </w:tcPr>
          <w:p>
            <w:pPr>
              <w:spacing w:after="0"/>
              <w:rPr>
                <w:sz w:val="16"/>
                <w:szCs w:val="16"/>
                <w:color w:val="auto"/>
              </w:rPr>
            </w:pPr>
          </w:p>
        </w:tc>
        <w:tc>
          <w:tcPr>
            <w:tcW w:w="130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370"/>
        </w:trPr>
        <w:tc>
          <w:tcPr>
            <w:tcW w:w="5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167"/>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6"/>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r>
      <w:tr>
        <w:trPr>
          <w:trHeight w:val="174"/>
        </w:trPr>
        <w:tc>
          <w:tcPr>
            <w:tcW w:w="52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2025</w:t>
            </w:r>
          </w:p>
        </w:tc>
        <w:tc>
          <w:tcPr>
            <w:tcW w:w="600" w:type="dxa"/>
            <w:vAlign w:val="bottom"/>
          </w:tcPr>
          <w:p>
            <w:pPr>
              <w:spacing w:after="0"/>
              <w:rPr>
                <w:sz w:val="15"/>
                <w:szCs w:val="15"/>
                <w:color w:val="auto"/>
              </w:rPr>
            </w:pPr>
          </w:p>
        </w:tc>
      </w:tr>
      <w:tr>
        <w:trPr>
          <w:trHeight w:val="180"/>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600" w:type="dxa"/>
            <w:vAlign w:val="bottom"/>
          </w:tcPr>
          <w:p>
            <w:pPr>
              <w:spacing w:after="0"/>
              <w:rPr>
                <w:sz w:val="15"/>
                <w:szCs w:val="15"/>
                <w:color w:val="auto"/>
              </w:rPr>
            </w:pPr>
          </w:p>
        </w:tc>
      </w:tr>
      <w:tr>
        <w:trPr>
          <w:trHeight w:val="191"/>
        </w:trPr>
        <w:tc>
          <w:tcPr>
            <w:tcW w:w="5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Subscription and transaction fees</w:t>
            </w:r>
          </w:p>
        </w:tc>
        <w:tc>
          <w:tcPr>
            <w:tcW w:w="32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142,099</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137,779</w:t>
            </w:r>
          </w:p>
        </w:tc>
        <w:tc>
          <w:tcPr>
            <w:tcW w:w="600" w:type="dxa"/>
            <w:vAlign w:val="bottom"/>
          </w:tcPr>
          <w:p>
            <w:pPr>
              <w:spacing w:after="0"/>
              <w:rPr>
                <w:sz w:val="16"/>
                <w:szCs w:val="16"/>
                <w:color w:val="auto"/>
              </w:rPr>
            </w:pPr>
          </w:p>
        </w:tc>
      </w:tr>
      <w:tr>
        <w:trPr>
          <w:trHeight w:val="22"/>
        </w:trPr>
        <w:tc>
          <w:tcPr>
            <w:tcW w:w="5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2"/>
        </w:trPr>
        <w:tc>
          <w:tcPr>
            <w:tcW w:w="5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4,494</w:t>
            </w:r>
          </w:p>
        </w:tc>
        <w:tc>
          <w:tcPr>
            <w:tcW w:w="600" w:type="dxa"/>
            <w:vAlign w:val="bottom"/>
          </w:tcPr>
          <w:p>
            <w:pPr>
              <w:spacing w:after="0"/>
              <w:rPr>
                <w:sz w:val="18"/>
                <w:szCs w:val="18"/>
                <w:color w:val="auto"/>
              </w:rPr>
            </w:pPr>
          </w:p>
        </w:tc>
      </w:tr>
      <w:tr>
        <w:trPr>
          <w:trHeight w:val="181"/>
        </w:trPr>
        <w:tc>
          <w:tcPr>
            <w:tcW w:w="52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147,465</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142,273</w:t>
            </w:r>
          </w:p>
        </w:tc>
        <w:tc>
          <w:tcPr>
            <w:tcW w:w="600" w:type="dxa"/>
            <w:vAlign w:val="bottom"/>
          </w:tcPr>
          <w:p>
            <w:pPr>
              <w:spacing w:after="0"/>
              <w:rPr>
                <w:sz w:val="15"/>
                <w:szCs w:val="15"/>
                <w:color w:val="auto"/>
              </w:rPr>
            </w:pPr>
          </w:p>
        </w:tc>
      </w:tr>
      <w:tr>
        <w:trPr>
          <w:trHeight w:val="22"/>
        </w:trPr>
        <w:tc>
          <w:tcPr>
            <w:tcW w:w="5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2"/>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5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Cost of revenues (exclusive of depreciation and amortization presented separately below)</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32,684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31,188</w:t>
            </w:r>
          </w:p>
        </w:tc>
        <w:tc>
          <w:tcPr>
            <w:tcW w:w="600" w:type="dxa"/>
            <w:vAlign w:val="bottom"/>
          </w:tcPr>
          <w:p>
            <w:pPr>
              <w:spacing w:after="0"/>
              <w:rPr>
                <w:sz w:val="16"/>
                <w:szCs w:val="16"/>
                <w:color w:val="auto"/>
              </w:rPr>
            </w:pPr>
          </w:p>
        </w:tc>
      </w:tr>
      <w:tr>
        <w:trPr>
          <w:trHeight w:val="22"/>
        </w:trPr>
        <w:tc>
          <w:tcPr>
            <w:tcW w:w="5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2"/>
        </w:trPr>
        <w:tc>
          <w:tcPr>
            <w:tcW w:w="5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Sales and marketing</w:t>
            </w: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33,087</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28,783</w:t>
            </w:r>
          </w:p>
        </w:tc>
        <w:tc>
          <w:tcPr>
            <w:tcW w:w="600" w:type="dxa"/>
            <w:vAlign w:val="bottom"/>
          </w:tcPr>
          <w:p>
            <w:pPr>
              <w:spacing w:after="0"/>
              <w:rPr>
                <w:sz w:val="16"/>
                <w:szCs w:val="16"/>
                <w:color w:val="auto"/>
              </w:rPr>
            </w:pPr>
          </w:p>
        </w:tc>
      </w:tr>
      <w:tr>
        <w:trPr>
          <w:trHeight w:val="191"/>
        </w:trPr>
        <w:tc>
          <w:tcPr>
            <w:tcW w:w="5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Product development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19,963</w:t>
            </w:r>
          </w:p>
        </w:tc>
        <w:tc>
          <w:tcPr>
            <w:tcW w:w="600" w:type="dxa"/>
            <w:vAlign w:val="bottom"/>
          </w:tcPr>
          <w:p>
            <w:pPr>
              <w:spacing w:after="0"/>
              <w:rPr>
                <w:sz w:val="16"/>
                <w:szCs w:val="16"/>
                <w:color w:val="auto"/>
              </w:rPr>
            </w:pPr>
          </w:p>
        </w:tc>
      </w:tr>
      <w:tr>
        <w:trPr>
          <w:trHeight w:val="22"/>
        </w:trPr>
        <w:tc>
          <w:tcPr>
            <w:tcW w:w="5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2"/>
        </w:trPr>
        <w:tc>
          <w:tcPr>
            <w:tcW w:w="5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32,672</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31,281</w:t>
            </w:r>
          </w:p>
        </w:tc>
        <w:tc>
          <w:tcPr>
            <w:tcW w:w="600" w:type="dxa"/>
            <w:vAlign w:val="bottom"/>
          </w:tcPr>
          <w:p>
            <w:pPr>
              <w:spacing w:after="0"/>
              <w:rPr>
                <w:sz w:val="16"/>
                <w:szCs w:val="16"/>
                <w:color w:val="auto"/>
              </w:rPr>
            </w:pPr>
          </w:p>
        </w:tc>
      </w:tr>
      <w:tr>
        <w:trPr>
          <w:trHeight w:val="191"/>
        </w:trPr>
        <w:tc>
          <w:tcPr>
            <w:tcW w:w="5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16,768</w:t>
            </w:r>
          </w:p>
        </w:tc>
        <w:tc>
          <w:tcPr>
            <w:tcW w:w="600" w:type="dxa"/>
            <w:vAlign w:val="bottom"/>
          </w:tcPr>
          <w:p>
            <w:pPr>
              <w:spacing w:after="0"/>
              <w:rPr>
                <w:sz w:val="16"/>
                <w:szCs w:val="16"/>
                <w:color w:val="auto"/>
              </w:rPr>
            </w:pPr>
          </w:p>
        </w:tc>
      </w:tr>
      <w:tr>
        <w:trPr>
          <w:trHeight w:val="22"/>
        </w:trPr>
        <w:tc>
          <w:tcPr>
            <w:tcW w:w="5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2"/>
        </w:trPr>
        <w:tc>
          <w:tcPr>
            <w:tcW w:w="5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 on sale and impairments</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85</w:t>
            </w:r>
          </w:p>
        </w:tc>
        <w:tc>
          <w:tcPr>
            <w:tcW w:w="600" w:type="dxa"/>
            <w:vAlign w:val="bottom"/>
          </w:tcPr>
          <w:p>
            <w:pPr>
              <w:spacing w:after="0"/>
              <w:rPr>
                <w:sz w:val="18"/>
                <w:szCs w:val="18"/>
                <w:color w:val="auto"/>
              </w:rPr>
            </w:pPr>
          </w:p>
        </w:tc>
      </w:tr>
      <w:tr>
        <w:trPr>
          <w:trHeight w:val="181"/>
        </w:trPr>
        <w:tc>
          <w:tcPr>
            <w:tcW w:w="52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134,888</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128,068</w:t>
            </w:r>
          </w:p>
        </w:tc>
        <w:tc>
          <w:tcPr>
            <w:tcW w:w="600" w:type="dxa"/>
            <w:vAlign w:val="bottom"/>
          </w:tcPr>
          <w:p>
            <w:pPr>
              <w:spacing w:after="0"/>
              <w:rPr>
                <w:sz w:val="15"/>
                <w:szCs w:val="15"/>
                <w:color w:val="auto"/>
              </w:rPr>
            </w:pPr>
          </w:p>
        </w:tc>
      </w:tr>
      <w:tr>
        <w:trPr>
          <w:trHeight w:val="22"/>
        </w:trPr>
        <w:tc>
          <w:tcPr>
            <w:tcW w:w="5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14,205</w:t>
            </w:r>
          </w:p>
        </w:tc>
        <w:tc>
          <w:tcPr>
            <w:tcW w:w="600" w:type="dxa"/>
            <w:vAlign w:val="bottom"/>
          </w:tcPr>
          <w:p>
            <w:pPr>
              <w:spacing w:after="0"/>
              <w:rPr>
                <w:sz w:val="15"/>
                <w:szCs w:val="15"/>
                <w:color w:val="auto"/>
              </w:rPr>
            </w:pPr>
          </w:p>
        </w:tc>
      </w:tr>
      <w:tr>
        <w:trPr>
          <w:trHeight w:val="191"/>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other expense, net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(12,759)</w:t>
            </w:r>
          </w:p>
        </w:tc>
        <w:tc>
          <w:tcPr>
            <w:tcW w:w="600" w:type="dxa"/>
            <w:vAlign w:val="bottom"/>
          </w:tcPr>
          <w:p>
            <w:pPr>
              <w:spacing w:after="0"/>
              <w:rPr>
                <w:sz w:val="16"/>
                <w:szCs w:val="16"/>
                <w:color w:val="auto"/>
              </w:rPr>
            </w:pPr>
          </w:p>
        </w:tc>
      </w:tr>
      <w:tr>
        <w:trPr>
          <w:trHeight w:val="22"/>
        </w:trPr>
        <w:tc>
          <w:tcPr>
            <w:tcW w:w="5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5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Net income from continuing operations before income tax expense</w:t>
            </w: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1,446</w:t>
            </w:r>
          </w:p>
        </w:tc>
        <w:tc>
          <w:tcPr>
            <w:tcW w:w="600" w:type="dxa"/>
            <w:vAlign w:val="bottom"/>
          </w:tcPr>
          <w:p>
            <w:pPr>
              <w:spacing w:after="0"/>
              <w:rPr>
                <w:sz w:val="15"/>
                <w:szCs w:val="15"/>
                <w:color w:val="auto"/>
              </w:rPr>
            </w:pPr>
          </w:p>
        </w:tc>
      </w:tr>
      <w:tr>
        <w:trPr>
          <w:trHeight w:val="191"/>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600" w:type="dxa"/>
            <w:vAlign w:val="bottom"/>
          </w:tcPr>
          <w:p>
            <w:pPr>
              <w:spacing w:after="0"/>
              <w:rPr>
                <w:sz w:val="16"/>
                <w:szCs w:val="16"/>
                <w:color w:val="auto"/>
              </w:rPr>
            </w:pPr>
          </w:p>
        </w:tc>
      </w:tr>
      <w:tr>
        <w:trPr>
          <w:trHeight w:val="22"/>
        </w:trPr>
        <w:tc>
          <w:tcPr>
            <w:tcW w:w="5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5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Net income from continuing operations</w:t>
            </w: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934</w:t>
            </w:r>
          </w:p>
        </w:tc>
        <w:tc>
          <w:tcPr>
            <w:tcW w:w="600" w:type="dxa"/>
            <w:vAlign w:val="bottom"/>
          </w:tcPr>
          <w:p>
            <w:pPr>
              <w:spacing w:after="0"/>
              <w:rPr>
                <w:sz w:val="15"/>
                <w:szCs w:val="15"/>
                <w:color w:val="auto"/>
              </w:rPr>
            </w:pPr>
          </w:p>
        </w:tc>
      </w:tr>
      <w:tr>
        <w:trPr>
          <w:trHeight w:val="191"/>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from discontinued operations, net of income tax</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(8,647)</w:t>
            </w:r>
          </w:p>
        </w:tc>
        <w:tc>
          <w:tcPr>
            <w:tcW w:w="600" w:type="dxa"/>
            <w:vAlign w:val="bottom"/>
          </w:tcPr>
          <w:p>
            <w:pPr>
              <w:spacing w:after="0"/>
              <w:rPr>
                <w:sz w:val="16"/>
                <w:szCs w:val="16"/>
                <w:color w:val="auto"/>
              </w:rPr>
            </w:pPr>
          </w:p>
        </w:tc>
      </w:tr>
      <w:tr>
        <w:trPr>
          <w:trHeight w:val="22"/>
        </w:trPr>
        <w:tc>
          <w:tcPr>
            <w:tcW w:w="5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52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(7,713)</w:t>
            </w:r>
          </w:p>
        </w:tc>
        <w:tc>
          <w:tcPr>
            <w:tcW w:w="600" w:type="dxa"/>
            <w:vAlign w:val="bottom"/>
          </w:tcPr>
          <w:p>
            <w:pPr>
              <w:spacing w:after="0"/>
              <w:rPr>
                <w:sz w:val="15"/>
                <w:szCs w:val="15"/>
                <w:color w:val="auto"/>
              </w:rPr>
            </w:pPr>
          </w:p>
        </w:tc>
      </w:tr>
      <w:tr>
        <w:trPr>
          <w:trHeight w:val="191"/>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2"/>
        </w:trPr>
        <w:tc>
          <w:tcPr>
            <w:tcW w:w="5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2"/>
        </w:trPr>
        <w:tc>
          <w:tcPr>
            <w:tcW w:w="5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Foreign currency translation (loss) gain, net</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477</w:t>
            </w:r>
          </w:p>
        </w:tc>
        <w:tc>
          <w:tcPr>
            <w:tcW w:w="600" w:type="dxa"/>
            <w:vAlign w:val="bottom"/>
          </w:tcPr>
          <w:p>
            <w:pPr>
              <w:spacing w:after="0"/>
              <w:rPr>
                <w:sz w:val="18"/>
                <w:szCs w:val="18"/>
                <w:color w:val="auto"/>
              </w:rPr>
            </w:pPr>
          </w:p>
        </w:tc>
      </w:tr>
      <w:tr>
        <w:trPr>
          <w:trHeight w:val="203"/>
        </w:trPr>
        <w:tc>
          <w:tcPr>
            <w:tcW w:w="526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6,310</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(7,236)</w:t>
            </w:r>
          </w:p>
        </w:tc>
        <w:tc>
          <w:tcPr>
            <w:tcW w:w="600" w:type="dxa"/>
            <w:vAlign w:val="bottom"/>
          </w:tcPr>
          <w:p>
            <w:pPr>
              <w:spacing w:after="0"/>
              <w:rPr>
                <w:sz w:val="17"/>
                <w:szCs w:val="17"/>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63"/>
        </w:trPr>
        <w:tc>
          <w:tcPr>
            <w:tcW w:w="5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0" w:type="dxa"/>
            <w:vAlign w:val="bottom"/>
          </w:tcPr>
          <w:p>
            <w:pPr>
              <w:spacing w:after="0"/>
              <w:rPr>
                <w:sz w:val="14"/>
                <w:szCs w:val="14"/>
                <w:color w:val="auto"/>
              </w:rPr>
            </w:pPr>
          </w:p>
        </w:tc>
      </w:tr>
      <w:tr>
        <w:trPr>
          <w:trHeight w:val="191"/>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net income (loss) per share attributable to common stockholders: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2"/>
        </w:trPr>
        <w:tc>
          <w:tcPr>
            <w:tcW w:w="5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2"/>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Continuing operations</w:t>
            </w:r>
          </w:p>
        </w:tc>
        <w:tc>
          <w:tcPr>
            <w:tcW w:w="320" w:type="dxa"/>
            <w:vAlign w:val="bottom"/>
            <w:tcBorders>
              <w:bottom w:val="single" w:sz="8" w:color="CCEEFF"/>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0.01</w:t>
            </w:r>
          </w:p>
        </w:tc>
        <w:tc>
          <w:tcPr>
            <w:tcW w:w="600" w:type="dxa"/>
            <w:vAlign w:val="bottom"/>
          </w:tcPr>
          <w:p>
            <w:pPr>
              <w:spacing w:after="0"/>
              <w:rPr>
                <w:sz w:val="16"/>
                <w:szCs w:val="16"/>
                <w:color w:val="auto"/>
              </w:rPr>
            </w:pPr>
          </w:p>
        </w:tc>
      </w:tr>
      <w:tr>
        <w:trPr>
          <w:trHeight w:val="191"/>
        </w:trPr>
        <w:tc>
          <w:tcPr>
            <w:tcW w:w="5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Discontinued operations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600" w:type="dxa"/>
            <w:vAlign w:val="bottom"/>
          </w:tcPr>
          <w:p>
            <w:pPr>
              <w:spacing w:after="0"/>
              <w:rPr>
                <w:sz w:val="16"/>
                <w:szCs w:val="16"/>
                <w:color w:val="auto"/>
              </w:rPr>
            </w:pPr>
          </w:p>
        </w:tc>
      </w:tr>
      <w:tr>
        <w:trPr>
          <w:trHeight w:val="22"/>
        </w:trPr>
        <w:tc>
          <w:tcPr>
            <w:tcW w:w="5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23"/>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32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600" w:type="dxa"/>
            <w:vAlign w:val="bottom"/>
          </w:tcPr>
          <w:p>
            <w:pPr>
              <w:spacing w:after="0"/>
              <w:rPr>
                <w:sz w:val="19"/>
                <w:szCs w:val="19"/>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43"/>
        </w:trPr>
        <w:tc>
          <w:tcPr>
            <w:tcW w:w="5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92"/>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net income (loss) per share attributable to common stockholders:</w:t>
            </w: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5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Continuing operations</w:t>
            </w:r>
          </w:p>
        </w:tc>
        <w:tc>
          <w:tcPr>
            <w:tcW w:w="32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0.01</w:t>
            </w:r>
          </w:p>
        </w:tc>
        <w:tc>
          <w:tcPr>
            <w:tcW w:w="600" w:type="dxa"/>
            <w:vAlign w:val="bottom"/>
          </w:tcPr>
          <w:p>
            <w:pPr>
              <w:spacing w:after="0"/>
              <w:rPr>
                <w:sz w:val="16"/>
                <w:szCs w:val="16"/>
                <w:color w:val="auto"/>
              </w:rPr>
            </w:pPr>
          </w:p>
        </w:tc>
      </w:tr>
      <w:tr>
        <w:trPr>
          <w:trHeight w:val="22"/>
        </w:trPr>
        <w:tc>
          <w:tcPr>
            <w:tcW w:w="5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2"/>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Discontinued operations</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600" w:type="dxa"/>
            <w:vAlign w:val="bottom"/>
          </w:tcPr>
          <w:p>
            <w:pPr>
              <w:spacing w:after="0"/>
              <w:rPr>
                <w:sz w:val="18"/>
                <w:szCs w:val="18"/>
                <w:color w:val="auto"/>
              </w:rPr>
            </w:pPr>
          </w:p>
        </w:tc>
      </w:tr>
      <w:tr>
        <w:trPr>
          <w:trHeight w:val="203"/>
        </w:trPr>
        <w:tc>
          <w:tcPr>
            <w:tcW w:w="5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600" w:type="dxa"/>
            <w:vAlign w:val="bottom"/>
          </w:tcPr>
          <w:p>
            <w:pPr>
              <w:spacing w:after="0"/>
              <w:rPr>
                <w:sz w:val="17"/>
                <w:szCs w:val="17"/>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63"/>
        </w:trPr>
        <w:tc>
          <w:tcPr>
            <w:tcW w:w="5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0" w:type="dxa"/>
            <w:vAlign w:val="bottom"/>
          </w:tcPr>
          <w:p>
            <w:pPr>
              <w:spacing w:after="0"/>
              <w:rPr>
                <w:sz w:val="14"/>
                <w:szCs w:val="14"/>
                <w:color w:val="auto"/>
              </w:rPr>
            </w:pPr>
          </w:p>
        </w:tc>
      </w:tr>
      <w:tr>
        <w:trPr>
          <w:trHeight w:val="176"/>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shares of common stock outstanding used in computing net income (loss)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4"/>
        </w:trPr>
        <w:tc>
          <w:tcPr>
            <w:tcW w:w="5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 share:</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2"/>
        </w:trPr>
        <w:tc>
          <w:tcPr>
            <w:tcW w:w="5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2"/>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Basic</w:t>
            </w: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177,679,140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183,467,698</w:t>
            </w:r>
          </w:p>
        </w:tc>
        <w:tc>
          <w:tcPr>
            <w:tcW w:w="600" w:type="dxa"/>
            <w:vAlign w:val="bottom"/>
          </w:tcPr>
          <w:p>
            <w:pPr>
              <w:spacing w:after="0"/>
              <w:rPr>
                <w:sz w:val="16"/>
                <w:szCs w:val="16"/>
                <w:color w:val="auto"/>
              </w:rPr>
            </w:pPr>
          </w:p>
        </w:tc>
      </w:tr>
      <w:tr>
        <w:trPr>
          <w:trHeight w:val="191"/>
        </w:trPr>
        <w:tc>
          <w:tcPr>
            <w:tcW w:w="5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Diluted</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180,415,914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185,222,240</w:t>
            </w:r>
          </w:p>
        </w:tc>
        <w:tc>
          <w:tcPr>
            <w:tcW w:w="600" w:type="dxa"/>
            <w:vAlign w:val="bottom"/>
          </w:tcPr>
          <w:p>
            <w:pPr>
              <w:spacing w:after="0"/>
              <w:rPr>
                <w:sz w:val="16"/>
                <w:szCs w:val="16"/>
                <w:color w:val="auto"/>
              </w:rPr>
            </w:pPr>
          </w:p>
        </w:tc>
      </w:tr>
    </w:tbl>
    <w:p>
      <w:pPr>
        <w:spacing w:after="0" w:line="37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950"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640" w:type="dxa"/>
            <w:vAlign w:val="bottom"/>
            <w:gridSpan w:val="2"/>
            <w:vMerge w:val="restart"/>
          </w:tcPr>
          <w:p>
            <w:pPr>
              <w:jc w:val="right"/>
              <w:ind w:right="232"/>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3"/>
                <w:szCs w:val="13"/>
                <w:color w:val="auto"/>
              </w:rPr>
            </w:pPr>
          </w:p>
        </w:tc>
        <w:tc>
          <w:tcPr>
            <w:tcW w:w="98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640" w:type="dxa"/>
            <w:vAlign w:val="bottom"/>
            <w:tcBorders>
              <w:bottom w:val="single" w:sz="8" w:color="auto"/>
            </w:tcBorders>
            <w:gridSpan w:val="2"/>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31"/>
              <w:spacing w:after="0" w:line="140"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2"/>
                <w:szCs w:val="12"/>
                <w:color w:val="auto"/>
              </w:rPr>
            </w:pPr>
          </w:p>
        </w:tc>
        <w:tc>
          <w:tcPr>
            <w:tcW w:w="960" w:type="dxa"/>
            <w:vAlign w:val="bottom"/>
          </w:tcPr>
          <w:p>
            <w:pPr>
              <w:jc w:val="center"/>
              <w:ind w:right="51"/>
              <w:spacing w:after="0" w:line="140"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2"/>
                <w:szCs w:val="12"/>
                <w:color w:val="auto"/>
              </w:rPr>
            </w:pPr>
          </w:p>
        </w:tc>
        <w:tc>
          <w:tcPr>
            <w:tcW w:w="1000" w:type="dxa"/>
            <w:vAlign w:val="bottom"/>
          </w:tcPr>
          <w:p>
            <w:pPr>
              <w:jc w:val="center"/>
              <w:ind w:right="52"/>
              <w:spacing w:after="0" w:line="140"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2"/>
                <w:szCs w:val="12"/>
                <w:color w:val="auto"/>
              </w:rPr>
            </w:pPr>
          </w:p>
        </w:tc>
        <w:tc>
          <w:tcPr>
            <w:tcW w:w="980" w:type="dxa"/>
            <w:vAlign w:val="bottom"/>
          </w:tcPr>
          <w:p>
            <w:pPr>
              <w:jc w:val="center"/>
              <w:ind w:right="71"/>
              <w:spacing w:after="0" w:line="140"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9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7"/>
              </w:rPr>
              <w:t>Paid-In Capital</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178,112</w:t>
            </w:r>
          </w:p>
        </w:tc>
        <w:tc>
          <w:tcPr>
            <w:tcW w:w="720" w:type="dxa"/>
            <w:vAlign w:val="bottom"/>
            <w:tcBorders>
              <w:bottom w:val="single" w:sz="8" w:color="CCEEFF"/>
            </w:tcBorders>
            <w:shd w:val="clear" w:color="auto" w:fill="CCEEFF"/>
          </w:tcPr>
          <w:p>
            <w:pPr>
              <w:jc w:val="right"/>
              <w:ind w:right="572"/>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1,373,022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(643,465)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716,873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Common stock issued upon vesting of restricted stock units, net of shares withheld</w:t>
            </w: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 employee taxes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72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(1,847)</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(1,847)</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9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5,881</w:t>
            </w: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5,881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Stock option exercises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72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683</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9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Repurchase and retirement of common stock, including taxes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7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(13,931)</w:t>
            </w: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Foreign currency translation loss, net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9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7,171</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7,171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177,251</w:t>
            </w:r>
          </w:p>
        </w:tc>
        <w:tc>
          <w:tcPr>
            <w:tcW w:w="72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1,363,808</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(636,294)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(13,547)</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713,969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640" w:type="dxa"/>
            <w:vAlign w:val="bottom"/>
            <w:gridSpan w:val="2"/>
            <w:vMerge w:val="restart"/>
          </w:tcPr>
          <w:p>
            <w:pPr>
              <w:jc w:val="right"/>
              <w:ind w:right="232"/>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32"/>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2"/>
                <w:szCs w:val="12"/>
                <w:color w:val="auto"/>
              </w:rPr>
            </w:pPr>
          </w:p>
        </w:tc>
        <w:tc>
          <w:tcPr>
            <w:tcW w:w="98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640" w:type="dxa"/>
            <w:vAlign w:val="bottom"/>
            <w:tcBorders>
              <w:bottom w:val="single" w:sz="8" w:color="auto"/>
            </w:tcBorders>
            <w:gridSpan w:val="2"/>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3"/>
                <w:szCs w:val="13"/>
                <w:color w:val="auto"/>
              </w:rPr>
            </w:pPr>
          </w:p>
        </w:tc>
        <w:tc>
          <w:tcPr>
            <w:tcW w:w="96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3"/>
                <w:szCs w:val="13"/>
                <w:color w:val="auto"/>
              </w:rPr>
            </w:pPr>
          </w:p>
        </w:tc>
        <w:tc>
          <w:tcPr>
            <w:tcW w:w="1000" w:type="dxa"/>
            <w:vAlign w:val="bottom"/>
          </w:tcPr>
          <w:p>
            <w:pPr>
              <w:jc w:val="center"/>
              <w:ind w:right="32"/>
              <w:spacing w:after="0"/>
              <w:rPr>
                <w:sz w:val="20"/>
                <w:szCs w:val="20"/>
                <w:color w:val="auto"/>
              </w:rPr>
            </w:pPr>
            <w:r>
              <w:rPr>
                <w:rFonts w:ascii="Times New Roman" w:cs="Times New Roman" w:eastAsia="Times New Roman" w:hAnsi="Times New Roman"/>
                <w:sz w:val="13"/>
                <w:szCs w:val="13"/>
                <w:b w:val="1"/>
                <w:bCs w:val="1"/>
                <w:color w:val="auto"/>
                <w:w w:val="99"/>
              </w:rPr>
              <w:t>Comprehensive</w:t>
            </w:r>
          </w:p>
        </w:tc>
        <w:tc>
          <w:tcPr>
            <w:tcW w:w="120" w:type="dxa"/>
            <w:vAlign w:val="bottom"/>
          </w:tcPr>
          <w:p>
            <w:pPr>
              <w:spacing w:after="0"/>
              <w:rPr>
                <w:sz w:val="13"/>
                <w:szCs w:val="13"/>
                <w:color w:val="auto"/>
              </w:rPr>
            </w:pPr>
          </w:p>
        </w:tc>
        <w:tc>
          <w:tcPr>
            <w:tcW w:w="98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9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7"/>
              </w:rPr>
              <w:t>Paid-In Capital</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183,725</w:t>
            </w:r>
          </w:p>
        </w:tc>
        <w:tc>
          <w:tcPr>
            <w:tcW w:w="720" w:type="dxa"/>
            <w:vAlign w:val="bottom"/>
            <w:tcBorders>
              <w:bottom w:val="single" w:sz="8" w:color="CCEEFF"/>
            </w:tcBorders>
            <w:shd w:val="clear" w:color="auto" w:fill="CCEEFF"/>
          </w:tcPr>
          <w:p>
            <w:pPr>
              <w:jc w:val="right"/>
              <w:ind w:right="55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1,426,206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(661,064)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750,826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Common stock issued upon vesting of restricted stock units, net of shares withheld</w:t>
            </w: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 employee taxes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72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49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6,940</w:t>
            </w: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Stock option exercises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72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49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Repurchase and retirement of common stock, including taxes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w:t>
            </w:r>
          </w:p>
        </w:tc>
        <w:tc>
          <w:tcPr>
            <w:tcW w:w="7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(11,164)</w:t>
            </w: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Foreign currency translation gain, net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49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(7,713)</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183,034</w:t>
            </w:r>
          </w:p>
        </w:tc>
        <w:tc>
          <w:tcPr>
            <w:tcW w:w="7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1,422,185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(668,777)</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(13,841)</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739,569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40" w:top="950"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860" w:type="dxa"/>
            <w:vAlign w:val="bottom"/>
          </w:tcPr>
          <w:p>
            <w:pPr>
              <w:spacing w:after="0"/>
              <w:rPr>
                <w:sz w:val="12"/>
                <w:szCs w:val="12"/>
                <w:color w:val="auto"/>
              </w:rPr>
            </w:pPr>
          </w:p>
        </w:tc>
      </w:tr>
      <w:tr>
        <w:trPr>
          <w:trHeight w:val="167"/>
        </w:trPr>
        <w:tc>
          <w:tcPr>
            <w:tcW w:w="8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gridSpan w:val="3"/>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860" w:type="dxa"/>
            <w:vAlign w:val="bottom"/>
          </w:tcPr>
          <w:p>
            <w:pPr>
              <w:spacing w:after="0"/>
              <w:rPr>
                <w:sz w:val="14"/>
                <w:szCs w:val="14"/>
                <w:color w:val="auto"/>
              </w:rPr>
            </w:pPr>
          </w:p>
        </w:tc>
      </w:tr>
      <w:tr>
        <w:trPr>
          <w:trHeight w:val="26"/>
        </w:trPr>
        <w:tc>
          <w:tcPr>
            <w:tcW w:w="84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74"/>
        </w:trPr>
        <w:tc>
          <w:tcPr>
            <w:tcW w:w="840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30"/>
        </w:trPr>
        <w:tc>
          <w:tcPr>
            <w:tcW w:w="8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9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provided by operating activities:</w:t>
            </w:r>
          </w:p>
        </w:tc>
        <w:tc>
          <w:tcPr>
            <w:tcW w:w="8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3"/>
        </w:trPr>
        <w:tc>
          <w:tcPr>
            <w:tcW w:w="84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income (loss)</w:t>
            </w:r>
          </w:p>
        </w:tc>
        <w:tc>
          <w:tcPr>
            <w:tcW w:w="860" w:type="dxa"/>
            <w:vAlign w:val="bottom"/>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7,171</w:t>
            </w:r>
          </w:p>
        </w:tc>
        <w:tc>
          <w:tcPr>
            <w:tcW w:w="80" w:type="dxa"/>
            <w:vAlign w:val="bottom"/>
          </w:tcPr>
          <w:p>
            <w:pPr>
              <w:spacing w:after="0"/>
              <w:rPr>
                <w:sz w:val="15"/>
                <w:szCs w:val="15"/>
                <w:color w:val="auto"/>
              </w:rPr>
            </w:pPr>
          </w:p>
        </w:tc>
        <w:tc>
          <w:tcPr>
            <w:tcW w:w="520" w:type="dxa"/>
            <w:vAlign w:val="bottom"/>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(7,713)</w:t>
            </w:r>
          </w:p>
        </w:tc>
      </w:tr>
      <w:tr>
        <w:trPr>
          <w:trHeight w:val="199"/>
        </w:trPr>
        <w:tc>
          <w:tcPr>
            <w:tcW w:w="8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Adjustments to reconcile net income (loss) to net cash provided by operating activities: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83"/>
        </w:trPr>
        <w:tc>
          <w:tcPr>
            <w:tcW w:w="8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15,115</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17,959</w:t>
            </w:r>
          </w:p>
        </w:tc>
      </w:tr>
      <w:tr>
        <w:trPr>
          <w:trHeight w:val="199"/>
        </w:trPr>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5,881</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6,940</w:t>
            </w:r>
          </w:p>
        </w:tc>
      </w:tr>
      <w:tr>
        <w:trPr>
          <w:trHeight w:val="183"/>
        </w:trPr>
        <w:tc>
          <w:tcPr>
            <w:tcW w:w="8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Deferred taxes</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w:t>
            </w:r>
          </w:p>
        </w:tc>
      </w:tr>
      <w:tr>
        <w:trPr>
          <w:trHeight w:val="199"/>
        </w:trPr>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Amortization of deferred financing costs and non-cash interest</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w:t>
            </w:r>
          </w:p>
        </w:tc>
      </w:tr>
      <w:tr>
        <w:trPr>
          <w:trHeight w:val="183"/>
        </w:trPr>
        <w:tc>
          <w:tcPr>
            <w:tcW w:w="8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Loss on sale and impairments</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9,518</w:t>
            </w:r>
          </w:p>
        </w:tc>
      </w:tr>
      <w:tr>
        <w:trPr>
          <w:trHeight w:val="199"/>
        </w:trPr>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Bad debt expense</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704</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w:t>
            </w:r>
          </w:p>
        </w:tc>
      </w:tr>
      <w:tr>
        <w:trPr>
          <w:trHeight w:val="183"/>
        </w:trPr>
        <w:tc>
          <w:tcPr>
            <w:tcW w:w="8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(Gain) loss on interest rate swap valuation adjustments</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(2,954)</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3,856</w:t>
            </w:r>
          </w:p>
        </w:tc>
      </w:tr>
      <w:tr>
        <w:trPr>
          <w:trHeight w:val="199"/>
        </w:trPr>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 non-cash items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1,695</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1,270</w:t>
            </w:r>
          </w:p>
        </w:tc>
      </w:tr>
      <w:tr>
        <w:trPr>
          <w:trHeight w:val="183"/>
        </w:trPr>
        <w:tc>
          <w:tcPr>
            <w:tcW w:w="8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9"/>
        </w:trPr>
        <w:tc>
          <w:tcPr>
            <w:tcW w:w="8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Accounts receivable, net</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(2,183)</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(3,123)</w:t>
            </w:r>
          </w:p>
        </w:tc>
      </w:tr>
      <w:tr>
        <w:trPr>
          <w:trHeight w:val="183"/>
        </w:trPr>
        <w:tc>
          <w:tcPr>
            <w:tcW w:w="84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(2,161)</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(1,621)</w:t>
            </w:r>
          </w:p>
        </w:tc>
      </w:tr>
      <w:tr>
        <w:trPr>
          <w:trHeight w:val="199"/>
        </w:trPr>
        <w:tc>
          <w:tcPr>
            <w:tcW w:w="8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non-current assets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(689)</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w:t>
            </w:r>
          </w:p>
        </w:tc>
      </w:tr>
      <w:tr>
        <w:trPr>
          <w:trHeight w:val="183"/>
        </w:trPr>
        <w:tc>
          <w:tcPr>
            <w:tcW w:w="84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payable</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7,011</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w:t>
            </w:r>
          </w:p>
        </w:tc>
      </w:tr>
      <w:tr>
        <w:trPr>
          <w:trHeight w:val="199"/>
        </w:trPr>
        <w:tc>
          <w:tcPr>
            <w:tcW w:w="8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Accrued expenses and other</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(4,332)</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3,973</w:t>
            </w:r>
          </w:p>
        </w:tc>
      </w:tr>
      <w:tr>
        <w:trPr>
          <w:trHeight w:val="183"/>
        </w:trPr>
        <w:tc>
          <w:tcPr>
            <w:tcW w:w="84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revenue</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1,616</w:t>
            </w:r>
          </w:p>
        </w:tc>
      </w:tr>
      <w:tr>
        <w:trPr>
          <w:trHeight w:val="199"/>
        </w:trPr>
        <w:tc>
          <w:tcPr>
            <w:tcW w:w="8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8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(1,210)</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(3,005)</w:t>
            </w:r>
          </w:p>
        </w:tc>
      </w:tr>
      <w:tr>
        <w:trPr>
          <w:trHeight w:val="174"/>
        </w:trPr>
        <w:tc>
          <w:tcPr>
            <w:tcW w:w="840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24,602</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30,678</w:t>
            </w:r>
          </w:p>
        </w:tc>
      </w:tr>
      <w:tr>
        <w:trPr>
          <w:trHeight w:val="19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used in investing activities: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83"/>
        </w:trPr>
        <w:tc>
          <w:tcPr>
            <w:tcW w:w="84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(856)</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w:t>
            </w:r>
          </w:p>
        </w:tc>
      </w:tr>
      <w:tr>
        <w:trPr>
          <w:trHeight w:val="199"/>
        </w:trPr>
        <w:tc>
          <w:tcPr>
            <w:tcW w:w="8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Capitalization of software costs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(7,187)</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(5,065)</w:t>
            </w:r>
          </w:p>
        </w:tc>
      </w:tr>
      <w:tr>
        <w:trPr>
          <w:trHeight w:val="183"/>
        </w:trPr>
        <w:tc>
          <w:tcPr>
            <w:tcW w:w="84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Proceeds from disposition of fitness solutions, net of transaction costs, cash and restricted cash</w:t>
            </w:r>
          </w:p>
        </w:tc>
        <w:tc>
          <w:tcPr>
            <w:tcW w:w="86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89"/>
        </w:trPr>
        <w:tc>
          <w:tcPr>
            <w:tcW w:w="840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8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(8,043)</w:t>
            </w:r>
          </w:p>
        </w:tc>
        <w:tc>
          <w:tcPr>
            <w:tcW w:w="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(5,643)</w:t>
            </w:r>
          </w:p>
        </w:tc>
      </w:tr>
      <w:tr>
        <w:trPr>
          <w:trHeight w:val="183"/>
        </w:trPr>
        <w:tc>
          <w:tcPr>
            <w:tcW w:w="8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used in financing activities:</w:t>
            </w: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9"/>
        </w:trPr>
        <w:tc>
          <w:tcPr>
            <w:tcW w:w="8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Payments on long-term debt</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(1,375)</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(1,375)</w:t>
            </w:r>
          </w:p>
        </w:tc>
      </w:tr>
      <w:tr>
        <w:trPr>
          <w:trHeight w:val="183"/>
        </w:trPr>
        <w:tc>
          <w:tcPr>
            <w:tcW w:w="84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Exercise of stock options, net</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1,385</w:t>
            </w:r>
          </w:p>
        </w:tc>
      </w:tr>
      <w:tr>
        <w:trPr>
          <w:trHeight w:val="199"/>
        </w:trPr>
        <w:tc>
          <w:tcPr>
            <w:tcW w:w="8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Employee taxes paid for RSU withholdings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(1,847)</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w:t>
            </w:r>
          </w:p>
        </w:tc>
      </w:tr>
      <w:tr>
        <w:trPr>
          <w:trHeight w:val="183"/>
        </w:trPr>
        <w:tc>
          <w:tcPr>
            <w:tcW w:w="84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Repurchase and retirement of common stock</w:t>
            </w: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(13,834)</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(11,095)</w:t>
            </w:r>
          </w:p>
        </w:tc>
      </w:tr>
      <w:tr>
        <w:trPr>
          <w:trHeight w:val="189"/>
        </w:trPr>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Net cash used in financing activities</w:t>
            </w:r>
          </w:p>
        </w:tc>
        <w:tc>
          <w:tcPr>
            <w:tcW w:w="8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(16,373)</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(12,267)</w:t>
            </w:r>
          </w:p>
        </w:tc>
      </w:tr>
      <w:tr>
        <w:trPr>
          <w:trHeight w:val="183"/>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Effect of foreign currency exchange rate changes on cash</w:t>
            </w: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w:t>
            </w:r>
          </w:p>
        </w:tc>
      </w:tr>
      <w:tr>
        <w:trPr>
          <w:trHeight w:val="189"/>
        </w:trPr>
        <w:tc>
          <w:tcPr>
            <w:tcW w:w="8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Net (decrease) increase in cash, cash equivalents and restricted cash, including cash and restricted cash classified as held for sale</w:t>
            </w:r>
          </w:p>
        </w:tc>
        <w:tc>
          <w:tcPr>
            <w:tcW w:w="8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12,626</w:t>
            </w:r>
          </w:p>
        </w:tc>
      </w:tr>
      <w:tr>
        <w:trPr>
          <w:trHeight w:val="183"/>
        </w:trPr>
        <w:tc>
          <w:tcPr>
            <w:tcW w:w="8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including cash and restricted cash classified as held for sale:</w:t>
            </w: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1"/>
        </w:trPr>
        <w:tc>
          <w:tcPr>
            <w:tcW w:w="8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Beginning of period</w:t>
            </w:r>
          </w:p>
        </w:tc>
        <w:tc>
          <w:tcPr>
            <w:tcW w:w="8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129,730</w:t>
            </w:r>
          </w:p>
        </w:tc>
        <w:tc>
          <w:tcPr>
            <w:tcW w:w="8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135,782</w:t>
            </w:r>
          </w:p>
        </w:tc>
      </w:tr>
      <w:tr>
        <w:trPr>
          <w:trHeight w:val="189"/>
        </w:trPr>
        <w:tc>
          <w:tcPr>
            <w:tcW w:w="84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End of period</w:t>
            </w:r>
          </w:p>
        </w:tc>
        <w:tc>
          <w:tcPr>
            <w:tcW w:w="86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129,316</w:t>
            </w:r>
          </w:p>
        </w:tc>
        <w:tc>
          <w:tcPr>
            <w:tcW w:w="80" w:type="dxa"/>
            <w:vAlign w:val="bottom"/>
          </w:tcPr>
          <w:p>
            <w:pPr>
              <w:spacing w:after="0"/>
              <w:rPr>
                <w:sz w:val="16"/>
                <w:szCs w:val="16"/>
                <w:color w:val="auto"/>
              </w:rPr>
            </w:pPr>
          </w:p>
        </w:tc>
        <w:tc>
          <w:tcPr>
            <w:tcW w:w="5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148,408</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52"/>
        </w:trPr>
        <w:tc>
          <w:tcPr>
            <w:tcW w:w="84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Supplemental disclosures of cash flow information:</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91"/>
        </w:trPr>
        <w:tc>
          <w:tcPr>
            <w:tcW w:w="84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Cash paid for interest</w:t>
            </w:r>
          </w:p>
        </w:tc>
        <w:tc>
          <w:tcPr>
            <w:tcW w:w="86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7,816</w:t>
            </w:r>
          </w:p>
        </w:tc>
        <w:tc>
          <w:tcPr>
            <w:tcW w:w="80" w:type="dxa"/>
            <w:vAlign w:val="bottom"/>
          </w:tcPr>
          <w:p>
            <w:pPr>
              <w:spacing w:after="0"/>
              <w:rPr>
                <w:sz w:val="16"/>
                <w:szCs w:val="16"/>
                <w:color w:val="auto"/>
              </w:rPr>
            </w:pPr>
          </w:p>
        </w:tc>
        <w:tc>
          <w:tcPr>
            <w:tcW w:w="5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9,088</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8"/>
        </w:trPr>
        <w:tc>
          <w:tcPr>
            <w:tcW w:w="84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Cash paid for income taxes</w:t>
            </w:r>
          </w:p>
        </w:tc>
        <w:tc>
          <w:tcPr>
            <w:tcW w:w="86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2,531</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Nature of the Business</w:t>
      </w:r>
    </w:p>
    <w:p>
      <w:pPr>
        <w:spacing w:after="0" w:line="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EverCommerce Inc. and subsidiaries (the “Company” or “EverCommerce”) is a leading AI-powered platform provider of integrated, vertically-tailored software-as-a-service (“SaaS”) solutions or services that help service-based small and medium-sized businesses (“service SMBs”) run smarter and grow faster. Our platform spans across the full lifecycle of interactions between consumers and service professionals with vertical-specific applications. As of December 31, 2025, the Company empowered more than 745,000 customers worldwide primarily across three core verticals: EverPro for Home Services; EverHealth for Health Services; and EverWell for Wellness Services. Within the core verticals, customers operate within numerous micro-verticals, ranging from home service professionals, such as construction contractors and home maintenance technicians, to physician practices and therapists in the Health Services industry, to salon owners in the Wellness sectors. The platform provides vertically-tailored SaaS solutions that address service SMBs’ increasingly nuanced demands, as well as highly complementary solutions that provide fully-integrated offerings, allowing service SMBs and EverCommerce to succeed in the market, and provide end consumers more convenient service experiences. The Company is headquartered in Denver, Colorado, and has operations across the United States, Canada, United Kingdom, Australia and New Zealand.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Summary of Significant Accounting Policies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have been prepared in accordance with accounting principles generally accepted in the United States (“U.S. GAAP”) for interim financial information. Certain information and disclosures normally included in consolidated financial statements prepared in accordance with U.S. GAAP have been condensed or omitted. Accordingly, these unaudited condensed consolidated financial statements should be read in conjunction with our audited consolidated financial statements for the year ended December 31, 2025 and the related notes (“Annual Report on Form 10-K”). The December 31, 2025 consolidated balance sheet was derived from our audited consolidated financial statements as of that date. Our unaudited interim condensed consolidated financial statements include, in the opinion of management, all adjustments, consisting of normal and recurring items, necessary for the fair statement of the unaudited condensed consolidated financial statements. All intercompany accounts and transactions have been eliminated in consolidation. There have been no significant changes in accounting policies during the three months ended March 31, 2026 from those disclosed in the annual consolidated financial statements for the year ended December 31, 2025 and the related notes.</w:t>
      </w:r>
    </w:p>
    <w:p>
      <w:pPr>
        <w:spacing w:after="0" w:line="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On October 31, 2025, the Company completed the sale of its marketing technology solutions business concluding the previously announced strategic review. The Company determined that its marketing technology solutions met the criteria for discontinued operations reporting effective in the first quarter 2025. As a result, the operating results of marketing technology solutions business are presented as discontinued operations in our unaudited condensed consolidated statements of operations and comprehensive income (loss) for all periods presented through the date of sale. The unaudited condensed consolidated statements of cash flow are inclusive of continuing and discontinued operations for all periods presented through the date of sale. Unless otherwise noted, disclosures throughout these notes to the unaudited condensed consolidated financial statements reflect continuing operations only. Refer to Note 3. Acquisition and Disposition for additional information.</w:t>
      </w:r>
    </w:p>
    <w:p>
      <w:pPr>
        <w:spacing w:after="0" w:line="210" w:lineRule="exact"/>
        <w:rPr>
          <w:sz w:val="20"/>
          <w:szCs w:val="20"/>
          <w:color w:val="auto"/>
        </w:rPr>
      </w:pPr>
    </w:p>
    <w:p>
      <w:pPr>
        <w:ind w:right="2100"/>
        <w:spacing w:after="0" w:line="371" w:lineRule="auto"/>
        <w:rPr>
          <w:sz w:val="20"/>
          <w:szCs w:val="20"/>
          <w:color w:val="auto"/>
        </w:rPr>
      </w:pPr>
      <w:r>
        <w:rPr>
          <w:rFonts w:ascii="Times New Roman" w:cs="Times New Roman" w:eastAsia="Times New Roman" w:hAnsi="Times New Roman"/>
          <w:sz w:val="14"/>
          <w:szCs w:val="14"/>
          <w:color w:val="auto"/>
        </w:rPr>
        <w:t xml:space="preserve">The operating results for the three months ended March 31, 2026 are not necessarily indicative of the results expected for the full year ending December 31, 2026. </w:t>
      </w:r>
      <w:r>
        <w:rPr>
          <w:rFonts w:ascii="Times New Roman" w:cs="Times New Roman" w:eastAsia="Times New Roman" w:hAnsi="Times New Roman"/>
          <w:sz w:val="14"/>
          <w:szCs w:val="14"/>
          <w:b w:val="1"/>
          <w:bCs w:val="1"/>
          <w:color w:val="auto"/>
        </w:rPr>
        <w:t>Use of Estimates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preparation of unaudited condensed consolidated financial statements in conformity with U.S. GAAP requires management to make estimates and assumptions that affect certain reported amounts of assets and liabilities and disclosure of contingent assets and liabilities at the date of the financial statements and the reported amounts of revenue and expenses during the reporting period. Estimates are subject to uncertainties due to the levels of subjectivity and judgment necessary to account for highly uncertain matters or the susceptibility of such matters to change. Significant items subject to such estimates include: valuing identified intangible assets and acquired goodwill and establishing estimated useful lives for intangible assets in connection with business combinations; the estimation of the recoverability of goodwill and other intangible assets; income tax uncertainties, including valuation allowance for deferred tax assets and value of any uncertain tax positions; recognizing bad debt expense from expected credit losses; recognizing stock-based compensation expense and estimating standalone selling price, when applicable, for the allocation of transaction price when multiple performance obligations are included in a contract with a customer.</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Issued Accounting Pronouncements</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evaluates all Accounting Standards Updates (“ASUs”) issued by the Financial Accounting Standards Board (the “FASB”) for consideration of their applicability. ASUs not included in the disclosures in this report were assessed and determined to be either not applicable or are not expected to have a material impact on our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5"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pronouncements issued and adopted</w:t>
      </w:r>
    </w:p>
    <w:p>
      <w:pPr>
        <w:spacing w:after="0" w:line="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In July 2025, the FASB issued ASU No. 2025-05, </w:t>
      </w:r>
      <w:r>
        <w:rPr>
          <w:rFonts w:ascii="Times New Roman" w:cs="Times New Roman" w:eastAsia="Times New Roman" w:hAnsi="Times New Roman"/>
          <w:sz w:val="14"/>
          <w:szCs w:val="14"/>
          <w:i w:val="1"/>
          <w:iCs w:val="1"/>
          <w:color w:val="auto"/>
        </w:rPr>
        <w:t>Financial instruments - Credit Losses (Topic 326): Measurement of Credit Losses for Accounts Receivable and Contract Assets</w:t>
      </w:r>
      <w:r>
        <w:rPr>
          <w:rFonts w:ascii="Times New Roman" w:cs="Times New Roman" w:eastAsia="Times New Roman" w:hAnsi="Times New Roman"/>
          <w:sz w:val="14"/>
          <w:szCs w:val="14"/>
          <w:color w:val="auto"/>
        </w:rPr>
        <w:t>. This update provides a practical expedient for entities estimating expected credit losses on current trade receivables and contract assets arising from revenue transactions accounted for under Topic 606. The practical expedient permits an entity to assume current conditions as of the balance sheet date will not change for the remaining life of the asset when developing a reasonable and supportable forecast as part of estimating expected credit losses. The amendments in this update are effective for interim and annual periods within fiscal years beginning after December 15, 2025, with early adoption permitted. The Company adopted this guidance, effective for the annual period beginning January 1, 2026, including interim periods. This guidance is required to be applied prospectively. The Company evaluated the available elections under the new standard and determined the adoption of the guidance does not have a material impact on our consolidated financial statements.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pronouncements not yet adopted</w:t>
      </w:r>
    </w:p>
    <w:p>
      <w:pPr>
        <w:spacing w:after="0" w:line="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In November 2024, the FASB issued ASU No. 2024-03, </w:t>
      </w:r>
      <w:r>
        <w:rPr>
          <w:rFonts w:ascii="Times New Roman" w:cs="Times New Roman" w:eastAsia="Times New Roman" w:hAnsi="Times New Roman"/>
          <w:sz w:val="14"/>
          <w:szCs w:val="14"/>
          <w:i w:val="1"/>
          <w:iCs w:val="1"/>
          <w:color w:val="auto"/>
        </w:rPr>
        <w:t>Income Statement-Reporting Comprehensive Income-Expense Disaggregation Disclosures (Subtopic 220-40)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Disaggregation of Income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Statement Expenses</w:t>
      </w:r>
      <w:r>
        <w:rPr>
          <w:rFonts w:ascii="Times New Roman" w:cs="Times New Roman" w:eastAsia="Times New Roman" w:hAnsi="Times New Roman"/>
          <w:sz w:val="14"/>
          <w:szCs w:val="14"/>
          <w:color w:val="auto"/>
        </w:rPr>
        <w:t>, which requires public companies to disclose, in the notes to financial statements, specified information about certain costs and expenses at each interim and annual reporting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period. Public companies will be required to disclose the amounts related to purchases of inventory, employee compensation, depreciation, intangible asset amortization, and selling expenses. The amendments in this update are effective for fiscal years beginning after December 15, 2026, and interim reporting periods beginning after December 15, 2027, with early adoption permitted. The Company is currently evaluating the impact of adopting the amendments in this update on its consolidated financial statements and disclosures.</w:t>
      </w:r>
    </w:p>
    <w:p>
      <w:pPr>
        <w:spacing w:after="0" w:line="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In September 2025, the FASB issued ASU No. 2025-06, </w:t>
      </w:r>
      <w:r>
        <w:rPr>
          <w:rFonts w:ascii="Times New Roman" w:cs="Times New Roman" w:eastAsia="Times New Roman" w:hAnsi="Times New Roman"/>
          <w:sz w:val="14"/>
          <w:szCs w:val="14"/>
          <w:i w:val="1"/>
          <w:iCs w:val="1"/>
          <w:color w:val="auto"/>
        </w:rPr>
        <w:t>Intangibles - Goodwill and Other Internal-Use Software (Subtopic 350-40): Targeted Improvements to the Accounting for Internal-Use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Software. </w:t>
      </w:r>
      <w:r>
        <w:rPr>
          <w:rFonts w:ascii="Times New Roman" w:cs="Times New Roman" w:eastAsia="Times New Roman" w:hAnsi="Times New Roman"/>
          <w:sz w:val="14"/>
          <w:szCs w:val="14"/>
          <w:color w:val="auto"/>
        </w:rPr>
        <w:t>This update modernizes the capitalization criteria for internal-use software by removing references to software development project stages so that the guidance is neutral to different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software development methods. Therefore, under the guidance, software capitalization will begin when management has authorized and committed to funding the software project and when it is probable that the project will be completed and the software will be used to perform the function intended. The amendments in this update are effective for interim and annual periods within fiscal years beginning after December 15, 2027, with early adoption permitted. The Company is currently evaluating the impact of adopting the amendments in this update on its consolidated financial statements and disclosures.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Acquisition and Disposition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ZyraTalk Acquisition</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September 15, 2025, the Company acquired 100% of the interest of Joblyt LLC, dba ZyraTalk (“ZyraTalk”), an AI-powered customer engagement solution that combines virtual assistant capabilities with an agentic automation platform, for approximately $36.0 million in cash, not inclusive of an additional $6.5 million of contingent consideration which could be paid over the next three years related to post-combination employment services. The acquisition helps to establish EverCommerce as an AI-driven innovator, beginning with near-term application in its Home Services vertical, EverPro, and the Company plans to extend ZyraTalk into broader opportunities across its other verticals.</w:t>
      </w:r>
    </w:p>
    <w:p>
      <w:pPr>
        <w:spacing w:after="0" w:line="5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The Company accounted for the acquisition as a business combination under ASC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Accordingly, the Company recorded identifiable assets acquired and liabilities assumed at their acquisition date estimated fair values, with any excess consideration recognized as goodwill. Goodwill primarily represents the value associated with the assembled workforce and expected synergies subsumed into goodwill. The goodwill recognized as a result of the acquisition of ZyraTalk is deductible for income tax purposes.</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The Company measured the identifiable assets and liabilities assumed at their acquisition date estimated fair values separately from goodwill, which represent Level 3 fair value measurements as defined in ASC 820, </w:t>
      </w:r>
      <w:r>
        <w:rPr>
          <w:rFonts w:ascii="Times New Roman" w:cs="Times New Roman" w:eastAsia="Times New Roman" w:hAnsi="Times New Roman"/>
          <w:sz w:val="14"/>
          <w:szCs w:val="14"/>
          <w:i w:val="1"/>
          <w:iCs w:val="1"/>
          <w:color w:val="auto"/>
        </w:rPr>
        <w:t>Fair Value Measurement</w:t>
      </w:r>
      <w:r>
        <w:rPr>
          <w:rFonts w:ascii="Times New Roman" w:cs="Times New Roman" w:eastAsia="Times New Roman" w:hAnsi="Times New Roman"/>
          <w:sz w:val="14"/>
          <w:szCs w:val="14"/>
          <w:color w:val="auto"/>
        </w:rPr>
        <w:t>. The estimated fair values were determined by management using the assistance of third-party valuation specialists. The valuation methods used to determine the estimated fair value of intangible assets included the income approach---relief from royalty method for trademarks and developed technology with estimated useful lives of five years, and the income approach---multi period excess earnings method for customer relationships with an estimated useful life of nine years. A number of assumptions and estimates were involved in the application of these valuation methods, including revenue forecasts, expected competition, costs of revenues, obsolescence, tax rates, capital spending, customer attrition rates, discount rates and working capital changes. Cash flow forecasts were generally based on pre-acquisition forecasts coupled with estimated revenues and cost synergies available to a market participant.</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terms of the acquisition allows for an adjustment to the purchase price to be made subsequent to the transaction closing date based on the actual amount of working capital and cash delivered to the Company. The consideration paid and purchase price allocations disclosed reflect the effects of these adjustments.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5"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3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financial results of ZyraTalk since the closing through March 31, 2026, were not material to the Company’s consolidated financial statements, nor were they material to the Company’s prior period consolidated results on a pro forma basis.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estimated fair values of consideration transferred, assets acquired and liabilities assumed at the acquisition date.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0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3"/>
                <w:szCs w:val="13"/>
                <w:b w:val="1"/>
                <w:bCs w:val="1"/>
                <w:color w:val="auto"/>
              </w:rPr>
              <w:t>September 15, 2025</w:t>
            </w:r>
          </w:p>
        </w:tc>
      </w:tr>
      <w:tr>
        <w:trPr>
          <w:trHeight w:val="182"/>
        </w:trPr>
        <w:tc>
          <w:tcPr>
            <w:tcW w:w="9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00" w:type="dxa"/>
            <w:vAlign w:val="bottom"/>
          </w:tcPr>
          <w:p>
            <w:pPr>
              <w:jc w:val="right"/>
              <w:ind w:right="691"/>
              <w:spacing w:after="0"/>
              <w:rPr>
                <w:sz w:val="20"/>
                <w:szCs w:val="20"/>
                <w:color w:val="auto"/>
              </w:rPr>
            </w:pPr>
            <w:r>
              <w:rPr>
                <w:rFonts w:ascii="Times New Roman" w:cs="Times New Roman" w:eastAsia="Times New Roman" w:hAnsi="Times New Roman"/>
                <w:sz w:val="13"/>
                <w:szCs w:val="13"/>
                <w:i w:val="1"/>
                <w:iCs w:val="1"/>
                <w:color w:val="auto"/>
              </w:rPr>
              <w:t>(in thousands)</w:t>
            </w:r>
          </w:p>
        </w:tc>
      </w:tr>
      <w:tr>
        <w:trPr>
          <w:trHeight w:val="200"/>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consideration transferred:</w:t>
            </w:r>
          </w:p>
        </w:tc>
        <w:tc>
          <w:tcPr>
            <w:tcW w:w="34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r>
      <w:tr>
        <w:trPr>
          <w:trHeight w:val="191"/>
        </w:trPr>
        <w:tc>
          <w:tcPr>
            <w:tcW w:w="9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35,971</w:t>
            </w:r>
          </w:p>
        </w:tc>
      </w:tr>
      <w:tr>
        <w:trPr>
          <w:trHeight w:val="22"/>
        </w:trPr>
        <w:tc>
          <w:tcPr>
            <w:tcW w:w="9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70"/>
        </w:trPr>
        <w:tc>
          <w:tcPr>
            <w:tcW w:w="90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r>
      <w:tr>
        <w:trPr>
          <w:trHeight w:val="191"/>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assets acquired:</w:t>
            </w:r>
          </w:p>
        </w:tc>
        <w:tc>
          <w:tcPr>
            <w:tcW w:w="34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22"/>
        </w:trPr>
        <w:tc>
          <w:tcPr>
            <w:tcW w:w="9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2"/>
        </w:trPr>
        <w:tc>
          <w:tcPr>
            <w:tcW w:w="9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r>
      <w:tr>
        <w:trPr>
          <w:trHeight w:val="191"/>
        </w:trPr>
        <w:tc>
          <w:tcPr>
            <w:tcW w:w="9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Accounts receivable, trade</w:t>
            </w:r>
          </w:p>
        </w:tc>
        <w:tc>
          <w:tcPr>
            <w:tcW w:w="34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2"/>
        </w:trPr>
        <w:tc>
          <w:tcPr>
            <w:tcW w:w="9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2"/>
        </w:trPr>
        <w:tc>
          <w:tcPr>
            <w:tcW w:w="9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4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91"/>
        </w:trPr>
        <w:tc>
          <w:tcPr>
            <w:tcW w:w="9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Intangible-definite lived</w:t>
            </w:r>
          </w:p>
        </w:tc>
        <w:tc>
          <w:tcPr>
            <w:tcW w:w="34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6,870</w:t>
            </w:r>
          </w:p>
        </w:tc>
      </w:tr>
      <w:tr>
        <w:trPr>
          <w:trHeight w:val="22"/>
        </w:trPr>
        <w:tc>
          <w:tcPr>
            <w:tcW w:w="9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2"/>
        </w:trPr>
        <w:tc>
          <w:tcPr>
            <w:tcW w:w="9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Goodwill</w:t>
            </w:r>
          </w:p>
        </w:tc>
        <w:tc>
          <w:tcPr>
            <w:tcW w:w="34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29,036</w:t>
            </w:r>
          </w:p>
        </w:tc>
      </w:tr>
      <w:tr>
        <w:trPr>
          <w:trHeight w:val="191"/>
        </w:trPr>
        <w:tc>
          <w:tcPr>
            <w:tcW w:w="9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Accrued expenses and other</w:t>
            </w:r>
          </w:p>
        </w:tc>
        <w:tc>
          <w:tcPr>
            <w:tcW w:w="34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2"/>
        </w:trPr>
        <w:tc>
          <w:tcPr>
            <w:tcW w:w="9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12"/>
        </w:trPr>
        <w:tc>
          <w:tcPr>
            <w:tcW w:w="9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Deferred revenue</w:t>
            </w:r>
          </w:p>
        </w:tc>
        <w:tc>
          <w:tcPr>
            <w:tcW w:w="34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r>
      <w:tr>
        <w:trPr>
          <w:trHeight w:val="203"/>
        </w:trPr>
        <w:tc>
          <w:tcPr>
            <w:tcW w:w="9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net assets acquired</w:t>
            </w: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35,971</w:t>
            </w:r>
          </w:p>
        </w:tc>
      </w:tr>
      <w:tr>
        <w:trPr>
          <w:trHeight w:val="20"/>
        </w:trPr>
        <w:tc>
          <w:tcPr>
            <w:tcW w:w="9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Marketing Technology Solutions Disposition</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October 31, 2025, the Company completed the sale of its marketing technology solutions business to Ignite Visibility for approximately $45.0 million in cash, subject to certain closing adjustments, as part of its previously announced strategic review. The Company determined that its marketing technology solutions met the criteria for discontinued operations reporting effective in the first quarter 2025. The results of operations of marketing technology solutions are presented as discontinued operations on the unaudited condensed consolidated statements of operations and comprehensive income (loss) through the date of sale. During the three months ended March 31, 2025, we recognized an impairment charge of $9.4 million, comprised of a goodwill impairment charge of $6.9 million and a valuation allowance of $2.6 million to adjust the carrying value of the marketing technology disposal group to estimated fair value less cost to sell, which is included in loss on held for sale and impairments within discontinued operations on our unaudited condensed consolidated statements of operations and comprehensive income (loss).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results of operations of marketing technology solutions reported as discontinued operations:</w:t>
      </w:r>
    </w:p>
    <w:p>
      <w:pPr>
        <w:spacing w:after="0" w:line="138"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15"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5271770</wp:posOffset>
            </wp:positionH>
            <wp:positionV relativeFrom="paragraph">
              <wp:posOffset>17780</wp:posOffset>
            </wp:positionV>
            <wp:extent cx="189293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92935" cy="6985"/>
                    </a:xfrm>
                    <a:prstGeom prst="rect">
                      <a:avLst/>
                    </a:prstGeom>
                    <a:noFill/>
                  </pic:spPr>
                </pic:pic>
              </a:graphicData>
            </a:graphic>
          </wp:anchor>
        </w:drawing>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300" w:type="dxa"/>
            <w:vAlign w:val="bottom"/>
          </w:tcPr>
          <w:p>
            <w:pPr>
              <w:spacing w:after="0"/>
              <w:rPr>
                <w:sz w:val="15"/>
                <w:szCs w:val="15"/>
                <w:color w:val="auto"/>
              </w:rPr>
            </w:pP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3"/>
                <w:szCs w:val="13"/>
                <w:b w:val="1"/>
                <w:bCs w:val="1"/>
                <w:color w:val="auto"/>
              </w:rPr>
              <w:t>2026</w:t>
            </w:r>
          </w:p>
        </w:tc>
        <w:tc>
          <w:tcPr>
            <w:tcW w:w="4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82"/>
        </w:trPr>
        <w:tc>
          <w:tcPr>
            <w:tcW w:w="8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gridSpan w:val="3"/>
          </w:tcPr>
          <w:p>
            <w:pPr>
              <w:ind w:left="1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980" w:type="dxa"/>
            <w:vAlign w:val="bottom"/>
          </w:tcPr>
          <w:p>
            <w:pPr>
              <w:spacing w:after="0"/>
              <w:rPr>
                <w:sz w:val="15"/>
                <w:szCs w:val="15"/>
                <w:color w:val="auto"/>
              </w:rPr>
            </w:pPr>
          </w:p>
        </w:tc>
      </w:tr>
      <w:tr>
        <w:trPr>
          <w:trHeight w:val="20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1000" w:type="dxa"/>
            <w:vAlign w:val="bottom"/>
            <w:tcBorders>
              <w:bottom w:val="single" w:sz="8" w:color="CCEEFF"/>
            </w:tcBorders>
            <w:shd w:val="clear" w:color="auto" w:fill="CCEEFF"/>
          </w:tcPr>
          <w:p>
            <w:pPr>
              <w:jc w:val="right"/>
              <w:ind w:right="85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28,632</w:t>
            </w:r>
          </w:p>
        </w:tc>
      </w:tr>
      <w:tr>
        <w:trPr>
          <w:trHeight w:val="19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
        </w:trPr>
        <w:tc>
          <w:tcPr>
            <w:tcW w:w="8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2"/>
        </w:trPr>
        <w:tc>
          <w:tcPr>
            <w:tcW w:w="83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Cost of revenues (exclusive of depreciation and amortization presented separately below)</w:t>
            </w:r>
          </w:p>
        </w:tc>
        <w:tc>
          <w:tcPr>
            <w:tcW w:w="10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20,661</w:t>
            </w:r>
          </w:p>
        </w:tc>
      </w:tr>
      <w:tr>
        <w:trPr>
          <w:trHeight w:val="191"/>
        </w:trPr>
        <w:tc>
          <w:tcPr>
            <w:tcW w:w="8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Sales and marketing</w:t>
            </w:r>
          </w:p>
        </w:tc>
        <w:tc>
          <w:tcPr>
            <w:tcW w:w="1000" w:type="dxa"/>
            <w:vAlign w:val="bottom"/>
          </w:tcPr>
          <w:p>
            <w:pPr>
              <w:spacing w:after="0"/>
              <w:rPr>
                <w:sz w:val="16"/>
                <w:szCs w:val="16"/>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2,702</w:t>
            </w:r>
          </w:p>
        </w:tc>
      </w:tr>
      <w:tr>
        <w:trPr>
          <w:trHeight w:val="22"/>
        </w:trPr>
        <w:tc>
          <w:tcPr>
            <w:tcW w:w="8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2"/>
        </w:trPr>
        <w:tc>
          <w:tcPr>
            <w:tcW w:w="8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Product development</w:t>
            </w:r>
          </w:p>
        </w:tc>
        <w:tc>
          <w:tcPr>
            <w:tcW w:w="10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w:t>
            </w:r>
          </w:p>
        </w:tc>
      </w:tr>
      <w:tr>
        <w:trPr>
          <w:trHeight w:val="191"/>
        </w:trPr>
        <w:tc>
          <w:tcPr>
            <w:tcW w:w="8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00" w:type="dxa"/>
            <w:vAlign w:val="bottom"/>
          </w:tcPr>
          <w:p>
            <w:pPr>
              <w:spacing w:after="0"/>
              <w:rPr>
                <w:sz w:val="16"/>
                <w:szCs w:val="16"/>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2,283</w:t>
            </w:r>
          </w:p>
        </w:tc>
      </w:tr>
      <w:tr>
        <w:trPr>
          <w:trHeight w:val="22"/>
        </w:trPr>
        <w:tc>
          <w:tcPr>
            <w:tcW w:w="8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2"/>
        </w:trPr>
        <w:tc>
          <w:tcPr>
            <w:tcW w:w="8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w:t>
            </w:r>
          </w:p>
        </w:tc>
      </w:tr>
      <w:tr>
        <w:trPr>
          <w:trHeight w:val="191"/>
        </w:trPr>
        <w:tc>
          <w:tcPr>
            <w:tcW w:w="8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Loss on held for sale and impairments</w:t>
            </w:r>
          </w:p>
        </w:tc>
        <w:tc>
          <w:tcPr>
            <w:tcW w:w="1000" w:type="dxa"/>
            <w:vAlign w:val="bottom"/>
          </w:tcPr>
          <w:p>
            <w:pPr>
              <w:spacing w:after="0"/>
              <w:rPr>
                <w:sz w:val="16"/>
                <w:szCs w:val="16"/>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9,433</w:t>
            </w:r>
          </w:p>
        </w:tc>
      </w:tr>
      <w:tr>
        <w:trPr>
          <w:trHeight w:val="22"/>
        </w:trPr>
        <w:tc>
          <w:tcPr>
            <w:tcW w:w="83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3"/>
        </w:trPr>
        <w:tc>
          <w:tcPr>
            <w:tcW w:w="8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0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37,356</w:t>
            </w:r>
          </w:p>
        </w:tc>
      </w:tr>
      <w:tr>
        <w:trPr>
          <w:trHeight w:val="181"/>
        </w:trPr>
        <w:tc>
          <w:tcPr>
            <w:tcW w:w="83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10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(8,724)</w:t>
            </w:r>
          </w:p>
        </w:tc>
      </w:tr>
      <w:tr>
        <w:trPr>
          <w:trHeight w:val="22"/>
        </w:trPr>
        <w:tc>
          <w:tcPr>
            <w:tcW w:w="8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2"/>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0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1"/>
        </w:trPr>
        <w:tc>
          <w:tcPr>
            <w:tcW w:w="83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Net loss before income tax benefit</w:t>
            </w:r>
          </w:p>
        </w:tc>
        <w:tc>
          <w:tcPr>
            <w:tcW w:w="10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(8,721)</w:t>
            </w:r>
          </w:p>
        </w:tc>
      </w:tr>
      <w:tr>
        <w:trPr>
          <w:trHeight w:val="22"/>
        </w:trPr>
        <w:tc>
          <w:tcPr>
            <w:tcW w:w="8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2"/>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w:t>
            </w:r>
          </w:p>
        </w:tc>
        <w:tc>
          <w:tcPr>
            <w:tcW w:w="10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203"/>
        </w:trPr>
        <w:tc>
          <w:tcPr>
            <w:tcW w:w="83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Loss from discontinued operations, net of income tax</w:t>
            </w:r>
          </w:p>
        </w:tc>
        <w:tc>
          <w:tcPr>
            <w:tcW w:w="1000" w:type="dxa"/>
            <w:vAlign w:val="bottom"/>
            <w:tcBorders>
              <w:top w:val="single" w:sz="8" w:color="auto"/>
              <w:bottom w:val="single" w:sz="8" w:color="auto"/>
            </w:tcBorders>
          </w:tcPr>
          <w:p>
            <w:pPr>
              <w:jc w:val="right"/>
              <w:ind w:right="85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(8,647)</w:t>
            </w:r>
          </w:p>
        </w:tc>
      </w:tr>
      <w:tr>
        <w:trPr>
          <w:trHeight w:val="20"/>
        </w:trPr>
        <w:tc>
          <w:tcPr>
            <w:tcW w:w="8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5"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significant non-cash items related to discontinued operations that are included in the accompanying statements of cash flows:</w:t>
      </w:r>
    </w:p>
    <w:p>
      <w:pPr>
        <w:spacing w:after="0" w:line="180"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15"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5258435</wp:posOffset>
            </wp:positionH>
            <wp:positionV relativeFrom="paragraph">
              <wp:posOffset>17780</wp:posOffset>
            </wp:positionV>
            <wp:extent cx="189293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92935" cy="6985"/>
                    </a:xfrm>
                    <a:prstGeom prst="rect">
                      <a:avLst/>
                    </a:prstGeom>
                    <a:noFill/>
                  </pic:spPr>
                </pic:pic>
              </a:graphicData>
            </a:graphic>
          </wp:anchor>
        </w:drawing>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80" w:type="dxa"/>
            <w:vAlign w:val="bottom"/>
          </w:tcPr>
          <w:p>
            <w:pPr>
              <w:spacing w:after="0"/>
              <w:rPr>
                <w:sz w:val="15"/>
                <w:szCs w:val="15"/>
                <w:color w:val="auto"/>
              </w:rPr>
            </w:pPr>
          </w:p>
        </w:tc>
        <w:tc>
          <w:tcPr>
            <w:tcW w:w="9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2026</w:t>
            </w:r>
          </w:p>
        </w:tc>
        <w:tc>
          <w:tcPr>
            <w:tcW w:w="4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72"/>
        </w:trPr>
        <w:tc>
          <w:tcPr>
            <w:tcW w:w="8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000" w:type="dxa"/>
            <w:vAlign w:val="bottom"/>
          </w:tcPr>
          <w:p>
            <w:pPr>
              <w:spacing w:after="0"/>
              <w:rPr>
                <w:sz w:val="14"/>
                <w:szCs w:val="14"/>
                <w:color w:val="auto"/>
              </w:rPr>
            </w:pPr>
          </w:p>
        </w:tc>
      </w:tr>
      <w:tr>
        <w:trPr>
          <w:trHeight w:val="19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191"/>
        </w:trPr>
        <w:tc>
          <w:tcPr>
            <w:tcW w:w="8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80" w:type="dxa"/>
            <w:vAlign w:val="bottom"/>
          </w:tcPr>
          <w:p>
            <w:pPr>
              <w:jc w:val="right"/>
              <w:ind w:right="833"/>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w:t>
            </w:r>
          </w:p>
        </w:tc>
      </w:tr>
      <w:tr>
        <w:trPr>
          <w:trHeight w:val="22"/>
        </w:trPr>
        <w:tc>
          <w:tcPr>
            <w:tcW w:w="8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8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Share-based compensation</w:t>
            </w:r>
          </w:p>
        </w:tc>
        <w:tc>
          <w:tcPr>
            <w:tcW w:w="9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r>
      <w:tr>
        <w:trPr>
          <w:trHeight w:val="191"/>
        </w:trPr>
        <w:tc>
          <w:tcPr>
            <w:tcW w:w="8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Loss on assets held for sale and impairments</w:t>
            </w:r>
          </w:p>
        </w:tc>
        <w:tc>
          <w:tcPr>
            <w:tcW w:w="980" w:type="dxa"/>
            <w:vAlign w:val="bottom"/>
          </w:tcPr>
          <w:p>
            <w:pPr>
              <w:spacing w:after="0"/>
              <w:rPr>
                <w:sz w:val="16"/>
                <w:szCs w:val="16"/>
                <w:color w:val="auto"/>
              </w:rPr>
            </w:pPr>
          </w:p>
        </w:tc>
        <w:tc>
          <w:tcPr>
            <w:tcW w:w="100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9,433</w:t>
            </w:r>
          </w:p>
        </w:tc>
      </w:tr>
    </w:tbl>
    <w:p>
      <w:pPr>
        <w:spacing w:after="0" w:line="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connection with the sale, we entered into a transition services agreement (“TSA”) with Ignite Visibility to provide services including information technology, finance, and accounting support. During the three months ended March 31, 2026, we recorded $0.5 million of income related to support services provided under the TSA, which is included in interest income and expense, net on our unaudited condensed consolidated statements of operations and comprehensive income (loss). As of March 31, 2026, we had a receivable of $0.8 million related to amounts due under the TSA, which is included in prepaid expenses and other current assets on our unaudited condensed consolidated balance sheets.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Revenue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Disaggregation of Revenue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a disaggregation of our revenue from contracts with customers by revenue recognition pattern and geographical market:</w:t>
      </w:r>
    </w:p>
    <w:p>
      <w:pPr>
        <w:spacing w:after="0" w:line="223"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15"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5271770</wp:posOffset>
            </wp:positionH>
            <wp:positionV relativeFrom="paragraph">
              <wp:posOffset>17780</wp:posOffset>
            </wp:positionV>
            <wp:extent cx="189293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92935" cy="6985"/>
                    </a:xfrm>
                    <a:prstGeom prst="rect">
                      <a:avLst/>
                    </a:prstGeom>
                    <a:noFill/>
                  </pic:spPr>
                </pic:pic>
              </a:graphicData>
            </a:graphic>
          </wp:anchor>
        </w:drawing>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3"/>
                <w:szCs w:val="13"/>
                <w:b w:val="1"/>
                <w:bCs w:val="1"/>
                <w:color w:val="auto"/>
              </w:rPr>
              <w:t>2026</w:t>
            </w: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82"/>
        </w:trPr>
        <w:tc>
          <w:tcPr>
            <w:tcW w:w="8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By pattern of recognition (timing of transfer of services):</w:t>
            </w:r>
          </w:p>
        </w:tc>
        <w:tc>
          <w:tcPr>
            <w:tcW w:w="2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Point in time</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3,506</w:t>
            </w:r>
          </w:p>
        </w:tc>
        <w:tc>
          <w:tcPr>
            <w:tcW w:w="60" w:type="dxa"/>
            <w:vAlign w:val="bottom"/>
          </w:tcPr>
          <w:p>
            <w:pPr>
              <w:spacing w:after="0"/>
              <w:rPr>
                <w:sz w:val="16"/>
                <w:szCs w:val="16"/>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2,608</w:t>
            </w:r>
          </w:p>
        </w:tc>
        <w:tc>
          <w:tcPr>
            <w:tcW w:w="0" w:type="dxa"/>
            <w:vAlign w:val="bottom"/>
          </w:tcPr>
          <w:p>
            <w:pPr>
              <w:spacing w:after="0"/>
              <w:rPr>
                <w:sz w:val="1"/>
                <w:szCs w:val="1"/>
                <w:color w:val="auto"/>
              </w:rPr>
            </w:pPr>
          </w:p>
        </w:tc>
      </w:tr>
      <w:tr>
        <w:trPr>
          <w:trHeight w:val="22"/>
        </w:trPr>
        <w:tc>
          <w:tcPr>
            <w:tcW w:w="8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Over time</w:t>
            </w: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143,959</w:t>
            </w: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139,665</w:t>
            </w:r>
          </w:p>
        </w:tc>
        <w:tc>
          <w:tcPr>
            <w:tcW w:w="0" w:type="dxa"/>
            <w:vAlign w:val="bottom"/>
          </w:tcPr>
          <w:p>
            <w:pPr>
              <w:spacing w:after="0"/>
              <w:rPr>
                <w:sz w:val="1"/>
                <w:szCs w:val="1"/>
                <w:color w:val="auto"/>
              </w:rPr>
            </w:pPr>
          </w:p>
        </w:tc>
      </w:tr>
      <w:tr>
        <w:trPr>
          <w:trHeight w:val="203"/>
        </w:trPr>
        <w:tc>
          <w:tcPr>
            <w:tcW w:w="8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147,465</w:t>
            </w:r>
          </w:p>
        </w:tc>
        <w:tc>
          <w:tcPr>
            <w:tcW w:w="6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142,273</w:t>
            </w:r>
          </w:p>
        </w:tc>
        <w:tc>
          <w:tcPr>
            <w:tcW w:w="0" w:type="dxa"/>
            <w:vAlign w:val="bottom"/>
          </w:tcPr>
          <w:p>
            <w:pPr>
              <w:spacing w:after="0"/>
              <w:rPr>
                <w:sz w:val="1"/>
                <w:szCs w:val="1"/>
                <w:color w:val="auto"/>
              </w:rPr>
            </w:pP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300" w:type="dxa"/>
            <w:vAlign w:val="bottom"/>
            <w:tcBorders>
              <w:bottom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4"/>
                <w:szCs w:val="14"/>
                <w:color w:val="auto"/>
              </w:rPr>
              <w:t>By geographical market:</w:t>
            </w:r>
          </w:p>
        </w:tc>
        <w:tc>
          <w:tcPr>
            <w:tcW w:w="26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8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United States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130,394</w:t>
            </w:r>
          </w:p>
        </w:tc>
        <w:tc>
          <w:tcPr>
            <w:tcW w:w="60" w:type="dxa"/>
            <w:vAlign w:val="bottom"/>
          </w:tcPr>
          <w:p>
            <w:pPr>
              <w:spacing w:after="0"/>
              <w:rPr>
                <w:sz w:val="16"/>
                <w:szCs w:val="16"/>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127,130</w:t>
            </w:r>
          </w:p>
        </w:tc>
        <w:tc>
          <w:tcPr>
            <w:tcW w:w="0" w:type="dxa"/>
            <w:vAlign w:val="bottom"/>
          </w:tcPr>
          <w:p>
            <w:pPr>
              <w:spacing w:after="0"/>
              <w:rPr>
                <w:sz w:val="1"/>
                <w:szCs w:val="1"/>
                <w:color w:val="auto"/>
              </w:rPr>
            </w:pPr>
          </w:p>
        </w:tc>
      </w:tr>
      <w:tr>
        <w:trPr>
          <w:trHeight w:val="22"/>
        </w:trPr>
        <w:tc>
          <w:tcPr>
            <w:tcW w:w="8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International</w:t>
            </w: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17,071</w:t>
            </w: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15,143</w:t>
            </w:r>
          </w:p>
        </w:tc>
        <w:tc>
          <w:tcPr>
            <w:tcW w:w="0" w:type="dxa"/>
            <w:vAlign w:val="bottom"/>
          </w:tcPr>
          <w:p>
            <w:pPr>
              <w:spacing w:after="0"/>
              <w:rPr>
                <w:sz w:val="1"/>
                <w:szCs w:val="1"/>
                <w:color w:val="auto"/>
              </w:rPr>
            </w:pPr>
          </w:p>
        </w:tc>
      </w:tr>
      <w:tr>
        <w:trPr>
          <w:trHeight w:val="202"/>
        </w:trPr>
        <w:tc>
          <w:tcPr>
            <w:tcW w:w="8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147,465</w:t>
            </w:r>
          </w:p>
        </w:tc>
        <w:tc>
          <w:tcPr>
            <w:tcW w:w="6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142,273</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 Balances</w:t>
            </w: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83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Supplemental balance sheet information related to contracts from customers as of:</w:t>
            </w: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8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360" w:type="dxa"/>
            <w:vAlign w:val="bottom"/>
          </w:tcPr>
          <w:p>
            <w:pPr>
              <w:spacing w:after="0"/>
              <w:rPr>
                <w:sz w:val="24"/>
                <w:szCs w:val="24"/>
                <w:color w:val="auto"/>
              </w:rPr>
            </w:pPr>
          </w:p>
        </w:tc>
        <w:tc>
          <w:tcPr>
            <w:tcW w:w="1100" w:type="dxa"/>
            <w:vAlign w:val="bottom"/>
          </w:tcPr>
          <w:p>
            <w:pPr>
              <w:jc w:val="right"/>
              <w:ind w:right="291"/>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0" w:type="dxa"/>
            <w:vAlign w:val="bottom"/>
          </w:tcPr>
          <w:p>
            <w:pPr>
              <w:spacing w:after="0"/>
              <w:rPr>
                <w:sz w:val="1"/>
                <w:szCs w:val="1"/>
                <w:color w:val="auto"/>
              </w:rPr>
            </w:pPr>
          </w:p>
        </w:tc>
      </w:tr>
      <w:tr>
        <w:trPr>
          <w:trHeight w:val="199"/>
        </w:trPr>
        <w:tc>
          <w:tcPr>
            <w:tcW w:w="8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3"/>
                <w:szCs w:val="13"/>
                <w:b w:val="1"/>
                <w:bCs w:val="1"/>
                <w:color w:val="auto"/>
              </w:rPr>
              <w:t>2026</w:t>
            </w:r>
          </w:p>
        </w:tc>
        <w:tc>
          <w:tcPr>
            <w:tcW w:w="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82"/>
        </w:trPr>
        <w:tc>
          <w:tcPr>
            <w:tcW w:w="8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net</w:t>
            </w: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38,474</w:t>
            </w: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37,046</w:t>
            </w:r>
          </w:p>
        </w:tc>
        <w:tc>
          <w:tcPr>
            <w:tcW w:w="0" w:type="dxa"/>
            <w:vAlign w:val="bottom"/>
          </w:tcPr>
          <w:p>
            <w:pPr>
              <w:spacing w:after="0"/>
              <w:rPr>
                <w:sz w:val="1"/>
                <w:szCs w:val="1"/>
                <w:color w:val="auto"/>
              </w:rPr>
            </w:pPr>
          </w:p>
        </w:tc>
      </w:tr>
      <w:tr>
        <w:trPr>
          <w:trHeight w:val="19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assets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11,505</w:t>
            </w:r>
          </w:p>
        </w:tc>
        <w:tc>
          <w:tcPr>
            <w:tcW w:w="60" w:type="dxa"/>
            <w:vAlign w:val="bottom"/>
          </w:tcPr>
          <w:p>
            <w:pPr>
              <w:spacing w:after="0"/>
              <w:rPr>
                <w:sz w:val="16"/>
                <w:szCs w:val="16"/>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11,612</w:t>
            </w:r>
          </w:p>
        </w:tc>
        <w:tc>
          <w:tcPr>
            <w:tcW w:w="0" w:type="dxa"/>
            <w:vAlign w:val="bottom"/>
          </w:tcPr>
          <w:p>
            <w:pPr>
              <w:spacing w:after="0"/>
              <w:rPr>
                <w:sz w:val="1"/>
                <w:szCs w:val="1"/>
                <w:color w:val="auto"/>
              </w:rPr>
            </w:pPr>
          </w:p>
        </w:tc>
      </w:tr>
      <w:tr>
        <w:trPr>
          <w:trHeight w:val="22"/>
        </w:trPr>
        <w:tc>
          <w:tcPr>
            <w:tcW w:w="8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21,554</w:t>
            </w: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21,670</w:t>
            </w:r>
          </w:p>
        </w:tc>
        <w:tc>
          <w:tcPr>
            <w:tcW w:w="0" w:type="dxa"/>
            <w:vAlign w:val="bottom"/>
          </w:tcPr>
          <w:p>
            <w:pPr>
              <w:spacing w:after="0"/>
              <w:rPr>
                <w:sz w:val="1"/>
                <w:szCs w:val="1"/>
                <w:color w:val="auto"/>
              </w:rPr>
            </w:pPr>
          </w:p>
        </w:tc>
      </w:tr>
      <w:tr>
        <w:trPr>
          <w:trHeight w:val="19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deposits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12,513</w:t>
            </w:r>
          </w:p>
        </w:tc>
        <w:tc>
          <w:tcPr>
            <w:tcW w:w="60" w:type="dxa"/>
            <w:vAlign w:val="bottom"/>
          </w:tcPr>
          <w:p>
            <w:pPr>
              <w:spacing w:after="0"/>
              <w:rPr>
                <w:sz w:val="16"/>
                <w:szCs w:val="16"/>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12,519</w:t>
            </w:r>
          </w:p>
        </w:tc>
        <w:tc>
          <w:tcPr>
            <w:tcW w:w="0" w:type="dxa"/>
            <w:vAlign w:val="bottom"/>
          </w:tcPr>
          <w:p>
            <w:pPr>
              <w:spacing w:after="0"/>
              <w:rPr>
                <w:sz w:val="1"/>
                <w:szCs w:val="1"/>
                <w:color w:val="auto"/>
              </w:rPr>
            </w:pPr>
          </w:p>
        </w:tc>
      </w:tr>
      <w:tr>
        <w:trPr>
          <w:trHeight w:val="22"/>
        </w:trPr>
        <w:tc>
          <w:tcPr>
            <w:tcW w:w="8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deferred revenue</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22"/>
        </w:trPr>
        <w:tc>
          <w:tcPr>
            <w:tcW w:w="8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Accounts receivable, net: </w:t>
      </w:r>
      <w:r>
        <w:rPr>
          <w:rFonts w:ascii="Times New Roman" w:cs="Times New Roman" w:eastAsia="Times New Roman" w:hAnsi="Times New Roman"/>
          <w:sz w:val="14"/>
          <w:szCs w:val="14"/>
          <w:color w:val="auto"/>
        </w:rPr>
        <w:t>Accounts receivable, net of allowance for expected credit losses, represent rights to consideration in exchange for products or services that have been transferred by us, when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payment is unconditional and only the passage of time is required before payment is due.</w:t>
      </w:r>
    </w:p>
    <w:p>
      <w:pPr>
        <w:spacing w:after="0" w:line="3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Contract assets: </w:t>
      </w:r>
      <w:r>
        <w:rPr>
          <w:rFonts w:ascii="Times New Roman" w:cs="Times New Roman" w:eastAsia="Times New Roman" w:hAnsi="Times New Roman"/>
          <w:sz w:val="14"/>
          <w:szCs w:val="14"/>
          <w:color w:val="auto"/>
        </w:rPr>
        <w:t>Contract assets represent rights to consideration in exchange for products or services that have been transferred (i.e., the performance obligation or portion of the performance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obligation has been satisfied), but payment is conditional on something other than the passage of time. These amounts typically relate to contracts with the suppliers within our group purchasing programs for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5"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3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which payment is received at least one quarter in arrears from the service period. They also relate to contracts that include on-premise licenses and professional services where the right to payment is not present until completion of the contract or achievement of specified milestones and the fair value of products or services transferred exceed this constraint.</w:t>
      </w:r>
    </w:p>
    <w:p>
      <w:pPr>
        <w:spacing w:after="0" w:line="3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Contract liabilities</w:t>
      </w:r>
      <w:r>
        <w:rPr>
          <w:rFonts w:ascii="Times New Roman" w:cs="Times New Roman" w:eastAsia="Times New Roman" w:hAnsi="Times New Roman"/>
          <w:sz w:val="14"/>
          <w:szCs w:val="14"/>
          <w:color w:val="auto"/>
        </w:rPr>
        <w:t>: Contract liabilities, or deferred revenue, represent our obligation to transfer products or services to a customer for which consideration has been received in advance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satisfaction of performance obligations. Long-term deferred revenue is included within other non-current liabilities on the unaudited condensed consolidated balance sheets. Revenue recognized from the contract liability balance at December 31, 2025 was $21.7 million for the three months ended March 31, 2026.</w:t>
      </w:r>
    </w:p>
    <w:p>
      <w:pPr>
        <w:spacing w:after="0" w:line="4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Customer deposits</w:t>
      </w:r>
      <w:r>
        <w:rPr>
          <w:rFonts w:ascii="Times New Roman" w:cs="Times New Roman" w:eastAsia="Times New Roman" w:hAnsi="Times New Roman"/>
          <w:sz w:val="14"/>
          <w:szCs w:val="14"/>
          <w:color w:val="auto"/>
        </w:rPr>
        <w:t>: Customer deposits relate to payments received in advance for contracts, which allow the customer to terminate a contract and receive a pro rata refund for the unused portion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payments received to date.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Accounts Receivable</w:t>
            </w: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5"/>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Activity in our allowance for expected credit losses is as follows as of:</w:t>
            </w:r>
          </w:p>
        </w:tc>
        <w:tc>
          <w:tcPr>
            <w:tcW w:w="9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97"/>
        </w:trPr>
        <w:tc>
          <w:tcPr>
            <w:tcW w:w="8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Pr>
          <w:p>
            <w:pPr>
              <w:spacing w:after="0"/>
              <w:rPr>
                <w:sz w:val="24"/>
                <w:szCs w:val="24"/>
                <w:color w:val="auto"/>
              </w:rPr>
            </w:pPr>
          </w:p>
        </w:tc>
      </w:tr>
      <w:tr>
        <w:trPr>
          <w:trHeight w:val="22"/>
        </w:trPr>
        <w:tc>
          <w:tcPr>
            <w:tcW w:w="8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1"/>
        </w:trPr>
        <w:tc>
          <w:tcPr>
            <w:tcW w:w="8300" w:type="dxa"/>
            <w:vAlign w:val="bottom"/>
          </w:tcPr>
          <w:p>
            <w:pPr>
              <w:spacing w:after="0"/>
              <w:rPr>
                <w:sz w:val="15"/>
                <w:szCs w:val="15"/>
                <w:color w:val="auto"/>
              </w:rPr>
            </w:pP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
        </w:trPr>
        <w:tc>
          <w:tcPr>
            <w:tcW w:w="8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4"/>
        </w:trPr>
        <w:tc>
          <w:tcPr>
            <w:tcW w:w="8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000" w:type="dxa"/>
            <w:vAlign w:val="bottom"/>
          </w:tcPr>
          <w:p>
            <w:pPr>
              <w:spacing w:after="0"/>
              <w:rPr>
                <w:sz w:val="15"/>
                <w:szCs w:val="15"/>
                <w:color w:val="auto"/>
              </w:rPr>
            </w:pPr>
          </w:p>
        </w:tc>
      </w:tr>
      <w:tr>
        <w:trPr>
          <w:trHeight w:val="20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expected credit losses, beginning of year</w:t>
            </w:r>
          </w:p>
        </w:tc>
        <w:tc>
          <w:tcPr>
            <w:tcW w:w="980" w:type="dxa"/>
            <w:vAlign w:val="bottom"/>
            <w:tcBorders>
              <w:bottom w:val="single" w:sz="8" w:color="CCEEFF"/>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3,635</w:t>
            </w:r>
          </w:p>
        </w:tc>
        <w:tc>
          <w:tcPr>
            <w:tcW w:w="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2,283</w:t>
            </w:r>
          </w:p>
        </w:tc>
      </w:tr>
      <w:tr>
        <w:trPr>
          <w:trHeight w:val="191"/>
        </w:trPr>
        <w:tc>
          <w:tcPr>
            <w:tcW w:w="8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Bad debt expense</w:t>
            </w: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r>
      <w:tr>
        <w:trPr>
          <w:trHeight w:val="22"/>
        </w:trPr>
        <w:tc>
          <w:tcPr>
            <w:tcW w:w="8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2"/>
        </w:trPr>
        <w:tc>
          <w:tcPr>
            <w:tcW w:w="8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Write-offs, net of recoveries</w:t>
            </w:r>
          </w:p>
        </w:tc>
        <w:tc>
          <w:tcPr>
            <w:tcW w:w="9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(858)</w:t>
            </w:r>
          </w:p>
        </w:tc>
        <w:tc>
          <w:tcPr>
            <w:tcW w:w="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r>
      <w:tr>
        <w:trPr>
          <w:trHeight w:val="203"/>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expected credit losses, end of period</w:t>
            </w:r>
          </w:p>
        </w:tc>
        <w:tc>
          <w:tcPr>
            <w:tcW w:w="980" w:type="dxa"/>
            <w:vAlign w:val="bottom"/>
            <w:tcBorders>
              <w:top w:val="single" w:sz="8" w:color="auto"/>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3,481</w:t>
            </w:r>
          </w:p>
        </w:tc>
        <w:tc>
          <w:tcPr>
            <w:tcW w:w="6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2,053</w:t>
            </w:r>
          </w:p>
        </w:tc>
      </w:tr>
      <w:tr>
        <w:trPr>
          <w:trHeight w:val="20"/>
        </w:trPr>
        <w:tc>
          <w:tcPr>
            <w:tcW w:w="8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Remaining Performance Obligations</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Remaining performance obligations represent the transaction price of unsatisfied or partially satisfied performance obligations within contracts with an original expected contract term that is greater than one year for which fulfillment of the contract has started as of the end of the reporting period. Contracts that include 30-day termination rights are considered to be contracts with a term of one month and are therefore excluded from remaining performance obligations. Remaining performance obligations generally relate to those which are stand-ready in nature, as found within the subscription revenue streams. The aggregate amount of transaction consideration allocated to remaining performance obligations as of March 31, 2026 was $20.2 million. The Company expects to recognize approximately 64% of its remaining performance obligations as revenue within the next year, 28% of its remaining performance obligations as revenue the subsequent year, 6% of its remaining performance obligations as revenue in the third year, and the remainder during the two-year period thereafter.</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Cost to Obtain and Fulfill a Contract</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Assets resulting from costs to obtain contracts are included within prepaid expenses and other current assets for short-term balances and other non-current assets for long-term balances on the Company’s unaudited condensed consolidated balance sheets. The costs to obtain contracts are amortized over five years, which corresponds with the useful life of the related technology. Short-term assets were $10.6 million and $10.3 million at March 31, 2026 and December 31, 2025, respectively, and long-term assets were $16.3 million and $16.2 million at March 31, 2026 and December 31, 2025, respectively. The Company recorded amortization expense within sales and marketing on the unaudited condensed consolidated statements of operations and comprehensive income (loss) of $1.6 million and $1.4 million for the three months ended March 31, 2026 and 2025, respectively. The Company recorded amortization expense within cost of revenues on the unaudited condensed consolidated statements of operations and comprehensive income (loss) of $1.0 million and $0.9 million for the three months ended March 31, 2026 and 2025, respectively.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Goodwill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Goodwill activity consisted of the following for the three months ended March 31, 2026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6080" w:type="dxa"/>
            <w:vAlign w:val="bottom"/>
            <w:gridSpan w:val="2"/>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893,802</w:t>
            </w:r>
          </w:p>
        </w:tc>
      </w:tr>
      <w:tr>
        <w:trPr>
          <w:trHeight w:val="191"/>
        </w:trPr>
        <w:tc>
          <w:tcPr>
            <w:tcW w:w="4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Acquired goodwill</w:t>
            </w:r>
          </w:p>
        </w:tc>
        <w:tc>
          <w:tcPr>
            <w:tcW w:w="5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22"/>
        </w:trPr>
        <w:tc>
          <w:tcPr>
            <w:tcW w:w="42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2"/>
        </w:trPr>
        <w:tc>
          <w:tcPr>
            <w:tcW w:w="4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Effect of foreign currency exchange rate changes</w:t>
            </w:r>
          </w:p>
        </w:tc>
        <w:tc>
          <w:tcPr>
            <w:tcW w:w="55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r>
      <w:tr>
        <w:trPr>
          <w:trHeight w:val="203"/>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2026</w:t>
            </w:r>
          </w:p>
        </w:tc>
        <w:tc>
          <w:tcPr>
            <w:tcW w:w="556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893,124</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3"/>
        </w:trPr>
        <w:tc>
          <w:tcPr>
            <w:tcW w:w="4260" w:type="dxa"/>
            <w:vAlign w:val="bottom"/>
            <w:shd w:val="clear" w:color="auto" w:fill="CCEEFF"/>
          </w:tcPr>
          <w:p>
            <w:pPr>
              <w:spacing w:after="0"/>
              <w:rPr>
                <w:sz w:val="14"/>
                <w:szCs w:val="14"/>
                <w:color w:val="auto"/>
              </w:rPr>
            </w:pPr>
          </w:p>
        </w:tc>
        <w:tc>
          <w:tcPr>
            <w:tcW w:w="55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91"/>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impairment losses at March 31, 2026</w:t>
            </w:r>
          </w:p>
        </w:tc>
        <w:tc>
          <w:tcPr>
            <w:tcW w:w="6080" w:type="dxa"/>
            <w:vAlign w:val="bottom"/>
            <w:gridSpan w:val="2"/>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(6,418)</w:t>
            </w:r>
          </w:p>
        </w:tc>
      </w:tr>
      <w:tr>
        <w:trPr>
          <w:trHeight w:val="849"/>
        </w:trPr>
        <w:tc>
          <w:tcPr>
            <w:tcW w:w="4260" w:type="dxa"/>
            <w:vAlign w:val="bottom"/>
          </w:tcPr>
          <w:p>
            <w:pPr>
              <w:spacing w:after="0"/>
              <w:rPr>
                <w:sz w:val="24"/>
                <w:szCs w:val="24"/>
                <w:color w:val="auto"/>
              </w:rPr>
            </w:pPr>
          </w:p>
        </w:tc>
        <w:tc>
          <w:tcPr>
            <w:tcW w:w="5560" w:type="dxa"/>
            <w:vAlign w:val="bottom"/>
          </w:tcPr>
          <w:p>
            <w:pPr>
              <w:jc w:val="right"/>
              <w:ind w:right="4069"/>
              <w:spacing w:after="0"/>
              <w:rPr>
                <w:sz w:val="20"/>
                <w:szCs w:val="20"/>
                <w:color w:val="auto"/>
              </w:rPr>
            </w:pPr>
            <w:r>
              <w:rPr>
                <w:rFonts w:ascii="Times New Roman" w:cs="Times New Roman" w:eastAsia="Times New Roman" w:hAnsi="Times New Roman"/>
                <w:sz w:val="14"/>
                <w:szCs w:val="14"/>
                <w:color w:val="auto"/>
              </w:rPr>
              <w:t>9</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87"/>
        </w:trPr>
        <w:tc>
          <w:tcPr>
            <w:tcW w:w="4260" w:type="dxa"/>
            <w:vAlign w:val="bottom"/>
            <w:tcBorders>
              <w:bottom w:val="single" w:sz="8" w:color="9A9A9A"/>
            </w:tcBorders>
          </w:tcPr>
          <w:p>
            <w:pPr>
              <w:spacing w:after="0"/>
              <w:rPr>
                <w:sz w:val="7"/>
                <w:szCs w:val="7"/>
                <w:color w:val="auto"/>
              </w:rPr>
            </w:pPr>
          </w:p>
        </w:tc>
        <w:tc>
          <w:tcPr>
            <w:tcW w:w="55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65"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Intangible Assets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Intangible assets consisted of the following as of:</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4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March 31, 2026</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240" w:type="dxa"/>
            <w:vAlign w:val="bottom"/>
          </w:tcPr>
          <w:p>
            <w:pPr>
              <w:spacing w:after="0"/>
              <w:rPr>
                <w:sz w:val="13"/>
                <w:szCs w:val="13"/>
                <w:color w:val="auto"/>
              </w:rPr>
            </w:pPr>
          </w:p>
        </w:tc>
        <w:tc>
          <w:tcPr>
            <w:tcW w:w="1540" w:type="dxa"/>
            <w:vAlign w:val="bottom"/>
          </w:tcPr>
          <w:p>
            <w:pPr>
              <w:jc w:val="center"/>
              <w:ind w:right="12"/>
              <w:spacing w:after="0"/>
              <w:rPr>
                <w:sz w:val="20"/>
                <w:szCs w:val="20"/>
                <w:color w:val="auto"/>
              </w:rPr>
            </w:pPr>
            <w:r>
              <w:rPr>
                <w:rFonts w:ascii="Times New Roman" w:cs="Times New Roman" w:eastAsia="Times New Roman" w:hAnsi="Times New Roman"/>
                <w:sz w:val="13"/>
                <w:szCs w:val="13"/>
                <w:b w:val="1"/>
                <w:bCs w:val="1"/>
                <w:color w:val="auto"/>
                <w:w w:val="95"/>
              </w:rPr>
              <w:t>Useful</w:t>
            </w:r>
          </w:p>
        </w:tc>
        <w:tc>
          <w:tcPr>
            <w:tcW w:w="26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Gross Carrying</w:t>
            </w:r>
          </w:p>
        </w:tc>
        <w:tc>
          <w:tcPr>
            <w:tcW w:w="340" w:type="dxa"/>
            <w:vAlign w:val="bottom"/>
          </w:tcPr>
          <w:p>
            <w:pPr>
              <w:spacing w:after="0"/>
              <w:rPr>
                <w:sz w:val="13"/>
                <w:szCs w:val="13"/>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360" w:type="dxa"/>
            <w:vAlign w:val="bottom"/>
          </w:tcPr>
          <w:p>
            <w:pPr>
              <w:spacing w:after="0"/>
              <w:rPr>
                <w:sz w:val="13"/>
                <w:szCs w:val="13"/>
                <w:color w:val="auto"/>
              </w:rPr>
            </w:pPr>
          </w:p>
        </w:tc>
        <w:tc>
          <w:tcPr>
            <w:tcW w:w="1100" w:type="dxa"/>
            <w:vAlign w:val="bottom"/>
          </w:tcPr>
          <w:p>
            <w:pPr>
              <w:jc w:val="center"/>
              <w:ind w:right="291"/>
              <w:spacing w:after="0"/>
              <w:rPr>
                <w:sz w:val="20"/>
                <w:szCs w:val="20"/>
                <w:color w:val="auto"/>
              </w:rPr>
            </w:pPr>
            <w:r>
              <w:rPr>
                <w:rFonts w:ascii="Times New Roman" w:cs="Times New Roman" w:eastAsia="Times New Roman" w:hAnsi="Times New Roman"/>
                <w:sz w:val="13"/>
                <w:szCs w:val="13"/>
                <w:b w:val="1"/>
                <w:bCs w:val="1"/>
                <w:color w:val="auto"/>
                <w:w w:val="96"/>
              </w:rPr>
              <w:t>Net Book</w:t>
            </w:r>
          </w:p>
        </w:tc>
        <w:tc>
          <w:tcPr>
            <w:tcW w:w="0" w:type="dxa"/>
            <w:vAlign w:val="bottom"/>
          </w:tcPr>
          <w:p>
            <w:pPr>
              <w:spacing w:after="0"/>
              <w:rPr>
                <w:sz w:val="1"/>
                <w:szCs w:val="1"/>
                <w:color w:val="auto"/>
              </w:rPr>
            </w:pPr>
          </w:p>
        </w:tc>
      </w:tr>
      <w:tr>
        <w:trPr>
          <w:trHeight w:val="167"/>
        </w:trPr>
        <w:tc>
          <w:tcPr>
            <w:tcW w:w="5240" w:type="dxa"/>
            <w:vAlign w:val="bottom"/>
          </w:tcPr>
          <w:p>
            <w:pPr>
              <w:spacing w:after="0"/>
              <w:rPr>
                <w:sz w:val="14"/>
                <w:szCs w:val="14"/>
                <w:color w:val="auto"/>
              </w:rPr>
            </w:pPr>
          </w:p>
        </w:tc>
        <w:tc>
          <w:tcPr>
            <w:tcW w:w="1540" w:type="dxa"/>
            <w:vAlign w:val="bottom"/>
          </w:tcPr>
          <w:p>
            <w:pPr>
              <w:jc w:val="center"/>
              <w:ind w:right="12"/>
              <w:spacing w:after="0"/>
              <w:rPr>
                <w:sz w:val="20"/>
                <w:szCs w:val="20"/>
                <w:color w:val="auto"/>
              </w:rPr>
            </w:pPr>
            <w:r>
              <w:rPr>
                <w:rFonts w:ascii="Times New Roman" w:cs="Times New Roman" w:eastAsia="Times New Roman" w:hAnsi="Times New Roman"/>
                <w:sz w:val="13"/>
                <w:szCs w:val="13"/>
                <w:b w:val="1"/>
                <w:bCs w:val="1"/>
                <w:color w:val="auto"/>
                <w:w w:val="98"/>
              </w:rPr>
              <w:t>Life</w:t>
            </w:r>
          </w:p>
        </w:tc>
        <w:tc>
          <w:tcPr>
            <w:tcW w:w="26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34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9"/>
              </w:rPr>
              <w:t>Amortization</w:t>
            </w:r>
          </w:p>
        </w:tc>
        <w:tc>
          <w:tcPr>
            <w:tcW w:w="360" w:type="dxa"/>
            <w:vAlign w:val="bottom"/>
          </w:tcPr>
          <w:p>
            <w:pPr>
              <w:spacing w:after="0"/>
              <w:rPr>
                <w:sz w:val="14"/>
                <w:szCs w:val="14"/>
                <w:color w:val="auto"/>
              </w:rPr>
            </w:pPr>
          </w:p>
        </w:tc>
        <w:tc>
          <w:tcPr>
            <w:tcW w:w="1100" w:type="dxa"/>
            <w:vAlign w:val="bottom"/>
          </w:tcPr>
          <w:p>
            <w:pPr>
              <w:jc w:val="center"/>
              <w:ind w:right="291"/>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0" w:type="dxa"/>
            <w:vAlign w:val="bottom"/>
          </w:tcPr>
          <w:p>
            <w:pPr>
              <w:spacing w:after="0"/>
              <w:rPr>
                <w:sz w:val="1"/>
                <w:szCs w:val="1"/>
                <w:color w:val="auto"/>
              </w:rPr>
            </w:pPr>
          </w:p>
        </w:tc>
      </w:tr>
      <w:tr>
        <w:trPr>
          <w:trHeight w:val="26"/>
        </w:trPr>
        <w:tc>
          <w:tcPr>
            <w:tcW w:w="52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5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3"/>
          </w:tcPr>
          <w:p>
            <w:pPr>
              <w:jc w:val="center"/>
              <w:ind w:left="792"/>
              <w:spacing w:after="0"/>
              <w:rPr>
                <w:sz w:val="20"/>
                <w:szCs w:val="20"/>
                <w:color w:val="auto"/>
              </w:rPr>
            </w:pPr>
            <w:r>
              <w:rPr>
                <w:rFonts w:ascii="Times New Roman" w:cs="Times New Roman" w:eastAsia="Times New Roman" w:hAnsi="Times New Roman"/>
                <w:sz w:val="13"/>
                <w:szCs w:val="13"/>
                <w:i w:val="1"/>
                <w:iCs w:val="1"/>
                <w:color w:val="auto"/>
                <w:w w:val="98"/>
              </w:rPr>
              <w:t>(in thousands)</w:t>
            </w: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540" w:type="dxa"/>
            <w:vAlign w:val="bottom"/>
            <w:tcBorders>
              <w:bottom w:val="single" w:sz="8" w:color="CCEEFF"/>
            </w:tcBorders>
            <w:shd w:val="clear" w:color="auto" w:fill="CCEEFF"/>
          </w:tcPr>
          <w:p>
            <w:pPr>
              <w:jc w:val="center"/>
              <w:ind w:right="12"/>
              <w:spacing w:after="0"/>
              <w:rPr>
                <w:sz w:val="20"/>
                <w:szCs w:val="20"/>
                <w:color w:val="auto"/>
              </w:rPr>
            </w:pPr>
            <w:r>
              <w:rPr>
                <w:rFonts w:ascii="Times New Roman" w:cs="Times New Roman" w:eastAsia="Times New Roman" w:hAnsi="Times New Roman"/>
                <w:sz w:val="14"/>
                <w:szCs w:val="14"/>
                <w:color w:val="auto"/>
                <w:w w:val="98"/>
              </w:rPr>
              <w:t>5-20 years</w:t>
            </w: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515,802</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378,696</w:t>
            </w: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137,106</w:t>
            </w:r>
          </w:p>
        </w:tc>
        <w:tc>
          <w:tcPr>
            <w:tcW w:w="0" w:type="dxa"/>
            <w:vAlign w:val="bottom"/>
          </w:tcPr>
          <w:p>
            <w:pPr>
              <w:spacing w:after="0"/>
              <w:rPr>
                <w:sz w:val="1"/>
                <w:szCs w:val="1"/>
                <w:color w:val="auto"/>
              </w:rPr>
            </w:pPr>
          </w:p>
        </w:tc>
      </w:tr>
      <w:tr>
        <w:trPr>
          <w:trHeight w:val="191"/>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1540" w:type="dxa"/>
            <w:vAlign w:val="bottom"/>
          </w:tcPr>
          <w:p>
            <w:pPr>
              <w:jc w:val="center"/>
              <w:ind w:right="12"/>
              <w:spacing w:after="0"/>
              <w:rPr>
                <w:sz w:val="20"/>
                <w:szCs w:val="20"/>
                <w:color w:val="auto"/>
              </w:rPr>
            </w:pPr>
            <w:r>
              <w:rPr>
                <w:rFonts w:ascii="Times New Roman" w:cs="Times New Roman" w:eastAsia="Times New Roman" w:hAnsi="Times New Roman"/>
                <w:sz w:val="14"/>
                <w:szCs w:val="14"/>
                <w:color w:val="auto"/>
                <w:w w:val="98"/>
              </w:rPr>
              <w:t>5-12 years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95,332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85,283</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10,049</w:t>
            </w:r>
          </w:p>
        </w:tc>
        <w:tc>
          <w:tcPr>
            <w:tcW w:w="0" w:type="dxa"/>
            <w:vAlign w:val="bottom"/>
          </w:tcPr>
          <w:p>
            <w:pPr>
              <w:spacing w:after="0"/>
              <w:rPr>
                <w:sz w:val="1"/>
                <w:szCs w:val="1"/>
                <w:color w:val="auto"/>
              </w:rPr>
            </w:pPr>
          </w:p>
        </w:tc>
      </w:tr>
      <w:tr>
        <w:trPr>
          <w:trHeight w:val="22"/>
        </w:trPr>
        <w:tc>
          <w:tcPr>
            <w:tcW w:w="5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name</w:t>
            </w:r>
          </w:p>
        </w:tc>
        <w:tc>
          <w:tcPr>
            <w:tcW w:w="1540" w:type="dxa"/>
            <w:vAlign w:val="bottom"/>
            <w:tcBorders>
              <w:bottom w:val="single" w:sz="8" w:color="CCEEFF"/>
            </w:tcBorders>
            <w:shd w:val="clear" w:color="auto" w:fill="CCEEFF"/>
          </w:tcPr>
          <w:p>
            <w:pPr>
              <w:jc w:val="center"/>
              <w:ind w:right="12"/>
              <w:spacing w:after="0"/>
              <w:rPr>
                <w:sz w:val="20"/>
                <w:szCs w:val="20"/>
                <w:color w:val="auto"/>
              </w:rPr>
            </w:pPr>
            <w:r>
              <w:rPr>
                <w:rFonts w:ascii="Times New Roman" w:cs="Times New Roman" w:eastAsia="Times New Roman" w:hAnsi="Times New Roman"/>
                <w:sz w:val="14"/>
                <w:szCs w:val="14"/>
                <w:color w:val="auto"/>
                <w:w w:val="98"/>
              </w:rPr>
              <w:t>3-10 years</w:t>
            </w:r>
          </w:p>
        </w:tc>
        <w:tc>
          <w:tcPr>
            <w:tcW w:w="2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34,658</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28,876</w:t>
            </w: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5,782</w:t>
            </w:r>
          </w:p>
        </w:tc>
        <w:tc>
          <w:tcPr>
            <w:tcW w:w="0" w:type="dxa"/>
            <w:vAlign w:val="bottom"/>
          </w:tcPr>
          <w:p>
            <w:pPr>
              <w:spacing w:after="0"/>
              <w:rPr>
                <w:sz w:val="1"/>
                <w:szCs w:val="1"/>
                <w:color w:val="auto"/>
              </w:rPr>
            </w:pPr>
          </w:p>
        </w:tc>
      </w:tr>
      <w:tr>
        <w:trPr>
          <w:trHeight w:val="191"/>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Non-compete agreements</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 years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2"/>
        </w:trPr>
        <w:tc>
          <w:tcPr>
            <w:tcW w:w="52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5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647,699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494,759</w:t>
            </w: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152,940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24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December 31, 2025</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240" w:type="dxa"/>
            <w:vAlign w:val="bottom"/>
          </w:tcPr>
          <w:p>
            <w:pPr>
              <w:spacing w:after="0"/>
              <w:rPr>
                <w:sz w:val="13"/>
                <w:szCs w:val="13"/>
                <w:color w:val="auto"/>
              </w:rPr>
            </w:pPr>
          </w:p>
        </w:tc>
        <w:tc>
          <w:tcPr>
            <w:tcW w:w="1540" w:type="dxa"/>
            <w:vAlign w:val="bottom"/>
          </w:tcPr>
          <w:p>
            <w:pPr>
              <w:jc w:val="center"/>
              <w:ind w:right="12"/>
              <w:spacing w:after="0"/>
              <w:rPr>
                <w:sz w:val="20"/>
                <w:szCs w:val="20"/>
                <w:color w:val="auto"/>
              </w:rPr>
            </w:pPr>
            <w:r>
              <w:rPr>
                <w:rFonts w:ascii="Times New Roman" w:cs="Times New Roman" w:eastAsia="Times New Roman" w:hAnsi="Times New Roman"/>
                <w:sz w:val="13"/>
                <w:szCs w:val="13"/>
                <w:b w:val="1"/>
                <w:bCs w:val="1"/>
                <w:color w:val="auto"/>
                <w:w w:val="95"/>
              </w:rPr>
              <w:t>Useful</w:t>
            </w:r>
          </w:p>
        </w:tc>
        <w:tc>
          <w:tcPr>
            <w:tcW w:w="26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Gross Carrying</w:t>
            </w:r>
          </w:p>
        </w:tc>
        <w:tc>
          <w:tcPr>
            <w:tcW w:w="340" w:type="dxa"/>
            <w:vAlign w:val="bottom"/>
          </w:tcPr>
          <w:p>
            <w:pPr>
              <w:spacing w:after="0"/>
              <w:rPr>
                <w:sz w:val="13"/>
                <w:szCs w:val="13"/>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360" w:type="dxa"/>
            <w:vAlign w:val="bottom"/>
          </w:tcPr>
          <w:p>
            <w:pPr>
              <w:spacing w:after="0"/>
              <w:rPr>
                <w:sz w:val="13"/>
                <w:szCs w:val="13"/>
                <w:color w:val="auto"/>
              </w:rPr>
            </w:pPr>
          </w:p>
        </w:tc>
        <w:tc>
          <w:tcPr>
            <w:tcW w:w="1100" w:type="dxa"/>
            <w:vAlign w:val="bottom"/>
          </w:tcPr>
          <w:p>
            <w:pPr>
              <w:jc w:val="center"/>
              <w:ind w:right="291"/>
              <w:spacing w:after="0"/>
              <w:rPr>
                <w:sz w:val="20"/>
                <w:szCs w:val="20"/>
                <w:color w:val="auto"/>
              </w:rPr>
            </w:pPr>
            <w:r>
              <w:rPr>
                <w:rFonts w:ascii="Times New Roman" w:cs="Times New Roman" w:eastAsia="Times New Roman" w:hAnsi="Times New Roman"/>
                <w:sz w:val="13"/>
                <w:szCs w:val="13"/>
                <w:b w:val="1"/>
                <w:bCs w:val="1"/>
                <w:color w:val="auto"/>
                <w:w w:val="96"/>
              </w:rPr>
              <w:t>Net Book</w:t>
            </w:r>
          </w:p>
        </w:tc>
        <w:tc>
          <w:tcPr>
            <w:tcW w:w="0" w:type="dxa"/>
            <w:vAlign w:val="bottom"/>
          </w:tcPr>
          <w:p>
            <w:pPr>
              <w:spacing w:after="0"/>
              <w:rPr>
                <w:sz w:val="1"/>
                <w:szCs w:val="1"/>
                <w:color w:val="auto"/>
              </w:rPr>
            </w:pPr>
          </w:p>
        </w:tc>
      </w:tr>
      <w:tr>
        <w:trPr>
          <w:trHeight w:val="167"/>
        </w:trPr>
        <w:tc>
          <w:tcPr>
            <w:tcW w:w="5240" w:type="dxa"/>
            <w:vAlign w:val="bottom"/>
          </w:tcPr>
          <w:p>
            <w:pPr>
              <w:spacing w:after="0"/>
              <w:rPr>
                <w:sz w:val="14"/>
                <w:szCs w:val="14"/>
                <w:color w:val="auto"/>
              </w:rPr>
            </w:pPr>
          </w:p>
        </w:tc>
        <w:tc>
          <w:tcPr>
            <w:tcW w:w="1540" w:type="dxa"/>
            <w:vAlign w:val="bottom"/>
          </w:tcPr>
          <w:p>
            <w:pPr>
              <w:jc w:val="center"/>
              <w:ind w:right="12"/>
              <w:spacing w:after="0"/>
              <w:rPr>
                <w:sz w:val="20"/>
                <w:szCs w:val="20"/>
                <w:color w:val="auto"/>
              </w:rPr>
            </w:pPr>
            <w:r>
              <w:rPr>
                <w:rFonts w:ascii="Times New Roman" w:cs="Times New Roman" w:eastAsia="Times New Roman" w:hAnsi="Times New Roman"/>
                <w:sz w:val="13"/>
                <w:szCs w:val="13"/>
                <w:b w:val="1"/>
                <w:bCs w:val="1"/>
                <w:color w:val="auto"/>
                <w:w w:val="98"/>
              </w:rPr>
              <w:t>Life</w:t>
            </w:r>
          </w:p>
        </w:tc>
        <w:tc>
          <w:tcPr>
            <w:tcW w:w="26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34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9"/>
              </w:rPr>
              <w:t>Amortization</w:t>
            </w:r>
          </w:p>
        </w:tc>
        <w:tc>
          <w:tcPr>
            <w:tcW w:w="360" w:type="dxa"/>
            <w:vAlign w:val="bottom"/>
          </w:tcPr>
          <w:p>
            <w:pPr>
              <w:spacing w:after="0"/>
              <w:rPr>
                <w:sz w:val="14"/>
                <w:szCs w:val="14"/>
                <w:color w:val="auto"/>
              </w:rPr>
            </w:pPr>
          </w:p>
        </w:tc>
        <w:tc>
          <w:tcPr>
            <w:tcW w:w="1100" w:type="dxa"/>
            <w:vAlign w:val="bottom"/>
          </w:tcPr>
          <w:p>
            <w:pPr>
              <w:jc w:val="center"/>
              <w:ind w:right="291"/>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0" w:type="dxa"/>
            <w:vAlign w:val="bottom"/>
          </w:tcPr>
          <w:p>
            <w:pPr>
              <w:spacing w:after="0"/>
              <w:rPr>
                <w:sz w:val="1"/>
                <w:szCs w:val="1"/>
                <w:color w:val="auto"/>
              </w:rPr>
            </w:pPr>
          </w:p>
        </w:tc>
      </w:tr>
      <w:tr>
        <w:trPr>
          <w:trHeight w:val="26"/>
        </w:trPr>
        <w:tc>
          <w:tcPr>
            <w:tcW w:w="52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5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3"/>
          </w:tcPr>
          <w:p>
            <w:pPr>
              <w:jc w:val="center"/>
              <w:ind w:left="792"/>
              <w:spacing w:after="0"/>
              <w:rPr>
                <w:sz w:val="20"/>
                <w:szCs w:val="20"/>
                <w:color w:val="auto"/>
              </w:rPr>
            </w:pPr>
            <w:r>
              <w:rPr>
                <w:rFonts w:ascii="Times New Roman" w:cs="Times New Roman" w:eastAsia="Times New Roman" w:hAnsi="Times New Roman"/>
                <w:sz w:val="13"/>
                <w:szCs w:val="13"/>
                <w:i w:val="1"/>
                <w:iCs w:val="1"/>
                <w:color w:val="auto"/>
                <w:w w:val="98"/>
              </w:rPr>
              <w:t>(in thousands)</w:t>
            </w: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540" w:type="dxa"/>
            <w:vAlign w:val="bottom"/>
            <w:tcBorders>
              <w:bottom w:val="single" w:sz="8" w:color="CCEEFF"/>
            </w:tcBorders>
            <w:shd w:val="clear" w:color="auto" w:fill="CCEEFF"/>
          </w:tcPr>
          <w:p>
            <w:pPr>
              <w:jc w:val="center"/>
              <w:ind w:right="12"/>
              <w:spacing w:after="0"/>
              <w:rPr>
                <w:sz w:val="20"/>
                <w:szCs w:val="20"/>
                <w:color w:val="auto"/>
              </w:rPr>
            </w:pPr>
            <w:r>
              <w:rPr>
                <w:rFonts w:ascii="Times New Roman" w:cs="Times New Roman" w:eastAsia="Times New Roman" w:hAnsi="Times New Roman"/>
                <w:sz w:val="14"/>
                <w:szCs w:val="14"/>
                <w:color w:val="auto"/>
                <w:w w:val="98"/>
              </w:rPr>
              <w:t>5-20 years</w:t>
            </w: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515,874</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369,843</w:t>
            </w: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146,031</w:t>
            </w:r>
          </w:p>
        </w:tc>
        <w:tc>
          <w:tcPr>
            <w:tcW w:w="0" w:type="dxa"/>
            <w:vAlign w:val="bottom"/>
          </w:tcPr>
          <w:p>
            <w:pPr>
              <w:spacing w:after="0"/>
              <w:rPr>
                <w:sz w:val="1"/>
                <w:szCs w:val="1"/>
                <w:color w:val="auto"/>
              </w:rPr>
            </w:pPr>
          </w:p>
        </w:tc>
      </w:tr>
      <w:tr>
        <w:trPr>
          <w:trHeight w:val="191"/>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1540" w:type="dxa"/>
            <w:vAlign w:val="bottom"/>
          </w:tcPr>
          <w:p>
            <w:pPr>
              <w:jc w:val="center"/>
              <w:ind w:right="12"/>
              <w:spacing w:after="0"/>
              <w:rPr>
                <w:sz w:val="20"/>
                <w:szCs w:val="20"/>
                <w:color w:val="auto"/>
              </w:rPr>
            </w:pPr>
            <w:r>
              <w:rPr>
                <w:rFonts w:ascii="Times New Roman" w:cs="Times New Roman" w:eastAsia="Times New Roman" w:hAnsi="Times New Roman"/>
                <w:sz w:val="14"/>
                <w:szCs w:val="14"/>
                <w:color w:val="auto"/>
                <w:w w:val="98"/>
              </w:rPr>
              <w:t>5-12 years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95,347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83,777</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11,570</w:t>
            </w:r>
          </w:p>
        </w:tc>
        <w:tc>
          <w:tcPr>
            <w:tcW w:w="0" w:type="dxa"/>
            <w:vAlign w:val="bottom"/>
          </w:tcPr>
          <w:p>
            <w:pPr>
              <w:spacing w:after="0"/>
              <w:rPr>
                <w:sz w:val="1"/>
                <w:szCs w:val="1"/>
                <w:color w:val="auto"/>
              </w:rPr>
            </w:pPr>
          </w:p>
        </w:tc>
      </w:tr>
      <w:tr>
        <w:trPr>
          <w:trHeight w:val="22"/>
        </w:trPr>
        <w:tc>
          <w:tcPr>
            <w:tcW w:w="5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name</w:t>
            </w:r>
          </w:p>
        </w:tc>
        <w:tc>
          <w:tcPr>
            <w:tcW w:w="1540" w:type="dxa"/>
            <w:vAlign w:val="bottom"/>
            <w:tcBorders>
              <w:bottom w:val="single" w:sz="8" w:color="CCEEFF"/>
            </w:tcBorders>
            <w:shd w:val="clear" w:color="auto" w:fill="CCEEFF"/>
          </w:tcPr>
          <w:p>
            <w:pPr>
              <w:jc w:val="center"/>
              <w:ind w:right="12"/>
              <w:spacing w:after="0"/>
              <w:rPr>
                <w:sz w:val="20"/>
                <w:szCs w:val="20"/>
                <w:color w:val="auto"/>
              </w:rPr>
            </w:pPr>
            <w:r>
              <w:rPr>
                <w:rFonts w:ascii="Times New Roman" w:cs="Times New Roman" w:eastAsia="Times New Roman" w:hAnsi="Times New Roman"/>
                <w:sz w:val="14"/>
                <w:szCs w:val="14"/>
                <w:color w:val="auto"/>
                <w:w w:val="98"/>
              </w:rPr>
              <w:t>3-10 years</w:t>
            </w:r>
          </w:p>
        </w:tc>
        <w:tc>
          <w:tcPr>
            <w:tcW w:w="2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34,663</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28,027</w:t>
            </w: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6,636</w:t>
            </w:r>
          </w:p>
        </w:tc>
        <w:tc>
          <w:tcPr>
            <w:tcW w:w="0" w:type="dxa"/>
            <w:vAlign w:val="bottom"/>
          </w:tcPr>
          <w:p>
            <w:pPr>
              <w:spacing w:after="0"/>
              <w:rPr>
                <w:sz w:val="1"/>
                <w:szCs w:val="1"/>
                <w:color w:val="auto"/>
              </w:rPr>
            </w:pPr>
          </w:p>
        </w:tc>
      </w:tr>
      <w:tr>
        <w:trPr>
          <w:trHeight w:val="191"/>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Non-compete agreements</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 years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2"/>
        </w:trPr>
        <w:tc>
          <w:tcPr>
            <w:tcW w:w="52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5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647,791</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483,551</w:t>
            </w: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164,240</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83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Amortization expense was $11.3 million and $13.7 million for the three months ended March 31, 2026 and 2025, respectively.</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7. Property and Equipment</w:t>
            </w: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consisted of the following as of:</w:t>
            </w:r>
          </w:p>
        </w:tc>
        <w:tc>
          <w:tcPr>
            <w:tcW w:w="1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6"/>
        </w:trPr>
        <w:tc>
          <w:tcPr>
            <w:tcW w:w="5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4"/>
              </w:rPr>
              <w:t>March 31,</w:t>
            </w:r>
          </w:p>
        </w:tc>
        <w:tc>
          <w:tcPr>
            <w:tcW w:w="360" w:type="dxa"/>
            <w:vAlign w:val="bottom"/>
          </w:tcPr>
          <w:p>
            <w:pPr>
              <w:spacing w:after="0"/>
              <w:rPr>
                <w:sz w:val="24"/>
                <w:szCs w:val="24"/>
                <w:color w:val="auto"/>
              </w:rPr>
            </w:pPr>
          </w:p>
        </w:tc>
        <w:tc>
          <w:tcPr>
            <w:tcW w:w="1100" w:type="dxa"/>
            <w:vAlign w:val="bottom"/>
          </w:tcPr>
          <w:p>
            <w:pPr>
              <w:jc w:val="center"/>
              <w:ind w:right="291"/>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0" w:type="dxa"/>
            <w:vAlign w:val="bottom"/>
          </w:tcPr>
          <w:p>
            <w:pPr>
              <w:spacing w:after="0"/>
              <w:rPr>
                <w:sz w:val="1"/>
                <w:szCs w:val="1"/>
                <w:color w:val="auto"/>
              </w:rPr>
            </w:pPr>
          </w:p>
        </w:tc>
      </w:tr>
      <w:tr>
        <w:trPr>
          <w:trHeight w:val="199"/>
        </w:trPr>
        <w:tc>
          <w:tcPr>
            <w:tcW w:w="5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71"/>
              <w:spacing w:after="0"/>
              <w:rPr>
                <w:sz w:val="20"/>
                <w:szCs w:val="20"/>
                <w:color w:val="auto"/>
              </w:rPr>
            </w:pPr>
            <w:r>
              <w:rPr>
                <w:rFonts w:ascii="Times New Roman" w:cs="Times New Roman" w:eastAsia="Times New Roman" w:hAnsi="Times New Roman"/>
                <w:sz w:val="13"/>
                <w:szCs w:val="13"/>
                <w:b w:val="1"/>
                <w:bCs w:val="1"/>
                <w:color w:val="auto"/>
                <w:w w:val="99"/>
              </w:rPr>
              <w:t>2026</w:t>
            </w:r>
          </w:p>
        </w:tc>
        <w:tc>
          <w:tcPr>
            <w:tcW w:w="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91"/>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1011"/>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22"/>
        </w:trPr>
        <w:tc>
          <w:tcPr>
            <w:tcW w:w="5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equipment and software</w:t>
            </w:r>
          </w:p>
        </w:tc>
        <w:tc>
          <w:tcPr>
            <w:tcW w:w="15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12,418</w:t>
            </w: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11,748</w:t>
            </w:r>
          </w:p>
        </w:tc>
        <w:tc>
          <w:tcPr>
            <w:tcW w:w="0" w:type="dxa"/>
            <w:vAlign w:val="bottom"/>
          </w:tcPr>
          <w:p>
            <w:pPr>
              <w:spacing w:after="0"/>
              <w:rPr>
                <w:sz w:val="1"/>
                <w:szCs w:val="1"/>
                <w:color w:val="auto"/>
              </w:rPr>
            </w:pPr>
          </w:p>
        </w:tc>
      </w:tr>
      <w:tr>
        <w:trPr>
          <w:trHeight w:val="191"/>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3,260</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3,152</w:t>
            </w:r>
          </w:p>
        </w:tc>
        <w:tc>
          <w:tcPr>
            <w:tcW w:w="0" w:type="dxa"/>
            <w:vAlign w:val="bottom"/>
          </w:tcPr>
          <w:p>
            <w:pPr>
              <w:spacing w:after="0"/>
              <w:rPr>
                <w:sz w:val="1"/>
                <w:szCs w:val="1"/>
                <w:color w:val="auto"/>
              </w:rPr>
            </w:pPr>
          </w:p>
        </w:tc>
      </w:tr>
      <w:tr>
        <w:trPr>
          <w:trHeight w:val="22"/>
        </w:trPr>
        <w:tc>
          <w:tcPr>
            <w:tcW w:w="5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15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9,981</w:t>
            </w: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9,981</w:t>
            </w:r>
          </w:p>
        </w:tc>
        <w:tc>
          <w:tcPr>
            <w:tcW w:w="0" w:type="dxa"/>
            <w:vAlign w:val="bottom"/>
          </w:tcPr>
          <w:p>
            <w:pPr>
              <w:spacing w:after="0"/>
              <w:rPr>
                <w:sz w:val="1"/>
                <w:szCs w:val="1"/>
                <w:color w:val="auto"/>
              </w:rPr>
            </w:pPr>
          </w:p>
        </w:tc>
      </w:tr>
      <w:tr>
        <w:trPr>
          <w:trHeight w:val="181"/>
        </w:trPr>
        <w:tc>
          <w:tcPr>
            <w:tcW w:w="5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property and equipment</w:t>
            </w: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25,659</w:t>
            </w:r>
          </w:p>
        </w:tc>
        <w:tc>
          <w:tcPr>
            <w:tcW w:w="6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24,881</w:t>
            </w:r>
          </w:p>
        </w:tc>
        <w:tc>
          <w:tcPr>
            <w:tcW w:w="0" w:type="dxa"/>
            <w:vAlign w:val="bottom"/>
          </w:tcPr>
          <w:p>
            <w:pPr>
              <w:spacing w:after="0"/>
              <w:rPr>
                <w:sz w:val="1"/>
                <w:szCs w:val="1"/>
                <w:color w:val="auto"/>
              </w:rPr>
            </w:pPr>
          </w:p>
        </w:tc>
      </w:tr>
      <w:tr>
        <w:trPr>
          <w:trHeight w:val="22"/>
        </w:trPr>
        <w:tc>
          <w:tcPr>
            <w:tcW w:w="5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5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(19,616)</w:t>
            </w: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(19,137)</w:t>
            </w:r>
          </w:p>
        </w:tc>
        <w:tc>
          <w:tcPr>
            <w:tcW w:w="0" w:type="dxa"/>
            <w:vAlign w:val="bottom"/>
          </w:tcPr>
          <w:p>
            <w:pPr>
              <w:spacing w:after="0"/>
              <w:rPr>
                <w:sz w:val="1"/>
                <w:szCs w:val="1"/>
                <w:color w:val="auto"/>
              </w:rPr>
            </w:pPr>
          </w:p>
        </w:tc>
      </w:tr>
      <w:tr>
        <w:trPr>
          <w:trHeight w:val="202"/>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6,043</w:t>
            </w:r>
          </w:p>
        </w:tc>
        <w:tc>
          <w:tcPr>
            <w:tcW w:w="6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5,744</w:t>
            </w:r>
          </w:p>
        </w:tc>
        <w:tc>
          <w:tcPr>
            <w:tcW w:w="0" w:type="dxa"/>
            <w:vAlign w:val="bottom"/>
          </w:tcPr>
          <w:p>
            <w:pPr>
              <w:spacing w:after="0"/>
              <w:rPr>
                <w:sz w:val="1"/>
                <w:szCs w:val="1"/>
                <w:color w:val="auto"/>
              </w:rPr>
            </w:pPr>
          </w:p>
        </w:tc>
      </w:tr>
      <w:tr>
        <w:trPr>
          <w:trHeight w:val="20"/>
        </w:trPr>
        <w:tc>
          <w:tcPr>
            <w:tcW w:w="7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Depreciation expense was $0.6 million and $0.7 million for the three months ended March 31, 2026 and 2025, respectively.</w:t>
            </w: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7040" w:type="dxa"/>
            <w:vAlign w:val="bottom"/>
            <w:gridSpan w:val="3"/>
            <w:vMerge w:val="continue"/>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8. Capitalized Software</w:t>
            </w:r>
          </w:p>
        </w:tc>
        <w:tc>
          <w:tcPr>
            <w:tcW w:w="1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Capitalized software consisted of the following as of:</w:t>
            </w:r>
          </w:p>
        </w:tc>
        <w:tc>
          <w:tcPr>
            <w:tcW w:w="1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6"/>
        </w:trPr>
        <w:tc>
          <w:tcPr>
            <w:tcW w:w="5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4"/>
              </w:rPr>
              <w:t>March 31,</w:t>
            </w:r>
          </w:p>
        </w:tc>
        <w:tc>
          <w:tcPr>
            <w:tcW w:w="360" w:type="dxa"/>
            <w:vAlign w:val="bottom"/>
          </w:tcPr>
          <w:p>
            <w:pPr>
              <w:spacing w:after="0"/>
              <w:rPr>
                <w:sz w:val="24"/>
                <w:szCs w:val="24"/>
                <w:color w:val="auto"/>
              </w:rPr>
            </w:pPr>
          </w:p>
        </w:tc>
        <w:tc>
          <w:tcPr>
            <w:tcW w:w="1100" w:type="dxa"/>
            <w:vAlign w:val="bottom"/>
          </w:tcPr>
          <w:p>
            <w:pPr>
              <w:jc w:val="center"/>
              <w:ind w:right="291"/>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0" w:type="dxa"/>
            <w:vAlign w:val="bottom"/>
          </w:tcPr>
          <w:p>
            <w:pPr>
              <w:spacing w:after="0"/>
              <w:rPr>
                <w:sz w:val="1"/>
                <w:szCs w:val="1"/>
                <w:color w:val="auto"/>
              </w:rPr>
            </w:pPr>
          </w:p>
        </w:tc>
      </w:tr>
      <w:tr>
        <w:trPr>
          <w:trHeight w:val="199"/>
        </w:trPr>
        <w:tc>
          <w:tcPr>
            <w:tcW w:w="5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71"/>
              <w:spacing w:after="0"/>
              <w:rPr>
                <w:sz w:val="20"/>
                <w:szCs w:val="20"/>
                <w:color w:val="auto"/>
              </w:rPr>
            </w:pPr>
            <w:r>
              <w:rPr>
                <w:rFonts w:ascii="Times New Roman" w:cs="Times New Roman" w:eastAsia="Times New Roman" w:hAnsi="Times New Roman"/>
                <w:sz w:val="13"/>
                <w:szCs w:val="13"/>
                <w:b w:val="1"/>
                <w:bCs w:val="1"/>
                <w:color w:val="auto"/>
                <w:w w:val="99"/>
              </w:rPr>
              <w:t>2026</w:t>
            </w:r>
          </w:p>
        </w:tc>
        <w:tc>
          <w:tcPr>
            <w:tcW w:w="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91"/>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0" w:type="dxa"/>
            <w:vAlign w:val="bottom"/>
          </w:tcPr>
          <w:p>
            <w:pPr>
              <w:spacing w:after="0"/>
              <w:rPr>
                <w:sz w:val="1"/>
                <w:szCs w:val="1"/>
                <w:color w:val="auto"/>
              </w:rPr>
            </w:pPr>
          </w:p>
        </w:tc>
      </w:tr>
      <w:tr>
        <w:trPr>
          <w:trHeight w:val="182"/>
        </w:trPr>
        <w:tc>
          <w:tcPr>
            <w:tcW w:w="5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Capitalized software</w:t>
            </w:r>
          </w:p>
        </w:tc>
        <w:tc>
          <w:tcPr>
            <w:tcW w:w="15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102,651</w:t>
            </w: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96,215</w:t>
            </w:r>
          </w:p>
        </w:tc>
        <w:tc>
          <w:tcPr>
            <w:tcW w:w="0" w:type="dxa"/>
            <w:vAlign w:val="bottom"/>
          </w:tcPr>
          <w:p>
            <w:pPr>
              <w:spacing w:after="0"/>
              <w:rPr>
                <w:sz w:val="1"/>
                <w:szCs w:val="1"/>
                <w:color w:val="auto"/>
              </w:rPr>
            </w:pPr>
          </w:p>
        </w:tc>
      </w:tr>
      <w:tr>
        <w:trPr>
          <w:trHeight w:val="191"/>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accumulated amortization</w:t>
            </w: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(40,041)</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(37,247)</w:t>
            </w:r>
          </w:p>
        </w:tc>
        <w:tc>
          <w:tcPr>
            <w:tcW w:w="0" w:type="dxa"/>
            <w:vAlign w:val="bottom"/>
          </w:tcPr>
          <w:p>
            <w:pPr>
              <w:spacing w:after="0"/>
              <w:rPr>
                <w:sz w:val="1"/>
                <w:szCs w:val="1"/>
                <w:color w:val="auto"/>
              </w:rPr>
            </w:pPr>
          </w:p>
        </w:tc>
      </w:tr>
      <w:tr>
        <w:trPr>
          <w:trHeight w:val="22"/>
        </w:trPr>
        <w:tc>
          <w:tcPr>
            <w:tcW w:w="52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Capitalized software, net</w:t>
            </w:r>
          </w:p>
        </w:tc>
        <w:tc>
          <w:tcPr>
            <w:tcW w:w="15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62,610</w:t>
            </w: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58,968</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Amortization expense was $3.3 million and $2.4 million for the three months ended March 31, 2026 and 2025, respectively. During the ordinary course of business, the Company may determine that certain capitalized features of its software will no longer be used either internally or to deliver value to its customers. The Company recorded a charge of $0.3 million and $0.4 million for the three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5"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39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months ended March 31, 2026 and 2025, respectively, related to capitalized costs associated with abandoned projects, which are included in general and administrative expense on the unaudited condensed consolidated statements of operations and comprehensive income (loss).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Leases</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 leases real estate from unrelated parties under operating lease agreements that have initial terms ranging from one year to nine years. Some leases include one or more options to renew, generally at our sole discretion, of five additional years each.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lease expense are as follows:</w:t>
      </w:r>
    </w:p>
    <w:p>
      <w:pPr>
        <w:spacing w:after="0" w:line="244"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15"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5271770</wp:posOffset>
            </wp:positionH>
            <wp:positionV relativeFrom="paragraph">
              <wp:posOffset>17780</wp:posOffset>
            </wp:positionV>
            <wp:extent cx="189293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92935" cy="6985"/>
                    </a:xfrm>
                    <a:prstGeom prst="rect">
                      <a:avLst/>
                    </a:prstGeom>
                    <a:noFill/>
                  </pic:spPr>
                </pic:pic>
              </a:graphicData>
            </a:graphic>
          </wp:anchor>
        </w:drawing>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300" w:type="dxa"/>
            <w:vAlign w:val="bottom"/>
          </w:tcPr>
          <w:p>
            <w:pPr>
              <w:spacing w:after="0"/>
              <w:rPr>
                <w:sz w:val="15"/>
                <w:szCs w:val="15"/>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2026</w:t>
            </w:r>
          </w:p>
        </w:tc>
        <w:tc>
          <w:tcPr>
            <w:tcW w:w="5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82"/>
        </w:trPr>
        <w:tc>
          <w:tcPr>
            <w:tcW w:w="8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gridSpan w:val="3"/>
          </w:tcPr>
          <w:p>
            <w:pPr>
              <w:jc w:val="right"/>
              <w:ind w:right="69"/>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980" w:type="dxa"/>
            <w:vAlign w:val="bottom"/>
          </w:tcPr>
          <w:p>
            <w:pPr>
              <w:spacing w:after="0"/>
              <w:rPr>
                <w:sz w:val="15"/>
                <w:szCs w:val="15"/>
                <w:color w:val="auto"/>
              </w:rPr>
            </w:pPr>
          </w:p>
        </w:tc>
      </w:tr>
      <w:tr>
        <w:trPr>
          <w:trHeight w:val="20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960" w:type="dxa"/>
            <w:vAlign w:val="bottom"/>
            <w:tcBorders>
              <w:bottom w:val="single" w:sz="8" w:color="CCEEFF"/>
            </w:tcBorders>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r>
      <w:tr>
        <w:trPr>
          <w:trHeight w:val="19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9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r>
      <w:tr>
        <w:trPr>
          <w:trHeight w:val="22"/>
        </w:trPr>
        <w:tc>
          <w:tcPr>
            <w:tcW w:w="8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2"/>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lease cost</w:t>
            </w:r>
          </w:p>
        </w:tc>
        <w:tc>
          <w:tcPr>
            <w:tcW w:w="9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203"/>
        </w:trPr>
        <w:tc>
          <w:tcPr>
            <w:tcW w:w="8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lease cost</w:t>
            </w:r>
          </w:p>
        </w:tc>
        <w:tc>
          <w:tcPr>
            <w:tcW w:w="960" w:type="dxa"/>
            <w:vAlign w:val="bottom"/>
            <w:tcBorders>
              <w:top w:val="single" w:sz="8" w:color="auto"/>
              <w:bottom w:val="single" w:sz="8" w:color="auto"/>
            </w:tcBorders>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6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1,437</w:t>
            </w:r>
          </w:p>
        </w:tc>
      </w:tr>
      <w:tr>
        <w:trPr>
          <w:trHeight w:val="20"/>
        </w:trPr>
        <w:tc>
          <w:tcPr>
            <w:tcW w:w="8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ceased use of certain leased premises and subleased certain facilities resulting in impairment charges of $0.1 million during the three months ended March 31, 2026 to impair the right-of-use lease assets to their fair value, which are included in loss on sale and impairments on our unaudited condensed consolidated statement of operations and comprehensive income (loss).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Supplemental cash flow information related to leases is as follows:</w:t>
      </w:r>
    </w:p>
    <w:p>
      <w:pPr>
        <w:spacing w:after="0" w:line="53"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15"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5271770</wp:posOffset>
            </wp:positionH>
            <wp:positionV relativeFrom="paragraph">
              <wp:posOffset>17780</wp:posOffset>
            </wp:positionV>
            <wp:extent cx="189293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92935" cy="6985"/>
                    </a:xfrm>
                    <a:prstGeom prst="rect">
                      <a:avLst/>
                    </a:prstGeom>
                    <a:noFill/>
                  </pic:spPr>
                </pic:pic>
              </a:graphicData>
            </a:graphic>
          </wp:anchor>
        </w:drawing>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rPr>
              <w:t>2026</w:t>
            </w:r>
          </w:p>
        </w:tc>
        <w:tc>
          <w:tcPr>
            <w:tcW w:w="5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82"/>
        </w:trPr>
        <w:tc>
          <w:tcPr>
            <w:tcW w:w="8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2"/>
          </w:tcPr>
          <w:p>
            <w:pPr>
              <w:jc w:val="right"/>
              <w:ind w:right="69"/>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980" w:type="dxa"/>
            <w:vAlign w:val="bottom"/>
          </w:tcPr>
          <w:p>
            <w:pPr>
              <w:spacing w:after="0"/>
              <w:rPr>
                <w:sz w:val="15"/>
                <w:szCs w:val="15"/>
                <w:color w:val="auto"/>
              </w:rPr>
            </w:pPr>
          </w:p>
        </w:tc>
      </w:tr>
      <w:tr>
        <w:trPr>
          <w:trHeight w:val="20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operating lease liabilities</w:t>
            </w: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1,137</w:t>
            </w:r>
          </w:p>
        </w:tc>
        <w:tc>
          <w:tcPr>
            <w:tcW w:w="52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w:t>
            </w:r>
          </w:p>
        </w:tc>
      </w:tr>
      <w:tr>
        <w:trPr>
          <w:trHeight w:val="19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assets obtained in exchange for operating lease liabilities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506</w:t>
            </w:r>
          </w:p>
        </w:tc>
        <w:tc>
          <w:tcPr>
            <w:tcW w:w="52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r>
    </w:tbl>
    <w:p>
      <w:pPr>
        <w:spacing w:after="0" w:line="15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4"/>
          <w:szCs w:val="14"/>
          <w:color w:val="auto"/>
        </w:rPr>
        <w:t>Supplemental balance sheet information, included in other non-current assets, accrued expenses and other and other non-current liabilities on the unaudited condensed consolidated balance sheets, related to leases is as follows:</w:t>
      </w:r>
    </w:p>
    <w:tbl>
      <w:tblPr>
        <w:tblLayout w:type="fixed"/>
        <w:tblInd w:w="0" w:type="dxa"/>
        <w:tblCellMar>
          <w:top w:w="0" w:type="dxa"/>
          <w:left w:w="0" w:type="dxa"/>
          <w:bottom w:w="0" w:type="dxa"/>
          <w:right w:w="0" w:type="dxa"/>
        </w:tblCellMar>
      </w:tblPr>
      <w:tr>
        <w:trPr>
          <w:trHeight w:val="167"/>
        </w:trPr>
        <w:tc>
          <w:tcPr>
            <w:tcW w:w="8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r>
      <w:tr>
        <w:trPr>
          <w:trHeight w:val="199"/>
        </w:trPr>
        <w:tc>
          <w:tcPr>
            <w:tcW w:w="8300" w:type="dxa"/>
            <w:vAlign w:val="bottom"/>
          </w:tcPr>
          <w:p>
            <w:pPr>
              <w:spacing w:after="0"/>
              <w:rPr>
                <w:sz w:val="17"/>
                <w:szCs w:val="17"/>
                <w:color w:val="auto"/>
              </w:rPr>
            </w:pPr>
          </w:p>
        </w:tc>
        <w:tc>
          <w:tcPr>
            <w:tcW w:w="10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2026</w:t>
            </w:r>
          </w:p>
        </w:tc>
        <w:tc>
          <w:tcPr>
            <w:tcW w:w="4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82"/>
        </w:trPr>
        <w:tc>
          <w:tcPr>
            <w:tcW w:w="8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100" w:type="dxa"/>
            <w:vAlign w:val="bottom"/>
          </w:tcPr>
          <w:p>
            <w:pPr>
              <w:spacing w:after="0"/>
              <w:rPr>
                <w:sz w:val="15"/>
                <w:szCs w:val="15"/>
                <w:color w:val="auto"/>
              </w:rPr>
            </w:pPr>
          </w:p>
        </w:tc>
      </w:tr>
      <w:tr>
        <w:trPr>
          <w:trHeight w:val="20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000" w:type="dxa"/>
            <w:vAlign w:val="bottom"/>
            <w:tcBorders>
              <w:bottom w:val="single" w:sz="8" w:color="CCEEFF"/>
            </w:tcBorders>
            <w:shd w:val="clear" w:color="auto" w:fill="CCEEFF"/>
          </w:tcPr>
          <w:p>
            <w:pPr>
              <w:jc w:val="right"/>
              <w:ind w:right="85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7,884</w:t>
            </w: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8,280</w:t>
            </w:r>
          </w:p>
        </w:tc>
      </w:tr>
      <w:tr>
        <w:trPr>
          <w:trHeight w:val="127"/>
        </w:trPr>
        <w:tc>
          <w:tcPr>
            <w:tcW w:w="8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92"/>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10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3,890</w:t>
            </w: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3,850</w:t>
            </w:r>
          </w:p>
        </w:tc>
      </w:tr>
      <w:tr>
        <w:trPr>
          <w:trHeight w:val="19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operating lease liabilities</w:t>
            </w:r>
          </w:p>
        </w:tc>
        <w:tc>
          <w:tcPr>
            <w:tcW w:w="10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9,484</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9,963</w:t>
            </w:r>
          </w:p>
        </w:tc>
      </w:tr>
      <w:tr>
        <w:trPr>
          <w:trHeight w:val="22"/>
        </w:trPr>
        <w:tc>
          <w:tcPr>
            <w:tcW w:w="83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8"/>
        </w:trPr>
        <w:tc>
          <w:tcPr>
            <w:tcW w:w="8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1000" w:type="dxa"/>
            <w:vAlign w:val="bottom"/>
            <w:tcBorders>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13,374</w:t>
            </w: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13,813</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At March 31, 2026 and December 31, 2025, the weighted average remaining lease term for operating leases was 3.94 years and 4.16 years, respectively, and the weighted average discount rate was 5.3% and 5.2%,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5" w:right="3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393" w:lineRule="exact"/>
        <w:rPr>
          <w:sz w:val="20"/>
          <w:szCs w:val="20"/>
          <w:color w:val="auto"/>
        </w:rPr>
      </w:pPr>
    </w:p>
    <w:p>
      <w:pPr>
        <w:ind w:right="640"/>
        <w:spacing w:after="0" w:line="287" w:lineRule="auto"/>
        <w:rPr>
          <w:sz w:val="20"/>
          <w:szCs w:val="20"/>
          <w:color w:val="auto"/>
        </w:rPr>
      </w:pPr>
      <w:r>
        <w:rPr>
          <w:rFonts w:ascii="Times New Roman" w:cs="Times New Roman" w:eastAsia="Times New Roman" w:hAnsi="Times New Roman"/>
          <w:sz w:val="14"/>
          <w:szCs w:val="14"/>
          <w:color w:val="auto"/>
        </w:rPr>
        <w:t>Future undiscounted cash flows for each of the next five years and thereafter and reconciliation to the lease liabilities recognized on the balance sheet as of March 31, 2026 is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ended December 31,</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2026 (remainder of year)</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3,360</w:t>
            </w:r>
          </w:p>
        </w:tc>
        <w:tc>
          <w:tcPr>
            <w:tcW w:w="0" w:type="dxa"/>
            <w:vAlign w:val="bottom"/>
          </w:tcPr>
          <w:p>
            <w:pPr>
              <w:spacing w:after="0"/>
              <w:rPr>
                <w:sz w:val="1"/>
                <w:szCs w:val="1"/>
                <w:color w:val="auto"/>
              </w:rPr>
            </w:pPr>
          </w:p>
        </w:tc>
      </w:tr>
      <w:tr>
        <w:trPr>
          <w:trHeight w:val="22"/>
        </w:trPr>
        <w:tc>
          <w:tcPr>
            <w:tcW w:w="8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2027</w:t>
            </w:r>
          </w:p>
        </w:tc>
        <w:tc>
          <w:tcPr>
            <w:tcW w:w="2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3,716</w:t>
            </w:r>
          </w:p>
        </w:tc>
        <w:tc>
          <w:tcPr>
            <w:tcW w:w="0" w:type="dxa"/>
            <w:vAlign w:val="bottom"/>
          </w:tcPr>
          <w:p>
            <w:pPr>
              <w:spacing w:after="0"/>
              <w:rPr>
                <w:sz w:val="1"/>
                <w:szCs w:val="1"/>
                <w:color w:val="auto"/>
              </w:rPr>
            </w:pPr>
          </w:p>
        </w:tc>
      </w:tr>
      <w:tr>
        <w:trPr>
          <w:trHeight w:val="191"/>
        </w:trPr>
        <w:tc>
          <w:tcPr>
            <w:tcW w:w="8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2028</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0" w:type="dxa"/>
            <w:vAlign w:val="bottom"/>
          </w:tcPr>
          <w:p>
            <w:pPr>
              <w:spacing w:after="0"/>
              <w:rPr>
                <w:sz w:val="1"/>
                <w:szCs w:val="1"/>
                <w:color w:val="auto"/>
              </w:rPr>
            </w:pPr>
          </w:p>
        </w:tc>
      </w:tr>
      <w:tr>
        <w:trPr>
          <w:trHeight w:val="22"/>
        </w:trPr>
        <w:tc>
          <w:tcPr>
            <w:tcW w:w="8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2029</w:t>
            </w:r>
          </w:p>
        </w:tc>
        <w:tc>
          <w:tcPr>
            <w:tcW w:w="2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2,551</w:t>
            </w:r>
          </w:p>
        </w:tc>
        <w:tc>
          <w:tcPr>
            <w:tcW w:w="0" w:type="dxa"/>
            <w:vAlign w:val="bottom"/>
          </w:tcPr>
          <w:p>
            <w:pPr>
              <w:spacing w:after="0"/>
              <w:rPr>
                <w:sz w:val="1"/>
                <w:szCs w:val="1"/>
                <w:color w:val="auto"/>
              </w:rPr>
            </w:pPr>
          </w:p>
        </w:tc>
      </w:tr>
      <w:tr>
        <w:trPr>
          <w:trHeight w:val="191"/>
        </w:trPr>
        <w:tc>
          <w:tcPr>
            <w:tcW w:w="8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2030</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2,254</w:t>
            </w:r>
          </w:p>
        </w:tc>
        <w:tc>
          <w:tcPr>
            <w:tcW w:w="0" w:type="dxa"/>
            <w:vAlign w:val="bottom"/>
          </w:tcPr>
          <w:p>
            <w:pPr>
              <w:spacing w:after="0"/>
              <w:rPr>
                <w:sz w:val="1"/>
                <w:szCs w:val="1"/>
                <w:color w:val="auto"/>
              </w:rPr>
            </w:pPr>
          </w:p>
        </w:tc>
      </w:tr>
      <w:tr>
        <w:trPr>
          <w:trHeight w:val="22"/>
        </w:trPr>
        <w:tc>
          <w:tcPr>
            <w:tcW w:w="8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Thereafter</w:t>
            </w: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8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lease payments</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14,794</w:t>
            </w:r>
          </w:p>
        </w:tc>
        <w:tc>
          <w:tcPr>
            <w:tcW w:w="0" w:type="dxa"/>
            <w:vAlign w:val="bottom"/>
          </w:tcPr>
          <w:p>
            <w:pPr>
              <w:spacing w:after="0"/>
              <w:rPr>
                <w:sz w:val="1"/>
                <w:szCs w:val="1"/>
                <w:color w:val="auto"/>
              </w:rPr>
            </w:pPr>
          </w:p>
        </w:tc>
      </w:tr>
      <w:tr>
        <w:trPr>
          <w:trHeight w:val="22"/>
        </w:trPr>
        <w:tc>
          <w:tcPr>
            <w:tcW w:w="8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Less: imputed interest</w:t>
            </w: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0" w:type="dxa"/>
            <w:vAlign w:val="bottom"/>
          </w:tcPr>
          <w:p>
            <w:pPr>
              <w:spacing w:after="0"/>
              <w:rPr>
                <w:sz w:val="1"/>
                <w:szCs w:val="1"/>
                <w:color w:val="auto"/>
              </w:rPr>
            </w:pPr>
          </w:p>
        </w:tc>
      </w:tr>
      <w:tr>
        <w:trPr>
          <w:trHeight w:val="202"/>
        </w:trPr>
        <w:tc>
          <w:tcPr>
            <w:tcW w:w="8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present value of lease liabilities</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13,374</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10. Long-Term Debt</w:t>
            </w: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3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Long-term debt consisted of the following as of:</w:t>
            </w: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6"/>
        </w:trPr>
        <w:tc>
          <w:tcPr>
            <w:tcW w:w="8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360" w:type="dxa"/>
            <w:vAlign w:val="bottom"/>
          </w:tcPr>
          <w:p>
            <w:pPr>
              <w:spacing w:after="0"/>
              <w:rPr>
                <w:sz w:val="24"/>
                <w:szCs w:val="24"/>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0" w:type="dxa"/>
            <w:vAlign w:val="bottom"/>
          </w:tcPr>
          <w:p>
            <w:pPr>
              <w:spacing w:after="0"/>
              <w:rPr>
                <w:sz w:val="1"/>
                <w:szCs w:val="1"/>
                <w:color w:val="auto"/>
              </w:rPr>
            </w:pPr>
          </w:p>
        </w:tc>
      </w:tr>
      <w:tr>
        <w:trPr>
          <w:trHeight w:val="199"/>
        </w:trPr>
        <w:tc>
          <w:tcPr>
            <w:tcW w:w="8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3"/>
                <w:szCs w:val="13"/>
                <w:b w:val="1"/>
                <w:bCs w:val="1"/>
                <w:color w:val="auto"/>
              </w:rPr>
              <w:t>2026</w:t>
            </w:r>
          </w:p>
        </w:tc>
        <w:tc>
          <w:tcPr>
            <w:tcW w:w="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82"/>
        </w:trPr>
        <w:tc>
          <w:tcPr>
            <w:tcW w:w="8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note with interest payable monthly, interest rate at Adjusted SOFR, plus an applicable margin of 2.25% (5.91774% at March 31, 2026)</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quarterly principal payments of 0.25% of original principal balance with balloon payment due July 2031</w:t>
            </w: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525,250</w:t>
            </w: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526,625</w:t>
            </w:r>
          </w:p>
        </w:tc>
        <w:tc>
          <w:tcPr>
            <w:tcW w:w="0" w:type="dxa"/>
            <w:vAlign w:val="bottom"/>
          </w:tcPr>
          <w:p>
            <w:pPr>
              <w:spacing w:after="0"/>
              <w:rPr>
                <w:sz w:val="1"/>
                <w:szCs w:val="1"/>
                <w:color w:val="auto"/>
              </w:rPr>
            </w:pPr>
          </w:p>
        </w:tc>
      </w:tr>
      <w:tr>
        <w:trPr>
          <w:trHeight w:val="176"/>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Revolver with interest payable monthly, interest rate at Adjusted SOFR, plus an applicable margin of 2.00% (5.66484% at March 31, 2026), and</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balance due July 2030</w:t>
            </w:r>
          </w:p>
        </w:tc>
        <w:tc>
          <w:tcPr>
            <w:tcW w:w="26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8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Principal debt</w:t>
            </w:r>
          </w:p>
        </w:tc>
        <w:tc>
          <w:tcPr>
            <w:tcW w:w="2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525,250</w:t>
            </w:r>
          </w:p>
        </w:tc>
        <w:tc>
          <w:tcPr>
            <w:tcW w:w="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526,625</w:t>
            </w:r>
          </w:p>
        </w:tc>
        <w:tc>
          <w:tcPr>
            <w:tcW w:w="0" w:type="dxa"/>
            <w:vAlign w:val="bottom"/>
          </w:tcPr>
          <w:p>
            <w:pPr>
              <w:spacing w:after="0"/>
              <w:rPr>
                <w:sz w:val="1"/>
                <w:szCs w:val="1"/>
                <w:color w:val="auto"/>
              </w:rPr>
            </w:pPr>
          </w:p>
        </w:tc>
      </w:tr>
      <w:tr>
        <w:trPr>
          <w:trHeight w:val="19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financing costs on long-term debt</w:t>
            </w: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(2,333)</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(2,447)</w:t>
            </w:r>
          </w:p>
        </w:tc>
        <w:tc>
          <w:tcPr>
            <w:tcW w:w="0" w:type="dxa"/>
            <w:vAlign w:val="bottom"/>
          </w:tcPr>
          <w:p>
            <w:pPr>
              <w:spacing w:after="0"/>
              <w:rPr>
                <w:sz w:val="1"/>
                <w:szCs w:val="1"/>
                <w:color w:val="auto"/>
              </w:rPr>
            </w:pPr>
          </w:p>
        </w:tc>
      </w:tr>
      <w:tr>
        <w:trPr>
          <w:trHeight w:val="22"/>
        </w:trPr>
        <w:tc>
          <w:tcPr>
            <w:tcW w:w="8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on long-term debt</w:t>
            </w: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0" w:type="dxa"/>
            <w:vAlign w:val="bottom"/>
          </w:tcPr>
          <w:p>
            <w:pPr>
              <w:spacing w:after="0"/>
              <w:rPr>
                <w:sz w:val="1"/>
                <w:szCs w:val="1"/>
                <w:color w:val="auto"/>
              </w:rPr>
            </w:pPr>
          </w:p>
        </w:tc>
      </w:tr>
      <w:tr>
        <w:trPr>
          <w:trHeight w:val="181"/>
        </w:trPr>
        <w:tc>
          <w:tcPr>
            <w:tcW w:w="8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debt</w:t>
            </w: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522,166</w:t>
            </w:r>
          </w:p>
        </w:tc>
        <w:tc>
          <w:tcPr>
            <w:tcW w:w="6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523,391</w:t>
            </w:r>
          </w:p>
        </w:tc>
        <w:tc>
          <w:tcPr>
            <w:tcW w:w="0" w:type="dxa"/>
            <w:vAlign w:val="bottom"/>
          </w:tcPr>
          <w:p>
            <w:pPr>
              <w:spacing w:after="0"/>
              <w:rPr>
                <w:sz w:val="1"/>
                <w:szCs w:val="1"/>
                <w:color w:val="auto"/>
              </w:rPr>
            </w:pPr>
          </w:p>
        </w:tc>
      </w:tr>
      <w:tr>
        <w:trPr>
          <w:trHeight w:val="22"/>
        </w:trPr>
        <w:tc>
          <w:tcPr>
            <w:tcW w:w="8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maturities</w:t>
            </w: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0" w:type="dxa"/>
            <w:vAlign w:val="bottom"/>
          </w:tcPr>
          <w:p>
            <w:pPr>
              <w:spacing w:after="0"/>
              <w:rPr>
                <w:sz w:val="1"/>
                <w:szCs w:val="1"/>
                <w:color w:val="auto"/>
              </w:rPr>
            </w:pPr>
          </w:p>
        </w:tc>
      </w:tr>
      <w:tr>
        <w:trPr>
          <w:trHeight w:val="203"/>
        </w:trPr>
        <w:tc>
          <w:tcPr>
            <w:tcW w:w="8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Long-term portion</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516,666</w:t>
            </w:r>
          </w:p>
        </w:tc>
        <w:tc>
          <w:tcPr>
            <w:tcW w:w="6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517,891</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is party to a credit agreement, as amended, that provides for one term loan in the aggregate principal amount of $529.4 million (the “Term Loan”), a revolver with a capacity of $155.0 million (the “Revolver”) and a sub-limit of the Revolver available for letters of credit up to an aggregate face amount of $20.0 million. These debt arrangements are collectively referred to herein as the “Credit Facilities”.</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Effective as of June 10, 2025, the Company entered into an additional amendment to the Credit Facilities (the “June 2025 Amendment”) to reduce the commitments outstanding under the Revolver, extend the maturity of a portion of such commitments and reduce the applicable margin with respect to extended revolving loans. As a result of the June 2025 Amendment, commitments under the Revolver were reduced to from $190.0 million to $155.0 million. With respect to $125.0 million of such commitments, (i) the maturity date was extended to January 6, 2028 and (ii) the applicable margin for (x) Term SOFR (as defined in the Credit Facilities) loans was reduced to 2.50% and (y) ABR (as defined in the Credit Facilities) loans was reduced to 1.50%, in each case, subject to a single 0.25% step-down based on the Company’s first lien net leverage ratio. With respect to the remaining $30.0 million of such commitments, (i) the maturity date remains July 6, 2026 and (ii) the applicable margin was unchanged.</w:t>
      </w:r>
    </w:p>
    <w:p>
      <w:pPr>
        <w:spacing w:after="0" w:line="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Additionally, on July 29, 2025, the Company entered into an amendment to the Credit Facilities (the “July 2025 Amendment”) to, among other things, refinance the existing Term Loan in an aggregate principal amount of $529.4 million. The July 2025 Amendment, among other things, (i) extends the maturity date of the Term Loan to July 6, 2031, and (ii) reduces the applicable margin by 25 basis points with respect to all term loans. The Term Loan bears interest, at the Borrower’s election, at (x) Term SOFR (as defined in the Credit Agreement) plus an applicable margin of 2.25%, with a minimum Term SOFR rate of 0.50% or (y) ABR (as defined in the Credit Agreement) plus an applicable margin of 1.25%, with a minimum ABR of 1.50%, in each case, with no step-downs. The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5" w:right="31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refinanced Term Loan priced at par and refinanced the existing term loan outstanding under the Credit Agreement immediately prior to giving effect to the July 2025 Amendment.</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Pursuant to the July 2025 Amendment, with respect to $125.0 million of commitments under the existing $155.0 million Revolver, (i) the maturity date was extended to July 29, 2030 and (ii) the applicable margin for (x) Term SOFR loans was reduced to 2.00% and (y) ABR loans was reduced to 1.00%, in each case, subject to one 25 basis points step-up based on the Company’s first lien net leverage ratio. Other than the changes noted above, the terms and conditions of all commitments at closing as well as those extending beyond the original maturity date remain the same as the existing Revolver. Accordingly, $155.0 million of availability remains under the Revolver until July 6, 2026 and then reduces to $125.0 million through July 29, 2030.</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determines the fair value of long-term debt based on trading prices for its debt if available. As of March 31, 2026, the Company obtained trading prices for the term notes outstanding. However, as such trading prices require significant unobservable inputs to the pricing model, such instruments are classified as Level 2. The fair value amounts were approximately $516.1 million and $529.3 million as of March 31, 2026 and December 31, 2025, respectively.</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entered into the following interest rate swap agreements in connection with its Credit Facilities to convert a portion of the floating rate component of the Term Loan from a floating rate to fixed rate: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Effective</w:t>
            </w: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Expiration</w:t>
            </w:r>
          </w:p>
        </w:tc>
        <w:tc>
          <w:tcPr>
            <w:tcW w:w="1920" w:type="dxa"/>
            <w:vAlign w:val="bottom"/>
            <w:gridSpan w:val="2"/>
          </w:tcPr>
          <w:p>
            <w:pPr>
              <w:ind w:left="540"/>
              <w:spacing w:after="0"/>
              <w:rPr>
                <w:sz w:val="20"/>
                <w:szCs w:val="20"/>
                <w:color w:val="auto"/>
              </w:rPr>
            </w:pPr>
            <w:r>
              <w:rPr>
                <w:rFonts w:ascii="Times New Roman" w:cs="Times New Roman" w:eastAsia="Times New Roman" w:hAnsi="Times New Roman"/>
                <w:sz w:val="13"/>
                <w:szCs w:val="13"/>
                <w:b w:val="1"/>
                <w:bCs w:val="1"/>
                <w:color w:val="auto"/>
              </w:rPr>
              <w:t>Fixed Interest</w:t>
            </w:r>
          </w:p>
        </w:tc>
        <w:tc>
          <w:tcPr>
            <w:tcW w:w="320" w:type="dxa"/>
            <w:vAlign w:val="bottom"/>
          </w:tcPr>
          <w:p>
            <w:pPr>
              <w:spacing w:after="0"/>
              <w:rPr>
                <w:sz w:val="14"/>
                <w:szCs w:val="14"/>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Notional</w:t>
            </w:r>
          </w:p>
        </w:tc>
        <w:tc>
          <w:tcPr>
            <w:tcW w:w="100" w:type="dxa"/>
            <w:vAlign w:val="bottom"/>
          </w:tcPr>
          <w:p>
            <w:pPr>
              <w:spacing w:after="0"/>
              <w:rPr>
                <w:sz w:val="14"/>
                <w:szCs w:val="14"/>
                <w:color w:val="auto"/>
              </w:rPr>
            </w:pPr>
          </w:p>
        </w:tc>
        <w:tc>
          <w:tcPr>
            <w:tcW w:w="176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7"/>
              </w:rPr>
              <w:t>Asset (Liability) Fair Value at</w:t>
            </w:r>
          </w:p>
        </w:tc>
      </w:tr>
      <w:tr>
        <w:trPr>
          <w:trHeight w:val="199"/>
        </w:trPr>
        <w:tc>
          <w:tcPr>
            <w:tcW w:w="16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3"/>
                <w:szCs w:val="13"/>
                <w:b w:val="1"/>
                <w:bCs w:val="1"/>
                <w:color w:val="auto"/>
              </w:rPr>
              <w:t>Swap</w:t>
            </w:r>
          </w:p>
        </w:tc>
        <w:tc>
          <w:tcPr>
            <w:tcW w:w="60" w:type="dxa"/>
            <w:vAlign w:val="bottom"/>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80" w:type="dxa"/>
            <w:vAlign w:val="bottom"/>
          </w:tcPr>
          <w:p>
            <w:pPr>
              <w:spacing w:after="0"/>
              <w:rPr>
                <w:sz w:val="17"/>
                <w:szCs w:val="17"/>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0" w:type="dxa"/>
            <w:vAlign w:val="bottom"/>
          </w:tcPr>
          <w:p>
            <w:pPr>
              <w:spacing w:after="0"/>
              <w:rPr>
                <w:sz w:val="17"/>
                <w:szCs w:val="17"/>
                <w:color w:val="auto"/>
              </w:rPr>
            </w:pPr>
          </w:p>
        </w:tc>
        <w:tc>
          <w:tcPr>
            <w:tcW w:w="184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3"/>
                <w:szCs w:val="13"/>
                <w:b w:val="1"/>
                <w:bCs w:val="1"/>
                <w:color w:val="auto"/>
              </w:rPr>
              <w:t>Rate</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w w:val="97"/>
              </w:rPr>
              <w:t>March 31, 2026</w:t>
            </w:r>
          </w:p>
        </w:tc>
      </w:tr>
      <w:tr>
        <w:trPr>
          <w:trHeight w:val="182"/>
        </w:trPr>
        <w:tc>
          <w:tcPr>
            <w:tcW w:w="1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i w:val="1"/>
                <w:iCs w:val="1"/>
                <w:color w:val="auto"/>
                <w:w w:val="96"/>
              </w:rPr>
              <w:t>(in thousands)</w:t>
            </w:r>
          </w:p>
        </w:tc>
        <w:tc>
          <w:tcPr>
            <w:tcW w:w="100" w:type="dxa"/>
            <w:vAlign w:val="bottom"/>
          </w:tcPr>
          <w:p>
            <w:pPr>
              <w:spacing w:after="0"/>
              <w:rPr>
                <w:sz w:val="15"/>
                <w:szCs w:val="15"/>
                <w:color w:val="auto"/>
              </w:rPr>
            </w:pPr>
          </w:p>
        </w:tc>
        <w:tc>
          <w:tcPr>
            <w:tcW w:w="1760" w:type="dxa"/>
            <w:vAlign w:val="bottom"/>
          </w:tcPr>
          <w:p>
            <w:pPr>
              <w:jc w:val="center"/>
              <w:ind w:right="33"/>
              <w:spacing w:after="0"/>
              <w:rPr>
                <w:sz w:val="20"/>
                <w:szCs w:val="20"/>
                <w:color w:val="auto"/>
              </w:rPr>
            </w:pPr>
            <w:r>
              <w:rPr>
                <w:rFonts w:ascii="Times New Roman" w:cs="Times New Roman" w:eastAsia="Times New Roman" w:hAnsi="Times New Roman"/>
                <w:sz w:val="13"/>
                <w:szCs w:val="13"/>
                <w:i w:val="1"/>
                <w:iCs w:val="1"/>
                <w:color w:val="auto"/>
                <w:w w:val="98"/>
              </w:rPr>
              <w:t>(in thousands)</w:t>
            </w:r>
          </w:p>
        </w:tc>
      </w:tr>
      <w:tr>
        <w:trPr>
          <w:trHeight w:val="200"/>
        </w:trPr>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Initial Swap</w:t>
            </w:r>
          </w:p>
        </w:tc>
        <w:tc>
          <w:tcPr>
            <w:tcW w:w="1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31, 2022</w:t>
            </w:r>
          </w:p>
        </w:tc>
        <w:tc>
          <w:tcPr>
            <w:tcW w:w="1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31, 2027</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4.212 %</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(1,749)</w:t>
            </w:r>
          </w:p>
        </w:tc>
      </w:tr>
      <w:tr>
        <w:trPr>
          <w:trHeight w:val="191"/>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Second Swap</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March 31, 2023</w:t>
            </w: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October 31, 2027</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3.951 %</w:t>
            </w:r>
          </w:p>
        </w:tc>
        <w:tc>
          <w:tcPr>
            <w:tcW w:w="8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w:t>
            </w:r>
          </w:p>
        </w:tc>
      </w:tr>
      <w:tr>
        <w:trPr>
          <w:trHeight w:val="22"/>
        </w:trPr>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1"/>
        </w:trPr>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Third Swap</w:t>
            </w: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20, 2024</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31, 2027</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3.395 %</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r>
      <w:tr>
        <w:trPr>
          <w:trHeight w:val="22"/>
        </w:trPr>
        <w:tc>
          <w:tcPr>
            <w:tcW w:w="16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Swap Agreements are accounted for as derivatives whereby the fair value of the contract is reported within the unaudited condensed consolidated balance sheets, and related gains or losses resulting from changes in the fair value are reported in interest and other expense, net, in the unaudited condensed consolidated statements of operations and comprehensive income (loss). As of March 31, 2026, the fair value of the Initial and Second Swaps were a liability of $2.2 million, while the fair value of the Third Swap was an asset of $0.5 million, which are reported in other non-current liabilities and other non-current assets, respectively, on the unaudited condensed consolidated balance sheets. The related gains and losses resulting from changes in fair value were a gain of $3.0 million and a loss of $3.9 million during the three months ended March 31, 2026 and 2025, respectively.</w:t>
      </w:r>
    </w:p>
    <w:p>
      <w:pPr>
        <w:spacing w:after="0" w:line="3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Credit Facilities are subject to certain financial and nonfinancial covenants and are secured by substantially all assets of the Company. As of March 31, 2026, the Company was in compliance with all of its covenants.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Aggregate maturities of the Company’s debt for the years ending December 31 are as follows as of March 31, 2026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ending December 31:</w:t>
            </w: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2"/>
        </w:trPr>
        <w:tc>
          <w:tcPr>
            <w:tcW w:w="9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9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2026 (remainder of year)</w:t>
            </w:r>
          </w:p>
        </w:tc>
        <w:tc>
          <w:tcPr>
            <w:tcW w:w="520" w:type="dxa"/>
            <w:vAlign w:val="bottom"/>
            <w:tcBorders>
              <w:bottom w:val="single" w:sz="8" w:color="CCEEFF"/>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4,125</w:t>
            </w:r>
          </w:p>
        </w:tc>
      </w:tr>
      <w:tr>
        <w:trPr>
          <w:trHeight w:val="191"/>
        </w:trPr>
        <w:tc>
          <w:tcPr>
            <w:tcW w:w="9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2027</w:t>
            </w: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w:t>
            </w:r>
          </w:p>
        </w:tc>
      </w:tr>
      <w:tr>
        <w:trPr>
          <w:trHeight w:val="22"/>
        </w:trPr>
        <w:tc>
          <w:tcPr>
            <w:tcW w:w="9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9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2028</w:t>
            </w:r>
          </w:p>
        </w:tc>
        <w:tc>
          <w:tcPr>
            <w:tcW w:w="5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w:t>
            </w:r>
          </w:p>
        </w:tc>
      </w:tr>
      <w:tr>
        <w:trPr>
          <w:trHeight w:val="191"/>
        </w:trPr>
        <w:tc>
          <w:tcPr>
            <w:tcW w:w="9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2029</w:t>
            </w: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w:t>
            </w:r>
          </w:p>
        </w:tc>
      </w:tr>
      <w:tr>
        <w:trPr>
          <w:trHeight w:val="22"/>
        </w:trPr>
        <w:tc>
          <w:tcPr>
            <w:tcW w:w="9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9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2030</w:t>
            </w:r>
          </w:p>
        </w:tc>
        <w:tc>
          <w:tcPr>
            <w:tcW w:w="5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w:t>
            </w:r>
          </w:p>
        </w:tc>
      </w:tr>
      <w:tr>
        <w:trPr>
          <w:trHeight w:val="191"/>
        </w:trPr>
        <w:tc>
          <w:tcPr>
            <w:tcW w:w="9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Thereafter</w:t>
            </w: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499,125</w:t>
            </w:r>
          </w:p>
        </w:tc>
      </w:tr>
      <w:tr>
        <w:trPr>
          <w:trHeight w:val="22"/>
        </w:trPr>
        <w:tc>
          <w:tcPr>
            <w:tcW w:w="98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8"/>
        </w:trPr>
        <w:tc>
          <w:tcPr>
            <w:tcW w:w="9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aggregate maturities of the Company’s debt</w:t>
            </w:r>
          </w:p>
        </w:tc>
        <w:tc>
          <w:tcPr>
            <w:tcW w:w="52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525,250</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Equity</w:t>
      </w:r>
    </w:p>
    <w:p>
      <w:pPr>
        <w:spacing w:after="0" w:line="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July 6, 2021, the Company filed an Amended and Restated Certificate of Incorporation with the Secretary of State of the State of Delaware to authorize the issuance up to 2,050,000,000 shares, par value $0.00001 per share, consisting of 2,000,000,000 shares of common stock and 50,000,000 shares of preferred stock.</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June 14, 2022, our Board approved a stock repurchase program (as subsequently amended, the “Repurchase Program”) with authorization to purchase up to $50.0 million in shares of the Company’s common stock through the expiration of the program on December 21, 2022. On November 7, 2022, November 5, 2023, May 21, 2024, May 1, 2025 and November 4, 2025, our Board increased the authorization of the Repurchase Program by an additional $50.0 million in shares of the Company’s common stock on each date for a total authorization to repurchase up to $300.0 million in shares of the Company’s common stock through December 31,</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5" w:right="31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3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2026. Repurchases under the program may be made in the open market, in privately negotiated transactions or otherwise, with the amount and timing of repurchases to be determined at the Company’s discretion, depending on market conditions and corporate needs. The Repurchase Program does not obligate the Company to acquire any particular amount of common stock and may be modified, suspended or terminated at any time at the discretion of the Board. The Company expects to fund repurchases with existing cash on hand.</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repurchased and retired 1.3 million shares of common stock pursuant to the Repurchase Program for $13.9 million including transaction fees and taxes, during the three months ended March 31, 2026. As of March 31, 2026, $33.9 million remained available under the Repurchase Program.</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Stock-Based Compensation</w:t>
      </w:r>
    </w:p>
    <w:p>
      <w:pPr>
        <w:spacing w:after="0" w:line="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2016, the Company adopted the 2016 Equity Incentive Plan (the “2016 Plan”). The 2016 Plan provided for the granting of stock-based awards, including stock options, stock appreciation rights, restricted or unrestricted stock awards, phantom stock, performance awards, and other stock-based awards. The 2016 Plan allowed for the granting of stock-based awards through January 17, 2027.</w:t>
      </w:r>
    </w:p>
    <w:p>
      <w:pPr>
        <w:spacing w:after="0" w:line="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connection with the Initial Public Offering (“IPO”), the Company’s Board adopted, and the Company’s stockholders approved, the 2021 Incentive Award Plan (the “2021 Plan”), which became effective immediately prior to the effectiveness of the registration statement for the Company’s IPO and, as a result of which, the Company can no longer make awards under the 2016 Plan. The 2021 Plan provides for the issuance of incentive stock options, non-qualified stock options, stock awards, stock units, stock appreciation rights and other stock-based awards. The number of shares initially reserved for issuance under the 2021 Plan was 22,000,000 shares, inclusive of available shares previously reserved for issuance under the 2016 Plan. In addition, the number of shares reserved for issuance under the 2021 Plan is subject to an annual increase on the first day of each calendar year beginning on January 1, 2022 and ending on and including January 1, 2031, equal to the lesser of (i) 3% of the shares outstanding (on an as-converted basis) on the last day of the immediately preceding fiscal year and (ii) such smaller number of shares as determined by the Company’s Board, provided that no more than 22,000,000 shares may be issued upon the exercise of incentive stock options. On November 4, 2025, the Company’s Board determined that no additional shares would be added to the 2021 Plan share reserve on January 1, 2026 pursuant to the 2021 Plan’s evergreen increase feature. Based on the Company’s outstanding shares of the Company’s common stock as of December 31, 2024, as of January 1, 2025 the number of shares reserved for issuance under the 2021 Plan increased by 5.5 million.</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connection with the IPO, the Company’s Board adopted the 2021 Employee Stock Purchase Plan (the “ESPP”). For more information on the ESPP, refer to Note 12. Stock-Based Compensation in the Annual Report on Form 10-K.</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RSU and stock option activity for the three months ended March 31, 2026:</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300" w:type="dxa"/>
            <w:vAlign w:val="bottom"/>
          </w:tcPr>
          <w:p>
            <w:pPr>
              <w:spacing w:after="0"/>
              <w:rPr>
                <w:sz w:val="15"/>
                <w:szCs w:val="15"/>
                <w:color w:val="auto"/>
              </w:rPr>
            </w:pPr>
          </w:p>
        </w:tc>
        <w:tc>
          <w:tcPr>
            <w:tcW w:w="9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3"/>
                <w:szCs w:val="13"/>
                <w:b w:val="1"/>
                <w:bCs w:val="1"/>
                <w:color w:val="auto"/>
              </w:rPr>
              <w:t>RSUs</w:t>
            </w:r>
          </w:p>
        </w:tc>
        <w:tc>
          <w:tcPr>
            <w:tcW w:w="4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w w:val="96"/>
              </w:rPr>
              <w:t>Stock Options</w:t>
            </w:r>
          </w:p>
        </w:tc>
      </w:tr>
      <w:tr>
        <w:trPr>
          <w:trHeight w:val="182"/>
        </w:trPr>
        <w:tc>
          <w:tcPr>
            <w:tcW w:w="8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gridSpan w:val="3"/>
          </w:tcPr>
          <w:p>
            <w:pPr>
              <w:ind w:left="140"/>
              <w:spacing w:after="0"/>
              <w:rPr>
                <w:sz w:val="20"/>
                <w:szCs w:val="20"/>
                <w:color w:val="auto"/>
              </w:rPr>
            </w:pPr>
            <w:r>
              <w:rPr>
                <w:rFonts w:ascii="Times New Roman" w:cs="Times New Roman" w:eastAsia="Times New Roman" w:hAnsi="Times New Roman"/>
                <w:sz w:val="13"/>
                <w:szCs w:val="13"/>
                <w:i w:val="1"/>
                <w:iCs w:val="1"/>
                <w:color w:val="auto"/>
                <w:w w:val="96"/>
              </w:rPr>
              <w:t>(in thousands)</w:t>
            </w:r>
          </w:p>
        </w:tc>
        <w:tc>
          <w:tcPr>
            <w:tcW w:w="1120" w:type="dxa"/>
            <w:vAlign w:val="bottom"/>
          </w:tcPr>
          <w:p>
            <w:pPr>
              <w:spacing w:after="0"/>
              <w:rPr>
                <w:sz w:val="15"/>
                <w:szCs w:val="15"/>
                <w:color w:val="auto"/>
              </w:rPr>
            </w:pPr>
          </w:p>
        </w:tc>
      </w:tr>
      <w:tr>
        <w:trPr>
          <w:trHeight w:val="200"/>
        </w:trPr>
        <w:tc>
          <w:tcPr>
            <w:tcW w:w="9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January 1, 2026</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4,590</w:t>
            </w:r>
          </w:p>
        </w:tc>
        <w:tc>
          <w:tcPr>
            <w:tcW w:w="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13,478</w:t>
            </w:r>
          </w:p>
        </w:tc>
      </w:tr>
      <w:tr>
        <w:trPr>
          <w:trHeight w:val="191"/>
        </w:trPr>
        <w:tc>
          <w:tcPr>
            <w:tcW w:w="92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2,594</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8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92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Vested or exercised</w:t>
            </w:r>
          </w:p>
        </w:tc>
        <w:tc>
          <w:tcPr>
            <w:tcW w:w="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(488)</w:t>
            </w: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91"/>
        </w:trPr>
        <w:tc>
          <w:tcPr>
            <w:tcW w:w="92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Cancelled or forfeited</w:t>
            </w:r>
          </w:p>
        </w:tc>
        <w:tc>
          <w:tcPr>
            <w:tcW w:w="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(808)</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(2,297)</w:t>
            </w:r>
          </w:p>
        </w:tc>
      </w:tr>
      <w:tr>
        <w:trPr>
          <w:trHeight w:val="22"/>
        </w:trPr>
        <w:tc>
          <w:tcPr>
            <w:tcW w:w="83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9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March 31, 2026</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5,888</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11,112</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31, 2026, total unrecognized compensation expense was $55.3 million and $1.8 million related to outstanding RSUs and stock options, respectively.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Stock-based compensation expense from continuing operations was classified on the unaudited condensed consolidated statements of operations and comprehensive income (loss) as follows:</w:t>
      </w:r>
    </w:p>
    <w:p>
      <w:pPr>
        <w:spacing w:after="0" w:line="117"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18"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5271770</wp:posOffset>
            </wp:positionH>
            <wp:positionV relativeFrom="paragraph">
              <wp:posOffset>15875</wp:posOffset>
            </wp:positionV>
            <wp:extent cx="189293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92935" cy="698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300" w:type="dxa"/>
            <w:vAlign w:val="bottom"/>
          </w:tcPr>
          <w:p>
            <w:pPr>
              <w:spacing w:after="0"/>
              <w:rPr>
                <w:sz w:val="15"/>
                <w:szCs w:val="15"/>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2026</w:t>
            </w:r>
          </w:p>
        </w:tc>
        <w:tc>
          <w:tcPr>
            <w:tcW w:w="5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82"/>
        </w:trPr>
        <w:tc>
          <w:tcPr>
            <w:tcW w:w="8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gridSpan w:val="3"/>
          </w:tcPr>
          <w:p>
            <w:pPr>
              <w:jc w:val="right"/>
              <w:ind w:right="69"/>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980" w:type="dxa"/>
            <w:vAlign w:val="bottom"/>
          </w:tcPr>
          <w:p>
            <w:pPr>
              <w:spacing w:after="0"/>
              <w:rPr>
                <w:sz w:val="15"/>
                <w:szCs w:val="15"/>
                <w:color w:val="auto"/>
              </w:rPr>
            </w:pPr>
          </w:p>
        </w:tc>
      </w:tr>
      <w:tr>
        <w:trPr>
          <w:trHeight w:val="20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revenues</w:t>
            </w:r>
          </w:p>
        </w:tc>
        <w:tc>
          <w:tcPr>
            <w:tcW w:w="960" w:type="dxa"/>
            <w:vAlign w:val="bottom"/>
            <w:tcBorders>
              <w:bottom w:val="single" w:sz="8" w:color="CCEEFF"/>
            </w:tcBorders>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19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9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r>
      <w:tr>
        <w:trPr>
          <w:trHeight w:val="22"/>
        </w:trPr>
        <w:tc>
          <w:tcPr>
            <w:tcW w:w="8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2"/>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 development</w:t>
            </w:r>
          </w:p>
        </w:tc>
        <w:tc>
          <w:tcPr>
            <w:tcW w:w="9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r>
      <w:tr>
        <w:trPr>
          <w:trHeight w:val="19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4,785</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5,878</w:t>
            </w:r>
          </w:p>
        </w:tc>
      </w:tr>
      <w:tr>
        <w:trPr>
          <w:trHeight w:val="22"/>
        </w:trPr>
        <w:tc>
          <w:tcPr>
            <w:tcW w:w="83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8"/>
        </w:trPr>
        <w:tc>
          <w:tcPr>
            <w:tcW w:w="8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96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5,881</w:t>
            </w:r>
          </w:p>
        </w:tc>
        <w:tc>
          <w:tcPr>
            <w:tcW w:w="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6,755</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5" w:right="3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Net Income (Loss) Per Share Attributable to Common Stockholders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calculation of basic and diluted net income (loss) per share for the Company’s common stock as of:</w:t>
      </w:r>
    </w:p>
    <w:p>
      <w:pPr>
        <w:spacing w:after="0" w:line="138"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15"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5271770</wp:posOffset>
            </wp:positionH>
            <wp:positionV relativeFrom="paragraph">
              <wp:posOffset>17780</wp:posOffset>
            </wp:positionV>
            <wp:extent cx="189293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92935" cy="6985"/>
                    </a:xfrm>
                    <a:prstGeom prst="rect">
                      <a:avLst/>
                    </a:prstGeom>
                    <a:noFill/>
                  </pic:spPr>
                </pic:pic>
              </a:graphicData>
            </a:graphic>
          </wp:anchor>
        </w:drawing>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30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5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74"/>
        </w:trPr>
        <w:tc>
          <w:tcPr>
            <w:tcW w:w="8300" w:type="dxa"/>
            <w:vAlign w:val="bottom"/>
          </w:tcPr>
          <w:p>
            <w:pPr>
              <w:spacing w:after="0"/>
              <w:rPr>
                <w:sz w:val="15"/>
                <w:szCs w:val="15"/>
                <w:color w:val="auto"/>
              </w:rPr>
            </w:pPr>
          </w:p>
        </w:tc>
        <w:tc>
          <w:tcPr>
            <w:tcW w:w="2980" w:type="dxa"/>
            <w:vAlign w:val="bottom"/>
            <w:gridSpan w:val="5"/>
          </w:tcPr>
          <w:p>
            <w:pPr>
              <w:jc w:val="right"/>
              <w:ind w:right="390"/>
              <w:spacing w:after="0"/>
              <w:rPr>
                <w:sz w:val="20"/>
                <w:szCs w:val="20"/>
                <w:color w:val="auto"/>
              </w:rPr>
            </w:pPr>
            <w:r>
              <w:rPr>
                <w:rFonts w:ascii="Times New Roman" w:cs="Times New Roman" w:eastAsia="Times New Roman" w:hAnsi="Times New Roman"/>
                <w:sz w:val="13"/>
                <w:szCs w:val="13"/>
                <w:i w:val="1"/>
                <w:iCs w:val="1"/>
                <w:color w:val="auto"/>
              </w:rPr>
              <w:t>(in thousands except per share amounts)</w:t>
            </w:r>
          </w:p>
        </w:tc>
      </w:tr>
      <w:tr>
        <w:trPr>
          <w:trHeight w:val="57"/>
        </w:trPr>
        <w:tc>
          <w:tcPr>
            <w:tcW w:w="8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192"/>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9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r>
      <w:tr>
        <w:trPr>
          <w:trHeight w:val="191"/>
        </w:trPr>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900" w:type="dxa"/>
            <w:vAlign w:val="bottom"/>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7,171</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w:t>
            </w:r>
          </w:p>
        </w:tc>
      </w:tr>
      <w:tr>
        <w:trPr>
          <w:trHeight w:val="22"/>
        </w:trPr>
        <w:tc>
          <w:tcPr>
            <w:tcW w:w="8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2"/>
        </w:trPr>
        <w:tc>
          <w:tcPr>
            <w:tcW w:w="8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from discontinued operations, net of income tax</w:t>
            </w:r>
          </w:p>
        </w:tc>
        <w:tc>
          <w:tcPr>
            <w:tcW w:w="9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(8,647)</w:t>
            </w:r>
          </w:p>
        </w:tc>
      </w:tr>
      <w:tr>
        <w:trPr>
          <w:trHeight w:val="181"/>
        </w:trPr>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 attributable to common stockholders.</w:t>
            </w:r>
          </w:p>
        </w:tc>
        <w:tc>
          <w:tcPr>
            <w:tcW w:w="900" w:type="dxa"/>
            <w:vAlign w:val="bottom"/>
            <w:tcBorders>
              <w:top w:val="single" w:sz="8" w:color="auto"/>
            </w:tcBorders>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7,171</w:t>
            </w:r>
          </w:p>
        </w:tc>
        <w:tc>
          <w:tcPr>
            <w:tcW w:w="60" w:type="dxa"/>
            <w:vAlign w:val="bottom"/>
          </w:tcPr>
          <w:p>
            <w:pPr>
              <w:spacing w:after="0"/>
              <w:rPr>
                <w:sz w:val="15"/>
                <w:szCs w:val="15"/>
                <w:color w:val="auto"/>
              </w:rPr>
            </w:pPr>
          </w:p>
        </w:tc>
        <w:tc>
          <w:tcPr>
            <w:tcW w:w="36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(7,713)</w:t>
            </w:r>
          </w:p>
        </w:tc>
      </w:tr>
      <w:tr>
        <w:trPr>
          <w:trHeight w:val="22"/>
        </w:trPr>
        <w:tc>
          <w:tcPr>
            <w:tcW w:w="8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31"/>
        </w:trPr>
        <w:tc>
          <w:tcPr>
            <w:tcW w:w="83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19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
        </w:trPr>
        <w:tc>
          <w:tcPr>
            <w:tcW w:w="8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2"/>
        </w:trPr>
        <w:tc>
          <w:tcPr>
            <w:tcW w:w="8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Weighted-average shares of common stock outstanding, basic</w:t>
            </w:r>
          </w:p>
        </w:tc>
        <w:tc>
          <w:tcPr>
            <w:tcW w:w="9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177,679</w:t>
            </w: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183,468</w:t>
            </w:r>
          </w:p>
        </w:tc>
      </w:tr>
      <w:tr>
        <w:trPr>
          <w:trHeight w:val="191"/>
        </w:trPr>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Weighted-average shares of common stock outstanding, diluted</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180,416</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185,222</w:t>
            </w:r>
          </w:p>
        </w:tc>
      </w:tr>
      <w:tr>
        <w:trPr>
          <w:trHeight w:val="22"/>
        </w:trPr>
        <w:tc>
          <w:tcPr>
            <w:tcW w:w="8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70"/>
        </w:trPr>
        <w:tc>
          <w:tcPr>
            <w:tcW w:w="8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9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per share attributable to common stockholders, basic:</w:t>
            </w: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
        </w:trPr>
        <w:tc>
          <w:tcPr>
            <w:tcW w:w="8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2"/>
        </w:trPr>
        <w:tc>
          <w:tcPr>
            <w:tcW w:w="8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Continuing operations</w:t>
            </w:r>
          </w:p>
        </w:tc>
        <w:tc>
          <w:tcPr>
            <w:tcW w:w="900" w:type="dxa"/>
            <w:vAlign w:val="bottom"/>
            <w:tcBorders>
              <w:bottom w:val="single" w:sz="8" w:color="CCEEFF"/>
            </w:tcBorders>
            <w:shd w:val="clear" w:color="auto" w:fill="CCEEFF"/>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r>
      <w:tr>
        <w:trPr>
          <w:trHeight w:val="191"/>
        </w:trPr>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Discontinued operations</w:t>
            </w:r>
          </w:p>
        </w:tc>
        <w:tc>
          <w:tcPr>
            <w:tcW w:w="90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r>
      <w:tr>
        <w:trPr>
          <w:trHeight w:val="22"/>
        </w:trPr>
        <w:tc>
          <w:tcPr>
            <w:tcW w:w="83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8"/>
        </w:trPr>
        <w:tc>
          <w:tcPr>
            <w:tcW w:w="8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income (loss) per share</w:t>
            </w:r>
          </w:p>
        </w:tc>
        <w:tc>
          <w:tcPr>
            <w:tcW w:w="900" w:type="dxa"/>
            <w:vAlign w:val="bottom"/>
            <w:tcBorders>
              <w:bottom w:val="single" w:sz="8" w:color="auto"/>
            </w:tcBorders>
            <w:shd w:val="clear" w:color="auto" w:fill="CCEEFF"/>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8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192"/>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per share attributable to common stockholders, diluted:</w:t>
            </w:r>
          </w:p>
        </w:tc>
        <w:tc>
          <w:tcPr>
            <w:tcW w:w="9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r>
      <w:tr>
        <w:trPr>
          <w:trHeight w:val="191"/>
        </w:trPr>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Continuing operations</w:t>
            </w:r>
          </w:p>
        </w:tc>
        <w:tc>
          <w:tcPr>
            <w:tcW w:w="900" w:type="dxa"/>
            <w:vAlign w:val="bottom"/>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60" w:type="dxa"/>
            <w:vAlign w:val="bottom"/>
          </w:tcPr>
          <w:p>
            <w:pPr>
              <w:spacing w:after="0"/>
              <w:rPr>
                <w:sz w:val="16"/>
                <w:szCs w:val="16"/>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r>
      <w:tr>
        <w:trPr>
          <w:trHeight w:val="22"/>
        </w:trPr>
        <w:tc>
          <w:tcPr>
            <w:tcW w:w="8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2"/>
        </w:trPr>
        <w:tc>
          <w:tcPr>
            <w:tcW w:w="8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Discontinued operations</w:t>
            </w:r>
          </w:p>
        </w:tc>
        <w:tc>
          <w:tcPr>
            <w:tcW w:w="9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r>
      <w:tr>
        <w:trPr>
          <w:trHeight w:val="203"/>
        </w:trPr>
        <w:tc>
          <w:tcPr>
            <w:tcW w:w="8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 (loss) per share</w:t>
            </w:r>
          </w:p>
        </w:tc>
        <w:tc>
          <w:tcPr>
            <w:tcW w:w="900" w:type="dxa"/>
            <w:vAlign w:val="bottom"/>
            <w:tcBorders>
              <w:top w:val="single" w:sz="8" w:color="auto"/>
              <w:bottom w:val="single" w:sz="8" w:color="auto"/>
            </w:tcBorders>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6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(0.04)</w:t>
            </w:r>
          </w:p>
        </w:tc>
      </w:tr>
      <w:tr>
        <w:trPr>
          <w:trHeight w:val="20"/>
        </w:trPr>
        <w:tc>
          <w:tcPr>
            <w:tcW w:w="8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table illustrates the reconciliation of the denominators of the basic and diluted EPS computations for income (loss) from continuing operations and loss from discontinued operations, net of income tax.</w:t>
      </w:r>
    </w:p>
    <w:p>
      <w:pPr>
        <w:spacing w:after="0" w:line="84"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15"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5271770</wp:posOffset>
            </wp:positionH>
            <wp:positionV relativeFrom="paragraph">
              <wp:posOffset>17780</wp:posOffset>
            </wp:positionV>
            <wp:extent cx="189293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92935" cy="6985"/>
                    </a:xfrm>
                    <a:prstGeom prst="rect">
                      <a:avLst/>
                    </a:prstGeom>
                    <a:noFill/>
                  </pic:spPr>
                </pic:pic>
              </a:graphicData>
            </a:graphic>
          </wp:anchor>
        </w:drawing>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00" w:type="dxa"/>
            <w:vAlign w:val="bottom"/>
            <w:gridSpan w:val="2"/>
          </w:tcPr>
          <w:p>
            <w:pPr>
              <w:ind w:left="8900"/>
              <w:spacing w:after="0"/>
              <w:rPr>
                <w:sz w:val="20"/>
                <w:szCs w:val="20"/>
                <w:color w:val="auto"/>
              </w:rPr>
            </w:pPr>
            <w:r>
              <w:rPr>
                <w:rFonts w:ascii="Times New Roman" w:cs="Times New Roman" w:eastAsia="Times New Roman" w:hAnsi="Times New Roman"/>
                <w:sz w:val="13"/>
                <w:szCs w:val="13"/>
                <w:b w:val="1"/>
                <w:bCs w:val="1"/>
                <w:color w:val="auto"/>
              </w:rPr>
              <w:t>2026</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530"/>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82"/>
        </w:trPr>
        <w:tc>
          <w:tcPr>
            <w:tcW w:w="83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980" w:type="dxa"/>
            <w:vAlign w:val="bottom"/>
            <w:tcBorders>
              <w:top w:val="single" w:sz="8" w:color="auto"/>
            </w:tcBorders>
          </w:tcPr>
          <w:p>
            <w:pPr>
              <w:spacing w:after="0"/>
              <w:rPr>
                <w:sz w:val="15"/>
                <w:szCs w:val="15"/>
                <w:color w:val="auto"/>
              </w:rPr>
            </w:pPr>
          </w:p>
        </w:tc>
      </w:tr>
      <w:tr>
        <w:trPr>
          <w:trHeight w:val="200"/>
        </w:trPr>
        <w:tc>
          <w:tcPr>
            <w:tcW w:w="9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shares of common stock outstanding, basic</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177,679</w:t>
            </w:r>
          </w:p>
        </w:tc>
        <w:tc>
          <w:tcPr>
            <w:tcW w:w="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183,468</w:t>
            </w:r>
          </w:p>
        </w:tc>
      </w:tr>
      <w:tr>
        <w:trPr>
          <w:trHeight w:val="191"/>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Shares of common stock subject to outstanding RSUs</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r>
      <w:tr>
        <w:trPr>
          <w:trHeight w:val="22"/>
        </w:trPr>
        <w:tc>
          <w:tcPr>
            <w:tcW w:w="8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2"/>
        </w:trPr>
        <w:tc>
          <w:tcPr>
            <w:tcW w:w="9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of common stock subject to outstanding options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w:t>
            </w:r>
          </w:p>
        </w:tc>
      </w:tr>
      <w:tr>
        <w:trPr>
          <w:trHeight w:val="191"/>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Shares of common stock pursuant to ESPP</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r>
      <w:tr>
        <w:trPr>
          <w:trHeight w:val="22"/>
        </w:trPr>
        <w:tc>
          <w:tcPr>
            <w:tcW w:w="83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9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shares of common stock outstanding, diluted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180,416</w:t>
            </w: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185,222</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outstanding potentially dilutive common stock equivalents have been excluded from the computation of diluted net loss per share attributable to common stockholders for the periods presented due to their anti-dilutive effect as of:</w:t>
      </w:r>
    </w:p>
    <w:p>
      <w:pPr>
        <w:spacing w:after="0" w:line="84"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18"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5271770</wp:posOffset>
            </wp:positionH>
            <wp:positionV relativeFrom="paragraph">
              <wp:posOffset>15875</wp:posOffset>
            </wp:positionV>
            <wp:extent cx="189293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92935" cy="698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2026</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532"/>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82"/>
        </w:trPr>
        <w:tc>
          <w:tcPr>
            <w:tcW w:w="83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300" w:type="dxa"/>
            <w:vAlign w:val="bottom"/>
            <w:tcBorders>
              <w:bottom w:val="single" w:sz="8" w:color="CCEEFF"/>
            </w:tcBorders>
            <w:shd w:val="clear" w:color="auto" w:fill="CCEEFF"/>
          </w:tcPr>
          <w:p>
            <w:pPr>
              <w:jc w:val="right"/>
              <w:ind w:right="5591"/>
              <w:spacing w:after="0"/>
              <w:rPr>
                <w:sz w:val="20"/>
                <w:szCs w:val="20"/>
                <w:color w:val="auto"/>
              </w:rPr>
            </w:pPr>
            <w:r>
              <w:rPr>
                <w:rFonts w:ascii="Times New Roman" w:cs="Times New Roman" w:eastAsia="Times New Roman" w:hAnsi="Times New Roman"/>
                <w:sz w:val="14"/>
                <w:szCs w:val="14"/>
                <w:color w:val="auto"/>
              </w:rPr>
              <w:t>Outstanding stock options and unvested RSUs</w:t>
            </w:r>
          </w:p>
        </w:tc>
        <w:tc>
          <w:tcPr>
            <w:tcW w:w="9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14,494</w:t>
            </w:r>
          </w:p>
        </w:tc>
        <w:tc>
          <w:tcPr>
            <w:tcW w:w="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19,612</w:t>
            </w:r>
          </w:p>
        </w:tc>
        <w:tc>
          <w:tcPr>
            <w:tcW w:w="0" w:type="dxa"/>
            <w:vAlign w:val="bottom"/>
          </w:tcPr>
          <w:p>
            <w:pPr>
              <w:spacing w:after="0"/>
              <w:rPr>
                <w:sz w:val="1"/>
                <w:szCs w:val="1"/>
                <w:color w:val="auto"/>
              </w:rPr>
            </w:pPr>
          </w:p>
        </w:tc>
      </w:tr>
      <w:tr>
        <w:trPr>
          <w:trHeight w:val="202"/>
        </w:trPr>
        <w:tc>
          <w:tcPr>
            <w:tcW w:w="8300" w:type="dxa"/>
            <w:vAlign w:val="bottom"/>
          </w:tcPr>
          <w:p>
            <w:pPr>
              <w:jc w:val="right"/>
              <w:ind w:right="4931"/>
              <w:spacing w:after="0"/>
              <w:rPr>
                <w:sz w:val="20"/>
                <w:szCs w:val="20"/>
                <w:color w:val="auto"/>
              </w:rPr>
            </w:pPr>
            <w:r>
              <w:rPr>
                <w:rFonts w:ascii="Times New Roman" w:cs="Times New Roman" w:eastAsia="Times New Roman" w:hAnsi="Times New Roman"/>
                <w:sz w:val="14"/>
                <w:szCs w:val="14"/>
                <w:color w:val="auto"/>
              </w:rPr>
              <w:t>Total anti-dilutive outstanding potential common stock</w:t>
            </w:r>
          </w:p>
        </w:tc>
        <w:tc>
          <w:tcPr>
            <w:tcW w:w="94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14,494</w:t>
            </w:r>
          </w:p>
        </w:tc>
        <w:tc>
          <w:tcPr>
            <w:tcW w:w="60" w:type="dxa"/>
            <w:vAlign w:val="bottom"/>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19,612</w:t>
            </w:r>
          </w:p>
        </w:tc>
        <w:tc>
          <w:tcPr>
            <w:tcW w:w="0" w:type="dxa"/>
            <w:vAlign w:val="bottom"/>
          </w:tcPr>
          <w:p>
            <w:pPr>
              <w:spacing w:after="0"/>
              <w:rPr>
                <w:sz w:val="1"/>
                <w:szCs w:val="1"/>
                <w:color w:val="auto"/>
              </w:rPr>
            </w:pPr>
          </w:p>
        </w:tc>
      </w:tr>
      <w:tr>
        <w:trPr>
          <w:trHeight w:val="20"/>
        </w:trPr>
        <w:tc>
          <w:tcPr>
            <w:tcW w:w="8300" w:type="dxa"/>
            <w:vAlign w:val="bottom"/>
            <w:vMerge w:val="restart"/>
          </w:tcPr>
          <w:p>
            <w:pPr>
              <w:jc w:val="right"/>
              <w:ind w:right="2511"/>
              <w:spacing w:after="0"/>
              <w:rPr>
                <w:sz w:val="20"/>
                <w:szCs w:val="20"/>
                <w:color w:val="auto"/>
              </w:rPr>
            </w:pPr>
            <w:r>
              <w:rPr>
                <w:rFonts w:ascii="Times New Roman" w:cs="Times New Roman" w:eastAsia="Times New Roman" w:hAnsi="Times New Roman"/>
                <w:sz w:val="14"/>
                <w:szCs w:val="14"/>
                <w:color w:val="auto"/>
              </w:rPr>
              <w:t>15</w:t>
            </w: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1"/>
        </w:trPr>
        <w:tc>
          <w:tcPr>
            <w:tcW w:w="83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83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65" w:right="3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Fair Value of Financial Instruments</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3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spacing w:after="0" w:line="37"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Level 1: </w:t>
      </w:r>
      <w:r>
        <w:rPr>
          <w:rFonts w:ascii="Times New Roman" w:cs="Times New Roman" w:eastAsia="Times New Roman" w:hAnsi="Times New Roman"/>
          <w:sz w:val="14"/>
          <w:szCs w:val="14"/>
          <w:color w:val="auto"/>
        </w:rPr>
        <w:t>Valuations based on quoted prices in active markets for identical assets or liabilities that an entity has the ability to access.</w:t>
      </w:r>
    </w:p>
    <w:p>
      <w:pPr>
        <w:spacing w:after="0" w:line="93" w:lineRule="exact"/>
        <w:rPr>
          <w:rFonts w:ascii="Times New Roman" w:cs="Times New Roman" w:eastAsia="Times New Roman" w:hAnsi="Times New Roman"/>
          <w:sz w:val="14"/>
          <w:szCs w:val="14"/>
          <w:b w:val="1"/>
          <w:bCs w:val="1"/>
          <w:color w:val="auto"/>
        </w:rPr>
      </w:pPr>
    </w:p>
    <w:p>
      <w:pPr>
        <w:ind w:left="520" w:hanging="260"/>
        <w:spacing w:after="0" w:line="290"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Level 2: </w:t>
      </w:r>
      <w:r>
        <w:rPr>
          <w:rFonts w:ascii="Times New Roman" w:cs="Times New Roman" w:eastAsia="Times New Roman" w:hAnsi="Times New Roman"/>
          <w:sz w:val="14"/>
          <w:szCs w:val="14"/>
          <w:color w:val="auto"/>
        </w:rPr>
        <w:t>Valuations based on quoted prices for similar assets or liabilities, quoted prices for identical assets or liabilities in markets that are not active, or other inputs that are observable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can be corroborated by observable data for substantially the full term of the assets or liabilities.</w:t>
      </w:r>
    </w:p>
    <w:p>
      <w:pPr>
        <w:spacing w:after="0" w:line="3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Level 3: </w:t>
      </w:r>
      <w:r>
        <w:rPr>
          <w:rFonts w:ascii="Times New Roman" w:cs="Times New Roman" w:eastAsia="Times New Roman" w:hAnsi="Times New Roman"/>
          <w:sz w:val="14"/>
          <w:szCs w:val="14"/>
          <w:color w:val="auto"/>
        </w:rPr>
        <w:t>Valuations based on inputs that are supported by little or no market activity and that are significant to the fair value of the assets or liabilities.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carrying value of cash and cash equivalents, accounts receivable, contract assets and accounts payable approximate their fair value because of the short-term nature of these instruments. Our interest rate swaps are valued based upon interest yield curves, interest rate volatility and credit spreads. Our interest rate swaps are classified within Level 2 of the fair value hierarchy as all significant inputs are corroborated by observable data.</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transfers between fair value measurement levels during the three months ended March 31, 2026 and 2025.</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information about our financial assets and liabilities measured at fair value on a recurring basis as of:</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center"/>
              <w:ind w:right="171"/>
              <w:spacing w:after="0"/>
              <w:rPr>
                <w:sz w:val="20"/>
                <w:szCs w:val="20"/>
                <w:color w:val="auto"/>
              </w:rPr>
            </w:pPr>
            <w:r>
              <w:rPr>
                <w:rFonts w:ascii="Times New Roman" w:cs="Times New Roman" w:eastAsia="Times New Roman" w:hAnsi="Times New Roman"/>
                <w:sz w:val="13"/>
                <w:szCs w:val="13"/>
                <w:b w:val="1"/>
                <w:bCs w:val="1"/>
                <w:color w:val="auto"/>
                <w:w w:val="97"/>
              </w:rPr>
              <w:t>March 31, 2026</w:t>
            </w: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2"/>
        </w:trPr>
        <w:tc>
          <w:tcPr>
            <w:tcW w:w="37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4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5"/>
                <w:szCs w:val="15"/>
                <w:color w:val="auto"/>
              </w:rPr>
            </w:pPr>
          </w:p>
        </w:tc>
        <w:tc>
          <w:tcPr>
            <w:tcW w:w="26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3"/>
                <w:szCs w:val="13"/>
                <w:b w:val="1"/>
                <w:bCs w:val="1"/>
                <w:color w:val="auto"/>
              </w:rPr>
              <w:t>Balance Sheet Classification</w:t>
            </w:r>
          </w:p>
        </w:tc>
      </w:tr>
      <w:tr>
        <w:trPr>
          <w:trHeight w:val="182"/>
        </w:trPr>
        <w:tc>
          <w:tcPr>
            <w:tcW w:w="3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2"/>
          </w:tcPr>
          <w:p>
            <w:pPr>
              <w:jc w:val="center"/>
              <w:ind w:left="493"/>
              <w:spacing w:after="0"/>
              <w:rPr>
                <w:sz w:val="20"/>
                <w:szCs w:val="20"/>
                <w:color w:val="auto"/>
              </w:rPr>
            </w:pPr>
            <w:r>
              <w:rPr>
                <w:rFonts w:ascii="Times New Roman" w:cs="Times New Roman" w:eastAsia="Times New Roman" w:hAnsi="Times New Roman"/>
                <w:sz w:val="13"/>
                <w:szCs w:val="13"/>
                <w:i w:val="1"/>
                <w:iCs w:val="1"/>
                <w:color w:val="auto"/>
                <w:w w:val="98"/>
              </w:rPr>
              <w:t>(in thousands)</w:t>
            </w: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20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7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spacing w:after="0"/>
              <w:rPr>
                <w:sz w:val="17"/>
                <w:szCs w:val="17"/>
                <w:color w:val="auto"/>
              </w:rPr>
            </w:pPr>
          </w:p>
        </w:tc>
      </w:tr>
      <w:tr>
        <w:trPr>
          <w:trHeight w:val="191"/>
        </w:trPr>
        <w:tc>
          <w:tcPr>
            <w:tcW w:w="3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Money market</w:t>
            </w:r>
          </w:p>
        </w:tc>
        <w:tc>
          <w:tcPr>
            <w:tcW w:w="760" w:type="dxa"/>
            <w:vAlign w:val="bottom"/>
          </w:tcPr>
          <w:p>
            <w:pPr>
              <w:jc w:val="right"/>
              <w:ind w:right="612"/>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95"/>
              </w:rPr>
              <w:t>4,781</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4,781</w:t>
            </w:r>
          </w:p>
        </w:tc>
        <w:tc>
          <w:tcPr>
            <w:tcW w:w="8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Cash equivalents</w:t>
            </w:r>
          </w:p>
        </w:tc>
      </w:tr>
      <w:tr>
        <w:trPr>
          <w:trHeight w:val="22"/>
        </w:trPr>
        <w:tc>
          <w:tcPr>
            <w:tcW w:w="3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2"/>
        </w:trPr>
        <w:tc>
          <w:tcPr>
            <w:tcW w:w="3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rate swaps</w:t>
            </w:r>
          </w:p>
        </w:tc>
        <w:tc>
          <w:tcPr>
            <w:tcW w:w="7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485</w:t>
            </w:r>
          </w:p>
        </w:tc>
        <w:tc>
          <w:tcPr>
            <w:tcW w:w="4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80" w:type="dxa"/>
            <w:vAlign w:val="bottom"/>
            <w:tcBorders>
              <w:bottom w:val="single" w:sz="8" w:color="CCEEFF"/>
            </w:tcBorders>
            <w:shd w:val="clear" w:color="auto" w:fill="CCEEFF"/>
          </w:tcPr>
          <w:p>
            <w:pPr>
              <w:spacing w:after="0"/>
              <w:rPr>
                <w:sz w:val="16"/>
                <w:szCs w:val="16"/>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assets</w:t>
            </w:r>
          </w:p>
        </w:tc>
      </w:tr>
      <w:tr>
        <w:trPr>
          <w:trHeight w:val="191"/>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22"/>
        </w:trPr>
        <w:tc>
          <w:tcPr>
            <w:tcW w:w="3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2"/>
        </w:trPr>
        <w:tc>
          <w:tcPr>
            <w:tcW w:w="3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rate swaps</w:t>
            </w:r>
          </w:p>
        </w:tc>
        <w:tc>
          <w:tcPr>
            <w:tcW w:w="760" w:type="dxa"/>
            <w:vAlign w:val="bottom"/>
            <w:tcBorders>
              <w:bottom w:val="single" w:sz="8" w:color="CCEEFF"/>
            </w:tcBorders>
            <w:shd w:val="clear" w:color="auto" w:fill="CCEEFF"/>
          </w:tcPr>
          <w:p>
            <w:pPr>
              <w:jc w:val="right"/>
              <w:ind w:right="612"/>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2,218</w:t>
            </w:r>
          </w:p>
        </w:tc>
        <w:tc>
          <w:tcPr>
            <w:tcW w:w="40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w:t>
            </w:r>
          </w:p>
        </w:tc>
        <w:tc>
          <w:tcPr>
            <w:tcW w:w="80" w:type="dxa"/>
            <w:vAlign w:val="bottom"/>
            <w:tcBorders>
              <w:bottom w:val="single" w:sz="8" w:color="CCEEFF"/>
            </w:tcBorders>
            <w:shd w:val="clear" w:color="auto" w:fill="CCEEFF"/>
          </w:tcPr>
          <w:p>
            <w:pPr>
              <w:spacing w:after="0"/>
              <w:rPr>
                <w:sz w:val="16"/>
                <w:szCs w:val="16"/>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r>
      <w:tr>
        <w:trPr>
          <w:trHeight w:val="417"/>
        </w:trPr>
        <w:tc>
          <w:tcPr>
            <w:tcW w:w="37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center"/>
              <w:ind w:right="191"/>
              <w:spacing w:after="0"/>
              <w:rPr>
                <w:sz w:val="20"/>
                <w:szCs w:val="20"/>
                <w:color w:val="auto"/>
              </w:rPr>
            </w:pPr>
            <w:r>
              <w:rPr>
                <w:rFonts w:ascii="Times New Roman" w:cs="Times New Roman" w:eastAsia="Times New Roman" w:hAnsi="Times New Roman"/>
                <w:sz w:val="13"/>
                <w:szCs w:val="13"/>
                <w:b w:val="1"/>
                <w:bCs w:val="1"/>
                <w:color w:val="auto"/>
                <w:w w:val="97"/>
              </w:rPr>
              <w:t>December 31, 2025</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182"/>
        </w:trPr>
        <w:tc>
          <w:tcPr>
            <w:tcW w:w="37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4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5"/>
                <w:szCs w:val="15"/>
                <w:color w:val="auto"/>
              </w:rPr>
            </w:pPr>
          </w:p>
        </w:tc>
        <w:tc>
          <w:tcPr>
            <w:tcW w:w="26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3"/>
                <w:szCs w:val="13"/>
                <w:b w:val="1"/>
                <w:bCs w:val="1"/>
                <w:color w:val="auto"/>
              </w:rPr>
              <w:t>Balance Sheet Classification</w:t>
            </w:r>
          </w:p>
        </w:tc>
      </w:tr>
      <w:tr>
        <w:trPr>
          <w:trHeight w:val="182"/>
        </w:trPr>
        <w:tc>
          <w:tcPr>
            <w:tcW w:w="3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2"/>
          </w:tcPr>
          <w:p>
            <w:pPr>
              <w:jc w:val="center"/>
              <w:ind w:left="493"/>
              <w:spacing w:after="0"/>
              <w:rPr>
                <w:sz w:val="20"/>
                <w:szCs w:val="20"/>
                <w:color w:val="auto"/>
              </w:rPr>
            </w:pPr>
            <w:r>
              <w:rPr>
                <w:rFonts w:ascii="Times New Roman" w:cs="Times New Roman" w:eastAsia="Times New Roman" w:hAnsi="Times New Roman"/>
                <w:sz w:val="13"/>
                <w:szCs w:val="13"/>
                <w:i w:val="1"/>
                <w:iCs w:val="1"/>
                <w:color w:val="auto"/>
                <w:w w:val="98"/>
              </w:rPr>
              <w:t>(in thousands)</w:t>
            </w: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20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7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spacing w:after="0"/>
              <w:rPr>
                <w:sz w:val="17"/>
                <w:szCs w:val="17"/>
                <w:color w:val="auto"/>
              </w:rPr>
            </w:pPr>
          </w:p>
        </w:tc>
      </w:tr>
      <w:tr>
        <w:trPr>
          <w:trHeight w:val="191"/>
        </w:trPr>
        <w:tc>
          <w:tcPr>
            <w:tcW w:w="3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Money market</w:t>
            </w:r>
          </w:p>
        </w:tc>
        <w:tc>
          <w:tcPr>
            <w:tcW w:w="760" w:type="dxa"/>
            <w:vAlign w:val="bottom"/>
          </w:tcPr>
          <w:p>
            <w:pPr>
              <w:jc w:val="right"/>
              <w:ind w:right="612"/>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95"/>
              </w:rPr>
              <w:t>2,376</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2,376</w:t>
            </w:r>
          </w:p>
        </w:tc>
        <w:tc>
          <w:tcPr>
            <w:tcW w:w="8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Cash equivalents</w:t>
            </w:r>
          </w:p>
        </w:tc>
      </w:tr>
      <w:tr>
        <w:trPr>
          <w:trHeight w:val="22"/>
        </w:trPr>
        <w:tc>
          <w:tcPr>
            <w:tcW w:w="3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2"/>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7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20" w:type="dxa"/>
            <w:vAlign w:val="bottom"/>
            <w:tcBorders>
              <w:bottom w:val="single" w:sz="8" w:color="CCEEFF"/>
            </w:tcBorders>
            <w:shd w:val="clear" w:color="auto" w:fill="CCEEFF"/>
          </w:tcPr>
          <w:p>
            <w:pPr>
              <w:spacing w:after="0"/>
              <w:rPr>
                <w:sz w:val="16"/>
                <w:szCs w:val="16"/>
                <w:color w:val="auto"/>
              </w:rPr>
            </w:pPr>
          </w:p>
        </w:tc>
      </w:tr>
      <w:tr>
        <w:trPr>
          <w:trHeight w:val="191"/>
        </w:trPr>
        <w:tc>
          <w:tcPr>
            <w:tcW w:w="3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rate swap</w:t>
            </w:r>
          </w:p>
        </w:tc>
        <w:tc>
          <w:tcPr>
            <w:tcW w:w="760" w:type="dxa"/>
            <w:vAlign w:val="bottom"/>
          </w:tcPr>
          <w:p>
            <w:pPr>
              <w:jc w:val="right"/>
              <w:ind w:right="612"/>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4,687</w:t>
            </w:r>
          </w:p>
        </w:tc>
        <w:tc>
          <w:tcPr>
            <w:tcW w:w="4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4,687</w:t>
            </w:r>
          </w:p>
        </w:tc>
        <w:tc>
          <w:tcPr>
            <w:tcW w:w="8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Income Taxes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provision for income taxes in interim periods is based on our estimated annual effective tax rate plus the impact, if any, of discrete items recognized in the interim period. We record cumulative adjustments in the quarter in which a change in the estimated annual effective rate is determined.</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income tax expense was $0.6 million and $0.5 million for the three months ended March 31, 2026 and 2025, respectively. The difference in income tax expense for the three months ended March 31, 2026 as compared to the corresponding period in 2025 was driven primarily by an increase in net income from continuing operations before tax and discrete items, including a New Zealand return to provision true-up during the three months ended March 31, 2025.</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5" w:right="31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Commitments and Contingencies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has non-cancelable contractual purchase obligations incurred in the normal course of business to help deliver its services and products and provide support to its customers. These contracts with vendors primarily relate to software service, targeted mail costs, third-party fulfillment costs and software hosting. Unrecognized future minimum payments due under these agreements are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w:t>
            </w: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
        </w:trPr>
        <w:tc>
          <w:tcPr>
            <w:tcW w:w="9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9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2026 (remainder of year)</w:t>
            </w:r>
          </w:p>
        </w:tc>
        <w:tc>
          <w:tcPr>
            <w:tcW w:w="56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12,393</w:t>
            </w:r>
          </w:p>
        </w:tc>
      </w:tr>
      <w:tr>
        <w:trPr>
          <w:trHeight w:val="191"/>
        </w:trPr>
        <w:tc>
          <w:tcPr>
            <w:tcW w:w="9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2027</w:t>
            </w:r>
          </w:p>
        </w:tc>
        <w:tc>
          <w:tcPr>
            <w:tcW w:w="5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12,933</w:t>
            </w:r>
          </w:p>
        </w:tc>
      </w:tr>
      <w:tr>
        <w:trPr>
          <w:trHeight w:val="22"/>
        </w:trPr>
        <w:tc>
          <w:tcPr>
            <w:tcW w:w="9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9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2028</w:t>
            </w:r>
          </w:p>
        </w:tc>
        <w:tc>
          <w:tcPr>
            <w:tcW w:w="5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10,543</w:t>
            </w:r>
          </w:p>
        </w:tc>
      </w:tr>
      <w:tr>
        <w:trPr>
          <w:trHeight w:val="191"/>
        </w:trPr>
        <w:tc>
          <w:tcPr>
            <w:tcW w:w="9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2029</w:t>
            </w:r>
          </w:p>
        </w:tc>
        <w:tc>
          <w:tcPr>
            <w:tcW w:w="5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w:t>
            </w:r>
          </w:p>
        </w:tc>
      </w:tr>
      <w:tr>
        <w:trPr>
          <w:trHeight w:val="22"/>
        </w:trPr>
        <w:tc>
          <w:tcPr>
            <w:tcW w:w="9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9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2030</w:t>
            </w:r>
          </w:p>
        </w:tc>
        <w:tc>
          <w:tcPr>
            <w:tcW w:w="5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9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Thereafter</w:t>
            </w:r>
          </w:p>
        </w:tc>
        <w:tc>
          <w:tcPr>
            <w:tcW w:w="5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98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8"/>
        </w:trPr>
        <w:tc>
          <w:tcPr>
            <w:tcW w:w="9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future minimum payments due</w:t>
            </w:r>
          </w:p>
        </w:tc>
        <w:tc>
          <w:tcPr>
            <w:tcW w:w="56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36,556</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From time to time, the Company is involved in various lawsuits and legal proceedings which arise in or outside the ordinary course of business. Litigation is subject to inherent uncertainties, and an adverse result in these or other matters may arise from time to time that may harm our business. Accruals for loss contingencies are recorded when a loss is probable, and the amount of such loss can be reasonably estimated. An adverse determination in one or more of these pending matters could have an adverse effect on the Company’s consolidated financial position, results of operations or cash flows.</w:t>
      </w:r>
    </w:p>
    <w:p>
      <w:pPr>
        <w:spacing w:after="0" w:line="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On January 31, 2024, plaintiff Vladimir Gusinsky Revocable Trust filed a putative class action lawsuit in the Court of Chancery of the State of Delaware against the Company, members of its Board and the other parties to its sponsor stockholders agreement, dated June 30, 2021, Providence Strategic Growth II L.P., Providence Strategic Growth II-A L.P., SLA Eclipse Co-Invest, L.P., and SLA CM Eclipse Holdings, L.P. (collectively, the “Sponsor Stockholders”), captioned Vladimir Gusinsky Revocable Trust v. Eric Remer, Penny Baldwin, et. al., Case No. 2024-0077 (Del Ch.). The complaint generally alleges violations of Section 141(a) of the Delaware General Corporation Law (“DGCL”) by providing the Sponsor Stockholders with a veto right over the Board’s ability to hire or fire the Company’s Chief Executive Officer (the “CEO Approval Right”) on the basis that it unlawfully limits the Board’s authority to manage the business and affairs of the Company. The plaintiff seeks declaratory judgment that the CEO Approval Right is invalid and void, other declaratory and equitable relief for the class and/or the Company, attorneys’ and experts’ witness fees and other costs and expenses, and other equitable relief. On June 14, 2024, the Company filed its opening brief in support of its Motion to Dismiss, and on July 15, 2024, Plaintiff opposed that motion. On July 16, 2024, the Court entered a stipulation and order dismissing the director defendants from the action. On August 29, 2024, the remaining defendants, the Company and Sponsor Stockholders (collectively, “Defendants”), filed their reply in support of the Motion to Dismiss, and pursuant to a stipulation between the parties, Plaintiff filed a sur-reply on September 26, 2024, which Defendants filed a response to on October 10, 2024. On October 15, 2024, Defendants filed a Motion to Dismiss for Lack of Subject Matter Jurisdiction, arguing that the claims alleged are not ripe for adjudication and on November 15, 2024 Plaintiff opposed that motion. On December 9, 2024, Defendants filed their reply in support of the Motion to Dismiss for Lack of Subject Matter Jurisdiction. On January 3, 2025, the Court entered a minute order deferring oral argument on the pending Motion to Dismiss until after the disposition of the appeal in Moelis &amp; Company v. West Palm Beach Firefighters’ Pension Fund, Case No. 340, 2024 (Del. Supr.). The Company believes it has meritorious defenses to the claims of the plaintiff and members of the class and any liability for the alleged claims is not currently probable and the potential loss or range of loss is not reasonably estimable.</w:t>
      </w:r>
    </w:p>
    <w:p>
      <w:pPr>
        <w:spacing w:after="0" w:line="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is party to additional legal proceedings incidental to its business. While the outcome of these additional matters could differ from management’s expectations, the Company does not believe that the resolution of such matters is reasonably likely to have a material effect on its results of operations or financial condition.</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assesses the applicability of nexus in jurisdictions in which the Company sells products and services. As of March 31, 2026 and December 31, 2025, the Company recorded a liability in the amount of $8.8 million and $9.4 million, respectively within current liabilities and other long-term liabilities as a provision for sales and use and gross receipts tax. In connection with the Company's accounting for acquisitions, the Company has recorded liabilities and corresponding provisional escrow or indemnity receivables within the purchase price allocations for instances in which the Company is indemnified for tax matters.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5" w:right="31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Geographic Areas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long-lived assets by geographic area as of:</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99"/>
        </w:trPr>
        <w:tc>
          <w:tcPr>
            <w:tcW w:w="8300" w:type="dxa"/>
            <w:vAlign w:val="bottom"/>
          </w:tcPr>
          <w:p>
            <w:pPr>
              <w:spacing w:after="0"/>
              <w:rPr>
                <w:sz w:val="17"/>
                <w:szCs w:val="17"/>
                <w:color w:val="auto"/>
              </w:rPr>
            </w:pPr>
          </w:p>
        </w:tc>
        <w:tc>
          <w:tcPr>
            <w:tcW w:w="10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2026</w:t>
            </w:r>
          </w:p>
        </w:tc>
        <w:tc>
          <w:tcPr>
            <w:tcW w:w="4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89"/>
        </w:trPr>
        <w:tc>
          <w:tcPr>
            <w:tcW w:w="8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80" w:type="dxa"/>
            <w:vAlign w:val="bottom"/>
            <w:gridSpan w:val="3"/>
          </w:tcPr>
          <w:p>
            <w:pPr>
              <w:jc w:val="right"/>
              <w:ind w:right="1013"/>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2"/>
        </w:trPr>
        <w:tc>
          <w:tcPr>
            <w:tcW w:w="8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000" w:type="dxa"/>
            <w:vAlign w:val="bottom"/>
            <w:tcBorders>
              <w:bottom w:val="single" w:sz="8" w:color="CCEEFF"/>
            </w:tcBorders>
            <w:shd w:val="clear" w:color="auto" w:fill="CCEEFF"/>
          </w:tcPr>
          <w:p>
            <w:pPr>
              <w:jc w:val="right"/>
              <w:ind w:right="853"/>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98"/>
              </w:rPr>
              <w:t>54,020</w:t>
            </w:r>
          </w:p>
        </w:tc>
        <w:tc>
          <w:tcPr>
            <w:tcW w:w="2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50,771</w:t>
            </w:r>
          </w:p>
        </w:tc>
      </w:tr>
      <w:tr>
        <w:trPr>
          <w:trHeight w:val="19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1000" w:type="dxa"/>
            <w:vAlign w:val="bottom"/>
          </w:tcPr>
          <w:p>
            <w:pPr>
              <w:jc w:val="right"/>
              <w:ind w:right="853"/>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98"/>
              </w:rPr>
              <w:t>14,633</w:t>
            </w:r>
          </w:p>
        </w:tc>
        <w:tc>
          <w:tcPr>
            <w:tcW w:w="2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13,941</w:t>
            </w: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 Segment Reporting</w:t>
      </w:r>
    </w:p>
    <w:p>
      <w:pPr>
        <w:spacing w:after="0" w:line="96"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The Company operates in a single reportable segment. The segment derives revenue from providing SaaS and other technology-based solutions to help service SMBs optimize their operations, improve customer relationships and experience, and accelerate growth. The Company primarily focuses on three core vertical markets: EverPro for Home Services, EverHealth for Health Services, and EverWell for Wellness Services.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accounting policies of the segment are the same as those described in the summary of significant accounting policies in our Annual Report on Form 10-K for the year ended December 31, 2025. Based on being a single reportable segment company, the Company has disclosed net income (loss) from continuing operations as its primary measure of profit or loss used by the chief operating decision maker (“CODM”), which is reported on the unaudited condensed consolidated statement of operations and comprehensive income (loss) as net income (loss) from continuing operations. The CODM is provided financial information inclusive of net income (loss) from continuing operations, which is used to assess performance of the segment and decide how to allocate resources. The CODM uses net income (loss) from continuing operations, among other metrics, to assist in evaluating the financial performance of the Company and monitoring budget versus actual results. The CODM does not review assets in evaluating segment results, and therefore, such information is not presented. The measure of segment assets is reported on the consolidated balance sheets as total assets.</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Disaggregated information is not used for assessing the performance of the Company or for making resource allocation decisions. The CODM reviews financial information presented on an aggregated and consolidated basis, together with revenue information of the three core vertical markets. The software and technology-based solutions provided by the Company are deployed and implemented to customers in a similar manner regardless of industry. See Notes 4. Revenue and 17. Geographic Areas for disaggregated information regarding the Company's revenues and long-lived assets by geography, respectively.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segment information for revenues, net income (loss) and significant expenses:</w:t>
      </w:r>
    </w:p>
    <w:p>
      <w:pPr>
        <w:spacing w:after="0" w:line="170"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15"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5278120</wp:posOffset>
            </wp:positionH>
            <wp:positionV relativeFrom="paragraph">
              <wp:posOffset>17780</wp:posOffset>
            </wp:positionV>
            <wp:extent cx="181229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12290" cy="6985"/>
                    </a:xfrm>
                    <a:prstGeom prst="rect">
                      <a:avLst/>
                    </a:prstGeom>
                    <a:noFill/>
                  </pic:spPr>
                </pic:pic>
              </a:graphicData>
            </a:graphic>
          </wp:anchor>
        </w:drawing>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3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9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840" w:type="dxa"/>
            <w:vAlign w:val="bottom"/>
            <w:tcBorders>
              <w:bottom w:val="single" w:sz="8" w:color="CCEEFF"/>
            </w:tcBorders>
            <w:shd w:val="clear" w:color="auto" w:fill="CCEEFF"/>
          </w:tcPr>
          <w:p>
            <w:pPr>
              <w:jc w:val="right"/>
              <w:ind w:right="69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147,465</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142,273</w:t>
            </w:r>
          </w:p>
        </w:tc>
      </w:tr>
      <w:tr>
        <w:trPr>
          <w:trHeight w:val="212"/>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92"/>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Employee expense</w:t>
            </w:r>
          </w:p>
        </w:tc>
        <w:tc>
          <w:tcPr>
            <w:tcW w:w="8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61,829</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55,800</w:t>
            </w:r>
          </w:p>
        </w:tc>
      </w:tr>
      <w:tr>
        <w:trPr>
          <w:trHeight w:val="191"/>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Marketing and advertising</w:t>
            </w: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8,388</w:t>
            </w:r>
          </w:p>
        </w:tc>
      </w:tr>
      <w:tr>
        <w:trPr>
          <w:trHeight w:val="22"/>
        </w:trPr>
        <w:tc>
          <w:tcPr>
            <w:tcW w:w="8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Communication services</w:t>
            </w:r>
          </w:p>
        </w:tc>
        <w:tc>
          <w:tcPr>
            <w:tcW w:w="8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5,878</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5,679</w:t>
            </w:r>
          </w:p>
        </w:tc>
      </w:tr>
      <w:tr>
        <w:trPr>
          <w:trHeight w:val="191"/>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Third-party commissions</w:t>
            </w: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5,296</w:t>
            </w:r>
          </w:p>
        </w:tc>
      </w:tr>
      <w:tr>
        <w:trPr>
          <w:trHeight w:val="22"/>
        </w:trPr>
        <w:tc>
          <w:tcPr>
            <w:tcW w:w="8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Software, tools and hosting</w:t>
            </w:r>
          </w:p>
        </w:tc>
        <w:tc>
          <w:tcPr>
            <w:tcW w:w="8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18,317</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13,639</w:t>
            </w:r>
          </w:p>
        </w:tc>
      </w:tr>
      <w:tr>
        <w:trPr>
          <w:trHeight w:val="191"/>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Legal and professional fees</w:t>
            </w: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14,671</w:t>
            </w:r>
          </w:p>
        </w:tc>
      </w:tr>
      <w:tr>
        <w:trPr>
          <w:trHeight w:val="22"/>
        </w:trPr>
        <w:tc>
          <w:tcPr>
            <w:tcW w:w="8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 on sale and impairments</w:t>
            </w:r>
          </w:p>
        </w:tc>
        <w:tc>
          <w:tcPr>
            <w:tcW w:w="8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212"/>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segment items</w:t>
            </w:r>
            <w:r>
              <w:rPr>
                <w:rFonts w:ascii="Times New Roman" w:cs="Times New Roman" w:eastAsia="Times New Roman" w:hAnsi="Times New Roman"/>
                <w:sz w:val="18"/>
                <w:szCs w:val="18"/>
                <w:color w:val="auto"/>
                <w:vertAlign w:val="superscript"/>
              </w:rPr>
              <w:t>(2)</w:t>
            </w: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7,742</w:t>
            </w:r>
          </w:p>
        </w:tc>
      </w:tr>
      <w:tr>
        <w:trPr>
          <w:trHeight w:val="192"/>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15,115</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16,768</w:t>
            </w:r>
          </w:p>
        </w:tc>
      </w:tr>
      <w:tr>
        <w:trPr>
          <w:trHeight w:val="191"/>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and other expense, net</w:t>
            </w: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12,759</w:t>
            </w:r>
          </w:p>
        </w:tc>
      </w:tr>
      <w:tr>
        <w:trPr>
          <w:trHeight w:val="22"/>
        </w:trPr>
        <w:tc>
          <w:tcPr>
            <w:tcW w:w="8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2"/>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tax expense</w:t>
            </w:r>
          </w:p>
        </w:tc>
        <w:tc>
          <w:tcPr>
            <w:tcW w:w="8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r>
      <w:tr>
        <w:trPr>
          <w:trHeight w:val="181"/>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8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140,294</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141,339</w:t>
            </w:r>
          </w:p>
        </w:tc>
      </w:tr>
      <w:tr>
        <w:trPr>
          <w:trHeight w:val="22"/>
        </w:trPr>
        <w:tc>
          <w:tcPr>
            <w:tcW w:w="83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3"/>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from continuing operations</w:t>
            </w:r>
          </w:p>
        </w:tc>
        <w:tc>
          <w:tcPr>
            <w:tcW w:w="8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7,171</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w:t>
            </w:r>
          </w:p>
        </w:tc>
      </w:tr>
      <w:tr>
        <w:trPr>
          <w:trHeight w:val="181"/>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Loss from discontinued operations, net of income tax</w:t>
            </w:r>
          </w:p>
        </w:tc>
        <w:tc>
          <w:tcPr>
            <w:tcW w:w="8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(8,647)</w:t>
            </w:r>
          </w:p>
        </w:tc>
      </w:tr>
      <w:tr>
        <w:trPr>
          <w:trHeight w:val="22"/>
        </w:trPr>
        <w:tc>
          <w:tcPr>
            <w:tcW w:w="83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84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(7,713)</w:t>
            </w:r>
          </w:p>
        </w:tc>
      </w:tr>
      <w:tr>
        <w:trPr>
          <w:trHeight w:val="22"/>
        </w:trPr>
        <w:tc>
          <w:tcPr>
            <w:tcW w:w="83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r>
    </w:tbl>
    <w:p>
      <w:pPr>
        <w:spacing w:after="0" w:line="4" w:lineRule="exact"/>
        <w:rPr>
          <w:sz w:val="20"/>
          <w:szCs w:val="20"/>
          <w:color w:val="auto"/>
        </w:rPr>
      </w:pPr>
    </w:p>
    <w:p>
      <w:pPr>
        <w:ind w:left="260" w:hanging="156"/>
        <w:spacing w:after="0"/>
        <w:tabs>
          <w:tab w:leader="none" w:pos="2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significant expense categories and amounts align with information that is regularly reviewed by the CODM.</w:t>
      </w:r>
    </w:p>
    <w:p>
      <w:pPr>
        <w:spacing w:after="0" w:line="53" w:lineRule="exact"/>
        <w:rPr>
          <w:rFonts w:ascii="Times New Roman" w:cs="Times New Roman" w:eastAsia="Times New Roman" w:hAnsi="Times New Roman"/>
          <w:sz w:val="11"/>
          <w:szCs w:val="11"/>
          <w:color w:val="auto"/>
        </w:rPr>
      </w:pPr>
    </w:p>
    <w:p>
      <w:pPr>
        <w:ind w:left="260" w:hanging="156"/>
        <w:spacing w:after="0"/>
        <w:tabs>
          <w:tab w:leader="none" w:pos="2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 segment items include corporate overhead expenses, transaction-related and other non-recurring or unusual costs, facility expenses, bad debt and other miscellaneous cost of services.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5" w:right="319" w:bottom="1440" w:gutter="0" w:footer="0" w:header="0"/>
        </w:sectPr>
      </w:pPr>
    </w:p>
    <w:bookmarkStart w:id="22" w:name="page23"/>
    <w:bookmarkEnd w:id="22"/>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EverCommerce Inc.</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200" w:lineRule="exact"/>
        <w:rPr>
          <w:sz w:val="20"/>
          <w:szCs w:val="20"/>
          <w:color w:val="auto"/>
        </w:rPr>
      </w:pPr>
    </w:p>
    <w:p>
      <w:pPr>
        <w:spacing w:after="0" w:line="237"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15"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5278120</wp:posOffset>
            </wp:positionH>
            <wp:positionV relativeFrom="paragraph">
              <wp:posOffset>17780</wp:posOffset>
            </wp:positionV>
            <wp:extent cx="181229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12290" cy="6985"/>
                    </a:xfrm>
                    <a:prstGeom prst="rect">
                      <a:avLst/>
                    </a:prstGeom>
                    <a:noFill/>
                  </pic:spPr>
                </pic:pic>
              </a:graphicData>
            </a:graphic>
          </wp:anchor>
        </w:drawing>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20" w:type="dxa"/>
            <w:vAlign w:val="bottom"/>
          </w:tcPr>
          <w:p>
            <w:pPr>
              <w:spacing w:after="0"/>
              <w:rPr>
                <w:sz w:val="15"/>
                <w:szCs w:val="15"/>
                <w:color w:val="auto"/>
              </w:rPr>
            </w:pPr>
          </w:p>
        </w:tc>
        <w:tc>
          <w:tcPr>
            <w:tcW w:w="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2026</w:t>
            </w:r>
          </w:p>
        </w:tc>
        <w:tc>
          <w:tcPr>
            <w:tcW w:w="4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8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Segment Disclosures</w:t>
            </w: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2"/>
        </w:trPr>
        <w:tc>
          <w:tcPr>
            <w:tcW w:w="8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income</w:t>
            </w:r>
          </w:p>
        </w:tc>
        <w:tc>
          <w:tcPr>
            <w:tcW w:w="920" w:type="dxa"/>
            <w:vAlign w:val="bottom"/>
            <w:tcBorders>
              <w:bottom w:val="single" w:sz="8" w:color="CCEEFF"/>
            </w:tcBorders>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center"/>
              <w:ind w:left="551"/>
              <w:spacing w:after="0"/>
              <w:rPr>
                <w:sz w:val="20"/>
                <w:szCs w:val="20"/>
                <w:color w:val="auto"/>
              </w:rPr>
            </w:pPr>
            <w:r>
              <w:rPr>
                <w:rFonts w:ascii="Times New Roman" w:cs="Times New Roman" w:eastAsia="Times New Roman" w:hAnsi="Times New Roman"/>
                <w:sz w:val="14"/>
                <w:szCs w:val="14"/>
                <w:color w:val="auto"/>
                <w:w w:val="97"/>
              </w:rPr>
              <w:t>(1,080)</w:t>
            </w:r>
          </w:p>
        </w:tc>
      </w:tr>
      <w:tr>
        <w:trPr>
          <w:trHeight w:val="191"/>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expense</w:t>
            </w:r>
          </w:p>
        </w:tc>
        <w:tc>
          <w:tcPr>
            <w:tcW w:w="9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center"/>
              <w:ind w:left="591"/>
              <w:spacing w:after="0"/>
              <w:rPr>
                <w:sz w:val="20"/>
                <w:szCs w:val="20"/>
                <w:color w:val="auto"/>
              </w:rPr>
            </w:pPr>
            <w:r>
              <w:rPr>
                <w:rFonts w:ascii="Times New Roman" w:cs="Times New Roman" w:eastAsia="Times New Roman" w:hAnsi="Times New Roman"/>
                <w:sz w:val="14"/>
                <w:szCs w:val="14"/>
                <w:color w:val="auto"/>
              </w:rPr>
              <w:t>8,759</w:t>
            </w:r>
          </w:p>
        </w:tc>
      </w:tr>
      <w:tr>
        <w:trPr>
          <w:trHeight w:val="22"/>
        </w:trPr>
        <w:tc>
          <w:tcPr>
            <w:tcW w:w="8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Significant Non-cash Items:</w:t>
            </w:r>
          </w:p>
        </w:tc>
        <w:tc>
          <w:tcPr>
            <w:tcW w:w="9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r>
      <w:tr>
        <w:trPr>
          <w:trHeight w:val="191"/>
        </w:trPr>
        <w:tc>
          <w:tcPr>
            <w:tcW w:w="8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center"/>
              <w:ind w:left="591"/>
              <w:spacing w:after="0"/>
              <w:rPr>
                <w:sz w:val="20"/>
                <w:szCs w:val="20"/>
                <w:color w:val="auto"/>
              </w:rPr>
            </w:pPr>
            <w:r>
              <w:rPr>
                <w:rFonts w:ascii="Times New Roman" w:cs="Times New Roman" w:eastAsia="Times New Roman" w:hAnsi="Times New Roman"/>
                <w:sz w:val="14"/>
                <w:szCs w:val="14"/>
                <w:color w:val="auto"/>
              </w:rPr>
              <w:t>6,755</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are no reconciling items or adjustments between segment revenues, net income (loss), total assets and consolidated revenues, net income (loss) and total assets.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6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Unless the context requires otherwise, references in this Quarterly Report on Form 10-Q to "EverCommerce," the “Company,” “we,” “us” and “our” refer to EverCommerce Inc. and its consolidated subsidiaries. The following discussion and analysis of our financial condition and results of operations should be read in conjunction with our unaudited condensed consolidated financial statements and related notes appearing elsewhere in this Quarterly Report on Form 10-Q and our consolidated financial statements and related notes included in our Annual Report on Form 10-K for the year ended December 31, 2025 (the “Annual Report on Form 10-K”) filed with the Securities and Exchange Commission (“SEC”) on March 12, 2026. Additionally, our historical results are not necessarily indicative of the results that may be expected for any period in the future. Unless otherwise noted, disclosures within Item 2. Management’s Discussion and Analysis of Financial Condition and Results of Operations relate solely to the Company's continuing operations, which excludes the marketing technology disposal group.</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EverCommerce is a leading AI-powered platform provider of integrated, vertically-tailored software-as-a-service (“SaaS”) solutions that help service-based small- and medium-sized businesses (“service SMBs”) run smarter and grow faster. Our platform spans across the full lifecycle of interactions between consumers and service professionals with vertical-specific applications. As of December 31, 2025, we empowered more than 745,000 customers worldwide across three core verticals: EverPro for Home Services; EverHealth for Health Services; and EverWell for Wellness Services. Within our core verticals, our customers operate within numerous micro-verticals, ranging from home service professionals, such as home improvement contractors and home maintenance technicians, to physician practices and therapists within Health Services, to salon owners within Wellness. Our platform provides vertically-tailored SaaS solutions that address service SMBs’ increasingly specialized demands, as well as highly complementary solutions that provide fully-integrated offerings, allowing service SMBs and EverCommerce to succeed in the market, and provide end consumers more convenient service experiences.</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offer several vertically-tailored suites of solutions, each of which follows a similar and repeatable go-to-market playbook: offer a “system of action” Business Management Software that streamlines daily business workflows, integrate highly complementary, value-add adjacent solutions and complete gaps in the value chain to create integrated solutions. These solutions focus on addressing how service SMBs market their services, streamline operations and retain and engage their customers.</w:t>
      </w:r>
    </w:p>
    <w:p>
      <w:pPr>
        <w:spacing w:after="0" w:line="49" w:lineRule="exact"/>
        <w:rPr>
          <w:sz w:val="20"/>
          <w:szCs w:val="20"/>
          <w:color w:val="auto"/>
        </w:rPr>
      </w:pPr>
    </w:p>
    <w:p>
      <w:pPr>
        <w:jc w:val="both"/>
        <w:ind w:left="380" w:hanging="120"/>
        <w:spacing w:after="0" w:line="271" w:lineRule="auto"/>
        <w:tabs>
          <w:tab w:leader="none" w:pos="37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Business Management Software: </w:t>
      </w:r>
      <w:r>
        <w:rPr>
          <w:rFonts w:ascii="Times New Roman" w:cs="Times New Roman" w:eastAsia="Times New Roman" w:hAnsi="Times New Roman"/>
          <w:sz w:val="14"/>
          <w:szCs w:val="14"/>
          <w:color w:val="auto"/>
        </w:rPr>
        <w:t>Our vertically-tailored Business Management Software is the system of action at the center of a service business’s operation, and is typically the point-of-entry and first solution adopted by a customer. Our software, designed to meet the day-to-day workflow needs of businesses in specific vertical end markets, streamlines front and back-office processes and provides polished customer-facing experiences. Using these offerings, service SMBs can deliver their services, streamline operations, and focus on growing their customer base.</w:t>
      </w:r>
    </w:p>
    <w:p>
      <w:pPr>
        <w:spacing w:after="0" w:line="48" w:lineRule="exact"/>
        <w:rPr>
          <w:rFonts w:ascii="Times New Roman" w:cs="Times New Roman" w:eastAsia="Times New Roman" w:hAnsi="Times New Roman"/>
          <w:sz w:val="14"/>
          <w:szCs w:val="14"/>
          <w:color w:val="auto"/>
        </w:rPr>
      </w:pPr>
    </w:p>
    <w:p>
      <w:pPr>
        <w:jc w:val="both"/>
        <w:ind w:left="380" w:hanging="120"/>
        <w:spacing w:after="0" w:line="262" w:lineRule="auto"/>
        <w:tabs>
          <w:tab w:leader="none" w:pos="376"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 xml:space="preserve">Billing &amp; Payment Solutions: </w:t>
      </w:r>
      <w:r>
        <w:rPr>
          <w:rFonts w:ascii="Times New Roman" w:cs="Times New Roman" w:eastAsia="Times New Roman" w:hAnsi="Times New Roman"/>
          <w:sz w:val="14"/>
          <w:szCs w:val="14"/>
          <w:color w:val="auto"/>
        </w:rPr>
        <w:t>Our Billing &amp; Payment Solutions provide integrated payments, billing and invoicing automation and business intelligence and analytics. Our omni-channel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payments capabilities include point-of-sale, eCommerce, online bill payments, recurring billing, electronic invoicing and mobile payments. Supported payment types include credit card, debit card and Automated Clearing House (“ACH”) processing. Our payments platform also provides a full suite of service commerce features, including customer management as well as cash flow reporting and analytics. These value-add features help small- and medium-sized businesses (“SMBs”) to ensure more timely billing and payments collection and provide improved cash flow visibility.</w:t>
      </w:r>
    </w:p>
    <w:p>
      <w:pPr>
        <w:spacing w:after="0" w:line="54" w:lineRule="exact"/>
        <w:rPr>
          <w:rFonts w:ascii="Times New Roman" w:cs="Times New Roman" w:eastAsia="Times New Roman" w:hAnsi="Times New Roman"/>
          <w:sz w:val="14"/>
          <w:szCs w:val="14"/>
          <w:b w:val="1"/>
          <w:bCs w:val="1"/>
          <w:color w:val="auto"/>
        </w:rPr>
      </w:pPr>
    </w:p>
    <w:p>
      <w:pPr>
        <w:jc w:val="both"/>
        <w:ind w:left="380" w:hanging="120"/>
        <w:spacing w:after="0" w:line="259" w:lineRule="auto"/>
        <w:tabs>
          <w:tab w:leader="none" w:pos="37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Customer Experience Solutions: </w:t>
      </w:r>
      <w:r>
        <w:rPr>
          <w:rFonts w:ascii="Times New Roman" w:cs="Times New Roman" w:eastAsia="Times New Roman" w:hAnsi="Times New Roman"/>
          <w:sz w:val="14"/>
          <w:szCs w:val="14"/>
          <w:color w:val="auto"/>
        </w:rPr>
        <w:t>Our Customer Experience Solutions modernize how businesses engage and interact with customers by leveraging innovative, bespoke customer listening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communication solutions to improve the customer experience and increase retention. Our software provides customer listening capabilities with real-time customer surveying and analysis to allow standalone businesses and multi-location brands to receive VoC insights and manage the customer experience lifecycle. These applications include: customer health scoring, customer support systems, real-time alerts, NPS-based customer feedback collection, review generation and automation, reputation management, customer satisfaction surveying and a digital communication suite, among others. Additionally, the recent acquisition of ZyraTalk (as defined above) provides virtual assistant capabilities with an agentic automation platform. ZyraTalk offers production-ready fully autonomous AI agents and field service management systems designed for seamless integration across our Home Services solutions and improving the overall prospect and customer experience. Collectively, these tools help our customers gain actionable insights, increase customer loyalty and repeat purchases and improve customer experiences.</w:t>
      </w:r>
    </w:p>
    <w:p>
      <w:pPr>
        <w:spacing w:after="0" w:line="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go to market with suites of solutions that are aligned to our three core verticals. Within each suite, our Business Management Software – the system of action at the center of a service business’ operation – is typically the first solution adopted by a customer. This vertically-tailored point-of-entry provides us with an opportunity to cross-sell adjacent products, previously offered as fragmented and disjointed point solutions by other software providers. This “land and expand” strategy allows us to acquire customers with key foundational solutions and expand into offerings via product development and acquisitions that cover all workflows and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24" w:name="page25"/>
    <w:bookmarkEnd w:id="24"/>
    <w:p>
      <w:pPr>
        <w:jc w:val="both"/>
        <w:spacing w:after="0" w:line="287" w:lineRule="auto"/>
        <w:rPr>
          <w:sz w:val="20"/>
          <w:szCs w:val="20"/>
          <w:color w:val="auto"/>
        </w:rPr>
      </w:pPr>
      <w:r>
        <w:rPr>
          <w:rFonts w:ascii="Times New Roman" w:cs="Times New Roman" w:eastAsia="Times New Roman" w:hAnsi="Times New Roman"/>
          <w:sz w:val="14"/>
          <w:szCs w:val="14"/>
          <w:color w:val="auto"/>
        </w:rPr>
        <w:t>power the full scope of our customers’ businesses. This results in a self-reinforcing flywheel effect, enabling us to drive value for our customers and, in turn, fuel growth, improve customer stickiness, and increase our market share.</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continuing operations generate two types of revenue: (i) Subscription and Transaction Fees, which are primarily recurring revenue streams, and (ii) Other revenue, which consists primarily of one-time revenue streams. Our recurring revenue generally consists of monthly, quarterly and annual software and maintenance subscriptions and transaction revenue associated with integrated payments and billing solutions.</w:t>
      </w:r>
    </w:p>
    <w:p>
      <w:pPr>
        <w:spacing w:after="0" w:line="51" w:lineRule="exact"/>
        <w:rPr>
          <w:sz w:val="20"/>
          <w:szCs w:val="20"/>
          <w:color w:val="auto"/>
        </w:rPr>
      </w:pPr>
    </w:p>
    <w:p>
      <w:pPr>
        <w:jc w:val="both"/>
        <w:ind w:left="520" w:hanging="260"/>
        <w:spacing w:after="0" w:line="264"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and Transaction Fees revenue includes: (i) recurring monthly, quarterly and annual SaaS subscriptions and software license and maintenance fees from the sale of our Business Management and Customer Engagement solutions; (ii) Billing and Payment solutions - payment processing fees based on the transaction volumes processed through our integrated payment solutions and processing fees based on transaction volumes for our revenue cycle management, chronic care management and health insurance clearinghouse solutions; and (iii) membership subscriptions and our share of rebates from suppliers generated though group purchasing programs.</w:t>
      </w:r>
    </w:p>
    <w:p>
      <w:pPr>
        <w:spacing w:after="0" w:line="5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revenue includes: (i) consulting, implementation, training and other professional services; (ii) website development; (iii) revenue from various business development partnerships; (iv) event income; and (v) hardware sales related to our business management or payment software solutions.</w:t>
      </w:r>
    </w:p>
    <w:p>
      <w:pPr>
        <w:spacing w:after="0" w:line="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business benefits from attractive unit economics. Approximately 96% of our revenue was recurring or re-occurring in both the three months ended March 31, 2026 and 2025, and we maintained an annualized net revenue retention rate of approximately 95% and 97% for the quarters ended March 31, 2026 and 2025, respectively. Our annualized pro forma net revenue retention rate was equal to the annualized net revenue retention rate for the quarters ended March 31, 2026 and 2025, respectively, as the acquisitions and dispositions closed during the prior period were not material to our prior period unaudited condensed consolidated results on a pro forma basis. We believe the retention and growth of revenue from our existing customers is a helpful measure of the health of our business and our future growth prospects. Our ability to cross sell additional products and services to our existing customers can increase customer engagement with our suite of solutions and thus have a positive impact on our net pro forma revenue retention rate. For example, we have leveraged our land and expand strategy to cross sell solutions to our existing customers, which has supported our high net pro forma revenue retention rate by increasing customer utilization of our solutions, educating customers as to how our platform and synergies can support their businesses and, in turn, improving customer stickiness.</w:t>
      </w:r>
    </w:p>
    <w:p>
      <w:pPr>
        <w:spacing w:after="0" w:line="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calculate our annualized net revenue retention rate based on the average of the annualized net revenue retention rate calculated for each month during the twelve-month period as of the most recent quarter end. Our calculation of net revenue retention rate for any fiscal period includes the positive recurring and re-occurring revenue impacts of selling new solutions to existing customers and the negative impacts of contraction and attrition among this set of customers. The annualized net revenue retention rate for a particular month is calculated as the recurring or re-occurring revenue gained/lost from existing customers, less the recurring or re-occurring revenue lost from cancelled customers as a percentage of total recurring or re-occurring revenue during the corresponding month of the prior year. For existing customers, we consider customers that existed 11 or more months prior to the current month and that do not have an end date (i.e., cancelled relationship) on or after the first day of the current month. For example, the recurring or re-occurring revenue gained/lost from existing customers in November 2025 is the difference between the recurring or re-occurring revenue generated in November 2025 and the same such revenue generated in November 2024, for customers with a start date prior to December 1, 2024 and no end date or cancelled relationship on or after November 1, 2025. For cancelled customers, we examine customers that cancelled their relationships on or after the first day of the month that is 12 months prior to the current month and before the first day of the current month. For example, the recurring or re-occurring revenue lost from cancelled customers in November 2025 is the difference between the recurring or re-occurring revenue generated in November 2025 and the same such revenue generated in November 2024, for customers that cancelled on or after November 1, 2024 and before November 1, 2025. The annualized pro forma net revenue retention rate is calculated as the annualized net revenue retention rate adjusted as though acquisitions and dispositions that were closed during the prior period presented were closed on the first day of such period presented. Our annualized net revenue retention rate and pro forma net revenue retention rate may fluctuate as a result of a number of factors, including the growing level of our revenue base, the level of penetration within our customer base, expansion of solutions, new acquisitions and dispositions and our ability to retain our customers. Our calculation of annualized net revenue retention rate and annualized pro forma net revenue retention rate may differ from similarly titled metrics presented by other companies.</w:t>
      </w:r>
    </w:p>
    <w:p>
      <w:pPr>
        <w:spacing w:after="0" w:line="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This rate for any fiscal period includes the positive recurring and re-occurring revenue impacts of selling new solutions to existing customers and the negative impacts of contraction and attrition among this set of customers. Our net pro forma revenue retention rate may fluctuate as a result of a number of factors, including the growing level of our revenue base, the level of penetration within our customer base, expansion of solutions, new acquisitions and our ability to retain our customers. Our calculation of net pro forma revenue retention rate may differ from similarly titled metrics presented by other companies.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4"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color w:val="auto"/>
        </w:rPr>
        <w:t>Impact of Macroeconomic Climate</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macroeconomic climate has seen in the recent years, and may continue to see, pressure from global developments such as international geopolitical conflicts, including the war in the Middle East, increased tariffs and proposed tariffs between the United States and other nations, as well as uncertainty as to future tariffs, terrorism, pandemics or health crises, rising inflation, fluctuations in the value of the US Dollar, rising interest rates and supply chain disruptions. These developments have had and may continue to have an adverse effect on our revenues and demand for our products and services, as well as on our costs of doing business. We have taken and will continue to take actions to help mitigate the impact of these economic challenges, but there can be no assurance as to the effectiveness of our efforts going forward.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 of Marketing Technology Solutions</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October 31, 2025, we completed the sale of our marketing technology solutions business to Ignite Visibility for approximately $45.0 million in cash (see Note 3. Acquisition and Disposition in this Quarterly Report on Form 10-Q). We determined that our decision to sell marketing technology solutions met the criteria for classification as discontinued operations. As a result, their operating results are presented as discontinued operations in our unaudited condensed consolidated statements of operations and comprehensive income (loss) for all periods presented through the date of sale. During the three months ended March 31, 2025, we recognized an impairment charge of $9.4 million, comprised of a goodwill impairment charge of $6.9 million and a valuation allowance of $2.6 million to adjust the carrying value of the marketing technology disposal group to estimated fair value less cost to sell, which is included in loss on held for sale and impairments within discontinued operations on our unaudited condensed consolidated statements of operations and comprehensive income (loss).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Acquisition of ZyraTalk</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September 15, 2025, we acquired 100% of the interest of Joblyt LLC, dba ZyraTalk (“ZyraTalk”), an AI-powered customer engagement solution that combines virtual assistant capabilities with an agentic automation platform, for approximately $36.0 million in cash, not inclusive of up to an additional $6.5 million of contingent consideration, which could be paid over the next three years related to post-combination employment services (see Note 3. Acquisition and Disposition in this Quarterly Report on Form 10-Q). The acquisition helps to establish us as an AI-driven innovator, beginning with near-term application in our Home Services vertical, EverPro, and we plan to extend ZyraTalk into broader opportunities across our other verticals.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Factors Affecting Our Performance</w:t>
      </w:r>
    </w:p>
    <w:p>
      <w:pPr>
        <w:spacing w:after="0" w:line="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 xml:space="preserve">We believe that our performance and future success depends on a number of factors that present significant opportunities for us but also pose risks and challenges. For discussion of these factors, please see Part II, Item 7. </w:t>
      </w:r>
      <w:r>
        <w:rPr>
          <w:rFonts w:ascii="Times New Roman" w:cs="Times New Roman" w:eastAsia="Times New Roman" w:hAnsi="Times New Roman"/>
          <w:sz w:val="14"/>
          <w:szCs w:val="14"/>
          <w:i w:val="1"/>
          <w:iCs w:val="1"/>
          <w:color w:val="auto"/>
        </w:rPr>
        <w:t>“Management’s Discussion and Analysis of Financial Condition and Results of Operations –</w:t>
      </w:r>
      <w:r>
        <w:rPr>
          <w:rFonts w:ascii="Times New Roman" w:cs="Times New Roman" w:eastAsia="Times New Roman" w:hAnsi="Times New Roman"/>
          <w:sz w:val="14"/>
          <w:szCs w:val="14"/>
          <w:color w:val="auto"/>
        </w:rPr>
        <w:t xml:space="preserve"> Key Factors Affecting Our Performance” included in our Annual Report on Form 10-K. For a discussion about why we consider our Non-GAAP measures useful and a discussion of the material risks and limitations of such measures, please see Part II, Item 7. </w:t>
      </w:r>
      <w:r>
        <w:rPr>
          <w:rFonts w:ascii="Times New Roman" w:cs="Times New Roman" w:eastAsia="Times New Roman" w:hAnsi="Times New Roman"/>
          <w:sz w:val="14"/>
          <w:szCs w:val="14"/>
          <w:i w:val="1"/>
          <w:iCs w:val="1"/>
          <w:color w:val="auto"/>
        </w:rPr>
        <w:t xml:space="preserve">“Management’s Discussion and Analysis of Financial Condition and Results of Operations – Key Business and Financial Metrics – Non-GAAP Financial Measures” </w:t>
      </w:r>
      <w:r>
        <w:rPr>
          <w:rFonts w:ascii="Times New Roman" w:cs="Times New Roman" w:eastAsia="Times New Roman" w:hAnsi="Times New Roman"/>
          <w:sz w:val="14"/>
          <w:szCs w:val="14"/>
          <w:color w:val="auto"/>
        </w:rPr>
        <w:t>included in our Annual Report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Form 10-K.</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Business and Financial Metrics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to our results and measures of performance determined in accordance with accounting principles generally accepted in the United States of America (“U.S. GAAP”), we believe the following key business and non-GAAP financial measures are useful in evaluating and comparing our financial and operational performance over multiple periods, identifying trends affecting our business, formulating business plans and making strategic decisions. The information presented in the following sections within Key Business and Financial Metrics is calculated on the basis of US GAAP results from continuing operations for all periods presented, which excludes discontinued operations, if 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 Forma Revenue Growth Rate</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Pro Forma Revenue Growth Rate is a key performance measure that our management uses to assess our consolidated operating performance over time. Management also uses this metric for planning and forecasting purposes.</w:t>
      </w:r>
    </w:p>
    <w:p>
      <w:pPr>
        <w:spacing w:after="0" w:line="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year-over-year Pro Forma Revenue Growth Rate is calculated as though all acquisitions and divestitures completed as of the end of the latest period were closed as of the first day of the prior year period presented. In calculating Pro Forma Revenue Growth Rate, we add the revenue from acquisitions for the reporting periods prior to the date of acquisition (including estimated purchase accounting adjustments) and exclude revenue from divestitures for the reporting periods prior to the date of divestiture, and then calculate our revenue growth rate between the two reported periods. As a result, Pro Forma Revenue Growth Rate includes pro forma revenue from businesses acquired and excludes revenue from businesses divested during the period, including revenue generated during periods when we did not yet own the acquired businesses and excludes revenue prior to the divestiture of the business. In including such pre-acquisition revenue and excluding pre-divestiture revenue, Pro Forma Revenue Growth Rate allows us to measure the underlying revenue growth of our business as it stands as of the end of the respective period, which we believe provides insight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2" w:right="319" w:bottom="1440" w:gutter="0" w:footer="0" w:header="0"/>
        </w:sectPr>
      </w:pPr>
    </w:p>
    <w:bookmarkStart w:id="26" w:name="page27"/>
    <w:bookmarkEnd w:id="26"/>
    <w:p>
      <w:pPr>
        <w:jc w:val="both"/>
        <w:spacing w:after="0" w:line="264" w:lineRule="auto"/>
        <w:rPr>
          <w:sz w:val="20"/>
          <w:szCs w:val="20"/>
          <w:color w:val="auto"/>
        </w:rPr>
      </w:pPr>
      <w:r>
        <w:rPr>
          <w:rFonts w:ascii="Times New Roman" w:cs="Times New Roman" w:eastAsia="Times New Roman" w:hAnsi="Times New Roman"/>
          <w:sz w:val="14"/>
          <w:szCs w:val="14"/>
          <w:color w:val="auto"/>
        </w:rPr>
        <w:t>into our then-current operations. Pro Forma Revenue Growth Rate does not represent organic revenue generated by our business as it stood at the beginning of the respective period. Pro Forma Revenue Growth Rates are not necessarily indicative of either future results of operations or actual results that might have been achieved had the acquisitions and divestitures been consummated on the first day of the prior year period presented. We believe that this metric is useful to investors in analyzing our financial and operational performance period over period and evaluating the growth of our business, normalizing for the impact of acquisitions and divestitures. This metric is particularly useful to management due to the number of acquired entities.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Revenue Growth Rate was 3.6% for the three months ended March 31, 2026. Total revenues include post-acquisition revenue from ZyraTalk, which was acquired September 15, 2025 (see Note</w:t>
      </w:r>
    </w:p>
    <w:p>
      <w:pPr>
        <w:spacing w:after="0" w:line="23" w:lineRule="exact"/>
        <w:rPr>
          <w:sz w:val="20"/>
          <w:szCs w:val="20"/>
          <w:color w:val="auto"/>
        </w:rPr>
      </w:pPr>
    </w:p>
    <w:p>
      <w:pPr>
        <w:ind w:firstLine="5"/>
        <w:spacing w:after="0" w:line="266" w:lineRule="auto"/>
        <w:tabs>
          <w:tab w:leader="none" w:pos="14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and Disposition in this Quarterly Report on Form 10-Q), of $0.9 million during the three months ended March 31, 2026. Our Pro Forma Revenue Growth rate was 3.0% for the three months ended March 31, 2026, reflective of the underlying growth in our business as a result of new customers and providing more solutions to existing customers.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Adjusted Gross Profit</w:t>
      </w:r>
    </w:p>
    <w:p>
      <w:pPr>
        <w:spacing w:after="0" w:line="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Gross profit is calculated as total revenue less cost of revenue (exclusive of depreciation and amortization), amortization of developed technology, amortization of capitalized software and depreciation expense (allocated to cost of revenues). We calculate Adjusted Gross Profit as gross profit adjusted to exclude non-cash charges of depreciation and amortization allocated to cost of revenues. Adjusted Gross Profit should be viewed as a measure of operating performance that is a supplement to, and not a substitute for, operating income or loss, net earnings or loss and other U.S. GAAP measures of income (loss) or profitability.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a reconciliation of gross profit, the most directly comparable financial measure calculated in accordance with U.S. GAAP, to Adjusted Gross Profit.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gridSpan w:val="5"/>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8"/>
              </w:rPr>
              <w:t>Three months ended</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6"/>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5"/>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March 31,</w:t>
            </w:r>
          </w:p>
        </w:tc>
        <w:tc>
          <w:tcPr>
            <w:tcW w:w="200" w:type="dxa"/>
            <w:vAlign w:val="bottom"/>
          </w:tcPr>
          <w:p>
            <w:pPr>
              <w:spacing w:after="0"/>
              <w:rPr>
                <w:sz w:val="16"/>
                <w:szCs w:val="16"/>
                <w:color w:val="auto"/>
              </w:rPr>
            </w:pPr>
          </w:p>
        </w:tc>
        <w:tc>
          <w:tcPr>
            <w:tcW w:w="880" w:type="dxa"/>
            <w:vAlign w:val="bottom"/>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92"/>
        </w:trPr>
        <w:tc>
          <w:tcPr>
            <w:tcW w:w="784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92"/>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147,465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142,273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5,192</w:t>
            </w:r>
          </w:p>
        </w:tc>
      </w:tr>
      <w:tr>
        <w:trPr>
          <w:trHeight w:val="191"/>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revenues (exclusive of depreciation and amortization)</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w:t>
            </w:r>
          </w:p>
        </w:tc>
      </w:tr>
      <w:tr>
        <w:trPr>
          <w:trHeight w:val="22"/>
        </w:trPr>
        <w:tc>
          <w:tcPr>
            <w:tcW w:w="7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2"/>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developed technology</w:t>
            </w: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r>
      <w:tr>
        <w:trPr>
          <w:trHeight w:val="191"/>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capitalized software</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w:t>
            </w:r>
          </w:p>
        </w:tc>
      </w:tr>
      <w:tr>
        <w:trPr>
          <w:trHeight w:val="22"/>
        </w:trPr>
        <w:tc>
          <w:tcPr>
            <w:tcW w:w="7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2"/>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expense allocated to cost of revenues</w:t>
            </w: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81"/>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Gross profit from continuing operations</w:t>
            </w:r>
          </w:p>
        </w:tc>
        <w:tc>
          <w:tcPr>
            <w:tcW w:w="2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109,884</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106,433</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3,451</w:t>
            </w:r>
          </w:p>
        </w:tc>
      </w:tr>
      <w:tr>
        <w:trPr>
          <w:trHeight w:val="22"/>
        </w:trPr>
        <w:tc>
          <w:tcPr>
            <w:tcW w:w="7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2"/>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r>
      <w:tr>
        <w:trPr>
          <w:trHeight w:val="203"/>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gross profit from continuing operations</w:t>
            </w: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114,781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111,085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3,696</w:t>
            </w:r>
          </w:p>
        </w:tc>
      </w:tr>
      <w:tr>
        <w:trPr>
          <w:trHeight w:val="20"/>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Adjusted EBITDA</w:t>
      </w:r>
    </w:p>
    <w:p>
      <w:pPr>
        <w:spacing w:after="0" w:line="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Adjusted EBITDA is calculated as net income (loss) adjusted to exclude interest and other expense, net, income tax expense (benefit), depreciation and amortization, other amortization, stock-based compensation, and transaction-related and other non-recurring or unusual costs. Other amortization includes amortization for capitalized contract acquisition costs. Transaction-related costs are specific deal-related costs such as legal fees, financial and tax due diligence, consulting and escrow fees. Other non-recurring or unusual costs are expenses such as impairment charges, (gains) losses from divestitures, system implementation costs including amortization of cloud-based software implementation costs, executive separation costs, severance expense related to planned restructuring activities, and costs associated with integration and transformation improvements. Transaction-related and other non-recurring or unusual costs are excluded as they are not representative of our underlying operating performance. Adjusted EBITDA should be viewed as a measure of operating performance that is a supplement to, and not a substitute for, operating income or loss, net earnings or loss and other U.S. GAAP measures of income (loss).</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table presents a reconciliation of net income from continuing operations, the most directly comparable financial measure calculated in accordance with U.S. GAAP, to Adjusted EBITDA from continuing operations.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4" w:right="3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59"/>
        </w:trPr>
        <w:tc>
          <w:tcPr>
            <w:tcW w:w="7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00" w:type="dxa"/>
            <w:vAlign w:val="bottom"/>
            <w:gridSpan w:val="5"/>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8"/>
              </w:rPr>
              <w:t>Three months ended</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5"/>
        </w:trPr>
        <w:tc>
          <w:tcPr>
            <w:tcW w:w="7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00" w:type="dxa"/>
            <w:vAlign w:val="bottom"/>
            <w:gridSpan w:val="5"/>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March 31,</w:t>
            </w:r>
          </w:p>
        </w:tc>
        <w:tc>
          <w:tcPr>
            <w:tcW w:w="200" w:type="dxa"/>
            <w:vAlign w:val="bottom"/>
          </w:tcPr>
          <w:p>
            <w:pPr>
              <w:spacing w:after="0"/>
              <w:rPr>
                <w:sz w:val="15"/>
                <w:szCs w:val="15"/>
                <w:color w:val="auto"/>
              </w:rPr>
            </w:pPr>
          </w:p>
        </w:tc>
        <w:tc>
          <w:tcPr>
            <w:tcW w:w="880" w:type="dxa"/>
            <w:vAlign w:val="bottom"/>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92"/>
        </w:trPr>
        <w:tc>
          <w:tcPr>
            <w:tcW w:w="784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0"/>
        </w:trPr>
        <w:tc>
          <w:tcPr>
            <w:tcW w:w="7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0"/>
        </w:trPr>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2"/>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6,237</w:t>
            </w:r>
          </w:p>
        </w:tc>
      </w:tr>
      <w:tr>
        <w:trPr>
          <w:trHeight w:val="191"/>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to exclude the following:</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
        </w:trPr>
        <w:tc>
          <w:tcPr>
            <w:tcW w:w="7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2"/>
        </w:trPr>
        <w:tc>
          <w:tcPr>
            <w:tcW w:w="78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Interest and other expense, net</w:t>
            </w: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(7,985)</w:t>
            </w:r>
          </w:p>
        </w:tc>
      </w:tr>
      <w:tr>
        <w:trPr>
          <w:trHeight w:val="191"/>
        </w:trPr>
        <w:tc>
          <w:tcPr>
            <w:tcW w:w="7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Income tax expense</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22"/>
        </w:trPr>
        <w:tc>
          <w:tcPr>
            <w:tcW w:w="7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2"/>
        </w:trPr>
        <w:tc>
          <w:tcPr>
            <w:tcW w:w="78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w:t>
            </w:r>
          </w:p>
        </w:tc>
      </w:tr>
      <w:tr>
        <w:trPr>
          <w:trHeight w:val="191"/>
        </w:trPr>
        <w:tc>
          <w:tcPr>
            <w:tcW w:w="7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amortization</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r>
      <w:tr>
        <w:trPr>
          <w:trHeight w:val="22"/>
        </w:trPr>
        <w:tc>
          <w:tcPr>
            <w:tcW w:w="7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2"/>
        </w:trPr>
        <w:tc>
          <w:tcPr>
            <w:tcW w:w="78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w:t>
            </w:r>
          </w:p>
        </w:tc>
      </w:tr>
      <w:tr>
        <w:trPr>
          <w:trHeight w:val="191"/>
        </w:trPr>
        <w:tc>
          <w:tcPr>
            <w:tcW w:w="7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Transaction-related and other non-recurring or unusual costs</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r>
      <w:tr>
        <w:trPr>
          <w:trHeight w:val="22"/>
        </w:trPr>
        <w:tc>
          <w:tcPr>
            <w:tcW w:w="7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8"/>
        </w:trPr>
        <w:tc>
          <w:tcPr>
            <w:tcW w:w="7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Adjusted EBITDA from continuing operations</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40,669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44,945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 of Certain Components of Financial Data</w:t>
      </w:r>
    </w:p>
    <w:p>
      <w:pPr>
        <w:spacing w:after="0" w:line="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Each of the components of our financial results described below relate to continuing operations. For additional information concerning our accounting policies, see Note 2. Summary of Significant Accounting Policies in the notes to the consolidated financial statements included in our Annual Report on Form 10-K.</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p>
      <w:pPr>
        <w:spacing w:after="0" w:line="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We derive our revenue from two primary sources which are described in detail below: (i) Subscription and Transaction Fees, which are primarily recurring revenue streams, and (ii) Other revenue, which consists primarily of the sale of distinct professional services and hardware. Our revenue recognition policies are discussed in more detail below under </w:t>
      </w:r>
      <w:r>
        <w:rPr>
          <w:rFonts w:ascii="Times New Roman" w:cs="Times New Roman" w:eastAsia="Times New Roman" w:hAnsi="Times New Roman"/>
          <w:sz w:val="14"/>
          <w:szCs w:val="14"/>
          <w:i w:val="1"/>
          <w:iCs w:val="1"/>
          <w:color w:val="auto"/>
        </w:rPr>
        <w:t>“Critical Accounting Policies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Significant Judgments and Estimates.”</w:t>
      </w:r>
    </w:p>
    <w:p>
      <w:pPr>
        <w:spacing w:after="0" w:line="3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Subscription and Transaction Fees</w:t>
      </w:r>
      <w:r>
        <w:rPr>
          <w:rFonts w:ascii="Times New Roman" w:cs="Times New Roman" w:eastAsia="Times New Roman" w:hAnsi="Times New Roman"/>
          <w:sz w:val="14"/>
          <w:szCs w:val="14"/>
          <w:color w:val="auto"/>
        </w:rPr>
        <w:t>: Revenue includes (i) recurring monthly, quarterly and annual SaaS subscriptions and software license and maintenance fees from the sale of our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Management, Customer Engagement solutions; (ii) Billing and payment solutions - payment processing fees based on the transaction volumes processed through our integrated payment solutions and processing fees based on transaction volumes for our revenue cycle management, chronic care management and health insurance clearinghouse solutions; and (iii) membership subscriptions and our share of rebates from suppliers generated though group purchasing programs. Our revenue from payment processing fees is recorded net of credit card and ACH processing and interchange charges in the month the services are performed.</w:t>
      </w:r>
    </w:p>
    <w:p>
      <w:pPr>
        <w:spacing w:after="0" w:line="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Other</w:t>
      </w:r>
      <w:r>
        <w:rPr>
          <w:rFonts w:ascii="Times New Roman" w:cs="Times New Roman" w:eastAsia="Times New Roman" w:hAnsi="Times New Roman"/>
          <w:sz w:val="14"/>
          <w:szCs w:val="14"/>
          <w:color w:val="auto"/>
        </w:rPr>
        <w:t>: Revenue includes (i) consulting, implementation, training and other professional services; (ii) website development; (iii) revenue from various business development partnerships; (iv) event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income; and (v) hardware sales related to our business management or payment software solutions.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Revenues</w:t>
      </w:r>
    </w:p>
    <w:p>
      <w:pPr>
        <w:spacing w:after="0" w:line="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Cost of revenue (exclusive of depreciation and amortization) consists of expenses related to delivering our services and products and providing support to our customers and includes employee costs and related overhead, customer credit card processing fees, targeted mail costs, third-party fulfillment costs and software hosting expenses.</w:t>
      </w:r>
    </w:p>
    <w:p>
      <w:pPr>
        <w:spacing w:after="0" w:line="1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We expect that cost of revenue as a percentage of revenue will fluctuate from period to period based on a variety of factors, including the rate of growth of subscription and transaction fees, labor costs, third-party expenses and acquisitions and dispositions. For the three months ended March 31, 2026, revenue from subscription and transaction fees increased 3.1%, compared to the prior year period.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and Marketing</w:t>
      </w:r>
    </w:p>
    <w:p>
      <w:pPr>
        <w:spacing w:after="0" w:line="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Sales and marketing expense consists primarily of employee costs for our sales and marketing personnel, including salaries, benefits, bonuses, stock-based compensation and sales commissions. Sales and marketing expenses also include advertising costs, travel-related expenses and costs to market and promote our products, direct customer acquisition costs, costs related to conferences and events and partner/broker commissions. Software and subscription services dedicated for use by our sales and marketing organization, and outside services contracted for sales and marketing purposes are also included in sales and marketing expense. Sales commissions that are incremental to obtaining a customer contract are deferred and amortized ratably over the estimated period of our relationship with that customer. We expect our sales and marketing expenses will increase in absolute dollars and may increase as a percentage of revenue for the foreseeable future as we continue to increase investments to support our growth.</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1"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Development</w:t>
      </w:r>
    </w:p>
    <w:p>
      <w:pPr>
        <w:spacing w:after="0" w:line="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Product development expense consists primarily of employee costs for our product development personnel, including salaries, benefits, stock-based compensation and bonuses. Product development expenses also include third-party outsourced technology costs incurred in developing our platforms, and computer equipment, software and subscription services dedicated for use by our product development organization. We expect our product development expenses to increase in absolute dollars and increase as a percentage of revenue during 2026 as we continue to dedicate substantial resources to develop, improve and expand the functionality of our solutions.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w:t>
      </w:r>
    </w:p>
    <w:p>
      <w:pPr>
        <w:spacing w:after="0" w:line="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General and administrative expense consists of employee costs for our executive leadership, accounting, finance, legal, human resources and other administrative personnel, including salaries, benefits, bonuses and stock-based compensation. General and administrative expenses also include external legal, accounting and other professional services fees, rent, software and subscription services dedicated for use by our general and administrative employees and other general corporate expenses. We expect general and administrative expense to increase on an absolute dollar basis for the foreseeable future due to increased costs as a result of being a public company. As we are able to further scale our operations in the future, we would expect that general and administrative expenses would decrease as a percentage of revenue.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Depreciation and Amortization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and amortization primarily relate to intangible assets, property and equipment and capitalized software.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Loss on Sale and Impairments</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Loss on sale relates to the divestiture of marketing technology solutions. Impairments include goodwill impairment charges and operating lease impairments related to the Company’s decision to cease use of certain leased premises and sublease certain facilities.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and Other Expense, net</w:t>
      </w:r>
    </w:p>
    <w:p>
      <w:pPr>
        <w:spacing w:after="0" w:line="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Interest and other expense, net, primarily consists of interest expense on long-term debt, net of interest income. It also includes amortization expense of financing costs and discounts, income from the TSA, as well as realized and unrealized gains and losses related to interest rate swap agreements.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Expense</w:t>
      </w:r>
    </w:p>
    <w:p>
      <w:pPr>
        <w:spacing w:after="0" w:line="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U.S. GAAP requires deferred tax assets and liabilities to be recognized for temporary differences between the tax basis and financial reporting basis of assets and liabilities, computed at the expected tax rates for the periods in which the assets or liabilities will be realized, as well as for the expected tax (expense) benefit of net operating loss and tax credit carryforwards. Income taxes are recognized for the amount of taxes payable by the Company's corporate subsidiaries for the current year and for the impact of deferred tax assets and liabilities, which represent future tax consequences of events that have been recognized differently in the financial statements than for tax purposes.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1"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following tables summarize key components of our results of operations for the periods presented. The period-to-period comparison of our historical results are not necessarily indicative of our results of operations that may be expected in the future. The following comparative information for results of operations for all periods presented have been adjusted to reflect discontinued operations related to marketing technology solutions and includes the operating results of Fitness Solutions for all periods through the applicable date of sale.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three months ended March 31, 2026 and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gridSpan w:val="5"/>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8"/>
              </w:rPr>
              <w:t>Three months ended</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4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5"/>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March 31,</w:t>
            </w:r>
          </w:p>
        </w:tc>
        <w:tc>
          <w:tcPr>
            <w:tcW w:w="200" w:type="dxa"/>
            <w:vAlign w:val="bottom"/>
          </w:tcPr>
          <w:p>
            <w:pPr>
              <w:spacing w:after="0"/>
              <w:rPr>
                <w:sz w:val="16"/>
                <w:szCs w:val="16"/>
                <w:color w:val="auto"/>
              </w:rPr>
            </w:pPr>
          </w:p>
        </w:tc>
        <w:tc>
          <w:tcPr>
            <w:tcW w:w="880" w:type="dxa"/>
            <w:vAlign w:val="bottom"/>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0" w:type="dxa"/>
            <w:vAlign w:val="bottom"/>
          </w:tcPr>
          <w:p>
            <w:pPr>
              <w:spacing w:after="0"/>
              <w:rPr>
                <w:sz w:val="1"/>
                <w:szCs w:val="1"/>
                <w:color w:val="auto"/>
              </w:rPr>
            </w:pPr>
          </w:p>
        </w:tc>
      </w:tr>
      <w:tr>
        <w:trPr>
          <w:trHeight w:val="192"/>
        </w:trPr>
        <w:tc>
          <w:tcPr>
            <w:tcW w:w="54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92"/>
        </w:trPr>
        <w:tc>
          <w:tcPr>
            <w:tcW w:w="54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i w:val="1"/>
                <w:iCs w:val="1"/>
                <w:color w:val="auto"/>
                <w:w w:val="98"/>
              </w:rPr>
              <w:t>(in thousands)</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4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Subscription and transaction fees</w:t>
            </w:r>
          </w:p>
        </w:tc>
        <w:tc>
          <w:tcPr>
            <w:tcW w:w="2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142,099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137,779</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4,320</w:t>
            </w:r>
          </w:p>
        </w:tc>
        <w:tc>
          <w:tcPr>
            <w:tcW w:w="0" w:type="dxa"/>
            <w:vAlign w:val="bottom"/>
          </w:tcPr>
          <w:p>
            <w:pPr>
              <w:spacing w:after="0"/>
              <w:rPr>
                <w:sz w:val="1"/>
                <w:szCs w:val="1"/>
                <w:color w:val="auto"/>
              </w:rPr>
            </w:pPr>
          </w:p>
        </w:tc>
      </w:tr>
      <w:tr>
        <w:trPr>
          <w:trHeight w:val="22"/>
        </w:trPr>
        <w:tc>
          <w:tcPr>
            <w:tcW w:w="54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4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24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0" w:type="dxa"/>
            <w:vAlign w:val="bottom"/>
          </w:tcPr>
          <w:p>
            <w:pPr>
              <w:spacing w:after="0"/>
              <w:rPr>
                <w:sz w:val="1"/>
                <w:szCs w:val="1"/>
                <w:color w:val="auto"/>
              </w:rPr>
            </w:pPr>
          </w:p>
        </w:tc>
      </w:tr>
      <w:tr>
        <w:trPr>
          <w:trHeight w:val="181"/>
        </w:trPr>
        <w:tc>
          <w:tcPr>
            <w:tcW w:w="5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revenues</w:t>
            </w:r>
          </w:p>
        </w:tc>
        <w:tc>
          <w:tcPr>
            <w:tcW w:w="24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147,465</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142,273</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5,192</w:t>
            </w:r>
          </w:p>
        </w:tc>
        <w:tc>
          <w:tcPr>
            <w:tcW w:w="0" w:type="dxa"/>
            <w:vAlign w:val="bottom"/>
          </w:tcPr>
          <w:p>
            <w:pPr>
              <w:spacing w:after="0"/>
              <w:rPr>
                <w:sz w:val="1"/>
                <w:szCs w:val="1"/>
                <w:color w:val="auto"/>
              </w:rPr>
            </w:pPr>
          </w:p>
        </w:tc>
      </w:tr>
      <w:tr>
        <w:trPr>
          <w:trHeight w:val="22"/>
        </w:trPr>
        <w:tc>
          <w:tcPr>
            <w:tcW w:w="54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4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xml:space="preserve">Cost of revenues </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(exclusive of depreciation and amortization presented separately below)</w:t>
            </w: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w:t>
            </w:r>
          </w:p>
        </w:tc>
        <w:tc>
          <w:tcPr>
            <w:tcW w:w="0" w:type="dxa"/>
            <w:vAlign w:val="bottom"/>
          </w:tcPr>
          <w:p>
            <w:pPr>
              <w:spacing w:after="0"/>
              <w:rPr>
                <w:sz w:val="1"/>
                <w:szCs w:val="1"/>
                <w:color w:val="auto"/>
              </w:rPr>
            </w:pPr>
          </w:p>
        </w:tc>
      </w:tr>
      <w:tr>
        <w:trPr>
          <w:trHeight w:val="212"/>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xml:space="preserve">Sales and marketing </w:t>
            </w:r>
            <w:r>
              <w:rPr>
                <w:rFonts w:ascii="Times New Roman" w:cs="Times New Roman" w:eastAsia="Times New Roman" w:hAnsi="Times New Roman"/>
                <w:sz w:val="18"/>
                <w:szCs w:val="18"/>
                <w:color w:val="auto"/>
                <w:vertAlign w:val="superscript"/>
              </w:rPr>
              <w:t>(1)</w:t>
            </w:r>
          </w:p>
        </w:tc>
        <w:tc>
          <w:tcPr>
            <w:tcW w:w="2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4,304</w:t>
            </w:r>
          </w:p>
        </w:tc>
        <w:tc>
          <w:tcPr>
            <w:tcW w:w="0" w:type="dxa"/>
            <w:vAlign w:val="bottom"/>
          </w:tcPr>
          <w:p>
            <w:pPr>
              <w:spacing w:after="0"/>
              <w:rPr>
                <w:sz w:val="1"/>
                <w:szCs w:val="1"/>
                <w:color w:val="auto"/>
              </w:rPr>
            </w:pPr>
          </w:p>
        </w:tc>
      </w:tr>
      <w:tr>
        <w:trPr>
          <w:trHeight w:val="212"/>
        </w:trPr>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xml:space="preserve">Product development </w:t>
            </w:r>
            <w:r>
              <w:rPr>
                <w:rFonts w:ascii="Times New Roman" w:cs="Times New Roman" w:eastAsia="Times New Roman" w:hAnsi="Times New Roman"/>
                <w:sz w:val="18"/>
                <w:szCs w:val="18"/>
                <w:color w:val="auto"/>
                <w:vertAlign w:val="superscript"/>
              </w:rPr>
              <w:t>(1)</w:t>
            </w: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w:t>
            </w:r>
          </w:p>
        </w:tc>
        <w:tc>
          <w:tcPr>
            <w:tcW w:w="0" w:type="dxa"/>
            <w:vAlign w:val="bottom"/>
          </w:tcPr>
          <w:p>
            <w:pPr>
              <w:spacing w:after="0"/>
              <w:rPr>
                <w:sz w:val="1"/>
                <w:szCs w:val="1"/>
                <w:color w:val="auto"/>
              </w:rPr>
            </w:pPr>
          </w:p>
        </w:tc>
      </w:tr>
      <w:tr>
        <w:trPr>
          <w:trHeight w:val="212"/>
        </w:trPr>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xml:space="preserve">General and administrative </w:t>
            </w:r>
            <w:r>
              <w:rPr>
                <w:rFonts w:ascii="Times New Roman" w:cs="Times New Roman" w:eastAsia="Times New Roman" w:hAnsi="Times New Roman"/>
                <w:sz w:val="18"/>
                <w:szCs w:val="18"/>
                <w:color w:val="auto"/>
                <w:vertAlign w:val="superscript"/>
              </w:rPr>
              <w:t>(1)</w:t>
            </w:r>
          </w:p>
        </w:tc>
        <w:tc>
          <w:tcPr>
            <w:tcW w:w="2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w:t>
            </w:r>
          </w:p>
        </w:tc>
        <w:tc>
          <w:tcPr>
            <w:tcW w:w="0" w:type="dxa"/>
            <w:vAlign w:val="bottom"/>
          </w:tcPr>
          <w:p>
            <w:pPr>
              <w:spacing w:after="0"/>
              <w:rPr>
                <w:sz w:val="1"/>
                <w:szCs w:val="1"/>
                <w:color w:val="auto"/>
              </w:rPr>
            </w:pPr>
          </w:p>
        </w:tc>
      </w:tr>
      <w:tr>
        <w:trPr>
          <w:trHeight w:val="191"/>
        </w:trPr>
        <w:tc>
          <w:tcPr>
            <w:tcW w:w="5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(1,653)</w:t>
            </w:r>
          </w:p>
        </w:tc>
        <w:tc>
          <w:tcPr>
            <w:tcW w:w="0" w:type="dxa"/>
            <w:vAlign w:val="bottom"/>
          </w:tcPr>
          <w:p>
            <w:pPr>
              <w:spacing w:after="0"/>
              <w:rPr>
                <w:sz w:val="1"/>
                <w:szCs w:val="1"/>
                <w:color w:val="auto"/>
              </w:rPr>
            </w:pPr>
          </w:p>
        </w:tc>
      </w:tr>
      <w:tr>
        <w:trPr>
          <w:trHeight w:val="22"/>
        </w:trPr>
        <w:tc>
          <w:tcPr>
            <w:tcW w:w="54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4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 on sale and impairments</w:t>
            </w:r>
          </w:p>
        </w:tc>
        <w:tc>
          <w:tcPr>
            <w:tcW w:w="24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81"/>
        </w:trPr>
        <w:tc>
          <w:tcPr>
            <w:tcW w:w="5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4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134,888</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128,068</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6,820</w:t>
            </w:r>
          </w:p>
        </w:tc>
        <w:tc>
          <w:tcPr>
            <w:tcW w:w="0" w:type="dxa"/>
            <w:vAlign w:val="bottom"/>
          </w:tcPr>
          <w:p>
            <w:pPr>
              <w:spacing w:after="0"/>
              <w:rPr>
                <w:sz w:val="1"/>
                <w:szCs w:val="1"/>
                <w:color w:val="auto"/>
              </w:rPr>
            </w:pPr>
          </w:p>
        </w:tc>
      </w:tr>
      <w:tr>
        <w:trPr>
          <w:trHeight w:val="22"/>
        </w:trPr>
        <w:tc>
          <w:tcPr>
            <w:tcW w:w="54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Operating income</w:t>
            </w:r>
          </w:p>
        </w:tc>
        <w:tc>
          <w:tcPr>
            <w:tcW w:w="24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w:t>
            </w:r>
          </w:p>
        </w:tc>
        <w:tc>
          <w:tcPr>
            <w:tcW w:w="0" w:type="dxa"/>
            <w:vAlign w:val="bottom"/>
          </w:tcPr>
          <w:p>
            <w:pPr>
              <w:spacing w:after="0"/>
              <w:rPr>
                <w:sz w:val="1"/>
                <w:szCs w:val="1"/>
                <w:color w:val="auto"/>
              </w:rPr>
            </w:pPr>
          </w:p>
        </w:tc>
      </w:tr>
      <w:tr>
        <w:trPr>
          <w:trHeight w:val="191"/>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other expense, net</w:t>
            </w:r>
          </w:p>
        </w:tc>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7,985</w:t>
            </w:r>
          </w:p>
        </w:tc>
        <w:tc>
          <w:tcPr>
            <w:tcW w:w="0" w:type="dxa"/>
            <w:vAlign w:val="bottom"/>
          </w:tcPr>
          <w:p>
            <w:pPr>
              <w:spacing w:after="0"/>
              <w:rPr>
                <w:sz w:val="1"/>
                <w:szCs w:val="1"/>
                <w:color w:val="auto"/>
              </w:rPr>
            </w:pPr>
          </w:p>
        </w:tc>
      </w:tr>
      <w:tr>
        <w:trPr>
          <w:trHeight w:val="22"/>
        </w:trPr>
        <w:tc>
          <w:tcPr>
            <w:tcW w:w="54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income from continuing operations before income tax expense</w:t>
            </w:r>
          </w:p>
        </w:tc>
        <w:tc>
          <w:tcPr>
            <w:tcW w:w="24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6,357</w:t>
            </w:r>
          </w:p>
        </w:tc>
        <w:tc>
          <w:tcPr>
            <w:tcW w:w="0" w:type="dxa"/>
            <w:vAlign w:val="bottom"/>
          </w:tcPr>
          <w:p>
            <w:pPr>
              <w:spacing w:after="0"/>
              <w:rPr>
                <w:sz w:val="1"/>
                <w:szCs w:val="1"/>
                <w:color w:val="auto"/>
              </w:rPr>
            </w:pPr>
          </w:p>
        </w:tc>
      </w:tr>
      <w:tr>
        <w:trPr>
          <w:trHeight w:val="191"/>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22"/>
        </w:trPr>
        <w:tc>
          <w:tcPr>
            <w:tcW w:w="54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24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6,237</w:t>
            </w:r>
          </w:p>
        </w:tc>
        <w:tc>
          <w:tcPr>
            <w:tcW w:w="0" w:type="dxa"/>
            <w:vAlign w:val="bottom"/>
          </w:tcPr>
          <w:p>
            <w:pPr>
              <w:spacing w:after="0"/>
              <w:rPr>
                <w:sz w:val="1"/>
                <w:szCs w:val="1"/>
                <w:color w:val="auto"/>
              </w:rPr>
            </w:pPr>
          </w:p>
        </w:tc>
      </w:tr>
      <w:tr>
        <w:trPr>
          <w:trHeight w:val="191"/>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from discontinued operations, net of income tax</w:t>
            </w:r>
          </w:p>
        </w:tc>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8,647</w:t>
            </w:r>
          </w:p>
        </w:tc>
        <w:tc>
          <w:tcPr>
            <w:tcW w:w="0" w:type="dxa"/>
            <w:vAlign w:val="bottom"/>
          </w:tcPr>
          <w:p>
            <w:pPr>
              <w:spacing w:after="0"/>
              <w:rPr>
                <w:sz w:val="1"/>
                <w:szCs w:val="1"/>
                <w:color w:val="auto"/>
              </w:rPr>
            </w:pPr>
          </w:p>
        </w:tc>
      </w:tr>
      <w:tr>
        <w:trPr>
          <w:trHeight w:val="22"/>
        </w:trPr>
        <w:tc>
          <w:tcPr>
            <w:tcW w:w="54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income (loss)</w:t>
            </w:r>
          </w:p>
        </w:tc>
        <w:tc>
          <w:tcPr>
            <w:tcW w:w="2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14,884</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14"/>
                <w:szCs w:val="14"/>
                <w:color w:val="auto"/>
              </w:rPr>
              <w:t>(1) Includes stock-based compensation expense as follows:</w:t>
            </w:r>
          </w:p>
        </w:tc>
        <w:tc>
          <w:tcPr>
            <w:tcW w:w="2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440" w:type="dxa"/>
            <w:vAlign w:val="bottom"/>
            <w:vMerge w:val="continue"/>
          </w:tcPr>
          <w:p>
            <w:pPr>
              <w:spacing w:after="0"/>
              <w:rPr>
                <w:sz w:val="22"/>
                <w:szCs w:val="22"/>
                <w:color w:val="auto"/>
              </w:rPr>
            </w:pPr>
          </w:p>
        </w:tc>
        <w:tc>
          <w:tcPr>
            <w:tcW w:w="2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7"/>
        </w:trPr>
        <w:tc>
          <w:tcPr>
            <w:tcW w:w="54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gridSpan w:val="5"/>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8"/>
              </w:rPr>
              <w:t>Three months ended</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4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5"/>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March 31,</w:t>
            </w:r>
          </w:p>
        </w:tc>
        <w:tc>
          <w:tcPr>
            <w:tcW w:w="200" w:type="dxa"/>
            <w:vAlign w:val="bottom"/>
          </w:tcPr>
          <w:p>
            <w:pPr>
              <w:spacing w:after="0"/>
              <w:rPr>
                <w:sz w:val="16"/>
                <w:szCs w:val="16"/>
                <w:color w:val="auto"/>
              </w:rPr>
            </w:pPr>
          </w:p>
        </w:tc>
        <w:tc>
          <w:tcPr>
            <w:tcW w:w="880" w:type="dxa"/>
            <w:vAlign w:val="bottom"/>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0" w:type="dxa"/>
            <w:vAlign w:val="bottom"/>
          </w:tcPr>
          <w:p>
            <w:pPr>
              <w:spacing w:after="0"/>
              <w:rPr>
                <w:sz w:val="1"/>
                <w:szCs w:val="1"/>
                <w:color w:val="auto"/>
              </w:rPr>
            </w:pPr>
          </w:p>
        </w:tc>
      </w:tr>
      <w:tr>
        <w:trPr>
          <w:trHeight w:val="192"/>
        </w:trPr>
        <w:tc>
          <w:tcPr>
            <w:tcW w:w="54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70"/>
        </w:trPr>
        <w:tc>
          <w:tcPr>
            <w:tcW w:w="54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5440" w:type="dxa"/>
            <w:vAlign w:val="bottom"/>
          </w:tcPr>
          <w:p>
            <w:pPr>
              <w:spacing w:after="0"/>
              <w:rPr>
                <w:sz w:val="2"/>
                <w:szCs w:val="2"/>
                <w:color w:val="auto"/>
              </w:rPr>
            </w:pPr>
          </w:p>
        </w:tc>
        <w:tc>
          <w:tcPr>
            <w:tcW w:w="266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revenues</w:t>
            </w:r>
          </w:p>
        </w:tc>
        <w:tc>
          <w:tcPr>
            <w:tcW w:w="2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1"/>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2"/>
        </w:trPr>
        <w:tc>
          <w:tcPr>
            <w:tcW w:w="54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 development</w:t>
            </w:r>
          </w:p>
        </w:tc>
        <w:tc>
          <w:tcPr>
            <w:tcW w:w="24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191"/>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w:t>
            </w:r>
          </w:p>
        </w:tc>
        <w:tc>
          <w:tcPr>
            <w:tcW w:w="0" w:type="dxa"/>
            <w:vAlign w:val="bottom"/>
          </w:tcPr>
          <w:p>
            <w:pPr>
              <w:spacing w:after="0"/>
              <w:rPr>
                <w:sz w:val="1"/>
                <w:szCs w:val="1"/>
                <w:color w:val="auto"/>
              </w:rPr>
            </w:pPr>
          </w:p>
        </w:tc>
      </w:tr>
      <w:tr>
        <w:trPr>
          <w:trHeight w:val="22"/>
        </w:trPr>
        <w:tc>
          <w:tcPr>
            <w:tcW w:w="54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2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CCEEFF"/>
            </w:tcBorders>
            <w:vMerge w:val="restart"/>
          </w:tcPr>
          <w:p>
            <w:pPr>
              <w:jc w:val="right"/>
              <w:ind w:right="2049"/>
              <w:spacing w:after="0"/>
              <w:rPr>
                <w:sz w:val="20"/>
                <w:szCs w:val="20"/>
                <w:color w:val="auto"/>
              </w:rPr>
            </w:pPr>
            <w:r>
              <w:rPr>
                <w:rFonts w:ascii="Times New Roman" w:cs="Times New Roman" w:eastAsia="Times New Roman" w:hAnsi="Times New Roman"/>
                <w:sz w:val="14"/>
                <w:szCs w:val="14"/>
                <w:color w:val="auto"/>
              </w:rPr>
              <w:t>26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544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440" w:type="dxa"/>
            <w:vAlign w:val="bottom"/>
            <w:tcBorders>
              <w:bottom w:val="single" w:sz="8" w:color="9A9A9A"/>
            </w:tcBorders>
          </w:tcPr>
          <w:p>
            <w:pPr>
              <w:spacing w:after="0"/>
              <w:rPr>
                <w:sz w:val="7"/>
                <w:szCs w:val="7"/>
                <w:color w:val="auto"/>
              </w:rPr>
            </w:pPr>
          </w:p>
        </w:tc>
        <w:tc>
          <w:tcPr>
            <w:tcW w:w="24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61"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three months ended March 31, 2026 and 2025 (percentage of revenue)</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table provides the key components of operating costs within our results of operations as a percentage of revenue for the three months ended March 31, 2026 compared to the same period in 2025.</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60" w:type="dxa"/>
            <w:vAlign w:val="bottom"/>
          </w:tcPr>
          <w:p>
            <w:pPr>
              <w:spacing w:after="0"/>
              <w:rPr>
                <w:sz w:val="12"/>
                <w:szCs w:val="12"/>
                <w:color w:val="auto"/>
              </w:rPr>
            </w:pPr>
          </w:p>
        </w:tc>
        <w:tc>
          <w:tcPr>
            <w:tcW w:w="254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1180" w:type="dxa"/>
            <w:vAlign w:val="bottom"/>
            <w:vMerge w:val="restart"/>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7560" w:type="dxa"/>
            <w:vAlign w:val="bottom"/>
          </w:tcPr>
          <w:p>
            <w:pPr>
              <w:spacing w:after="0"/>
              <w:rPr>
                <w:sz w:val="14"/>
                <w:szCs w:val="14"/>
                <w:color w:val="auto"/>
              </w:rPr>
            </w:pPr>
          </w:p>
        </w:tc>
        <w:tc>
          <w:tcPr>
            <w:tcW w:w="1600" w:type="dxa"/>
            <w:vAlign w:val="bottom"/>
            <w:gridSpan w:val="3"/>
          </w:tcPr>
          <w:p>
            <w:pPr>
              <w:jc w:val="center"/>
              <w:ind w:left="771"/>
              <w:spacing w:after="0"/>
              <w:rPr>
                <w:sz w:val="20"/>
                <w:szCs w:val="20"/>
                <w:color w:val="auto"/>
              </w:rPr>
            </w:pPr>
            <w:r>
              <w:rPr>
                <w:rFonts w:ascii="Times New Roman" w:cs="Times New Roman" w:eastAsia="Times New Roman" w:hAnsi="Times New Roman"/>
                <w:sz w:val="13"/>
                <w:szCs w:val="13"/>
                <w:b w:val="1"/>
                <w:bCs w:val="1"/>
                <w:color w:val="auto"/>
                <w:w w:val="98"/>
              </w:rPr>
              <w:t>March 31,</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75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7560" w:type="dxa"/>
            <w:vAlign w:val="bottom"/>
          </w:tcPr>
          <w:p>
            <w:pPr>
              <w:spacing w:after="0"/>
              <w:rPr>
                <w:sz w:val="16"/>
                <w:szCs w:val="16"/>
                <w:color w:val="auto"/>
              </w:rPr>
            </w:pPr>
          </w:p>
        </w:tc>
        <w:tc>
          <w:tcPr>
            <w:tcW w:w="11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0"/>
        </w:trPr>
        <w:tc>
          <w:tcPr>
            <w:tcW w:w="7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180" w:type="dxa"/>
            <w:vAlign w:val="bottom"/>
            <w:tcBorders>
              <w:bottom w:val="single" w:sz="8" w:color="CCEEFF"/>
            </w:tcBorders>
            <w:shd w:val="clear" w:color="auto" w:fill="CCEEFF"/>
          </w:tcPr>
          <w:p>
            <w:pPr>
              <w:jc w:val="right"/>
              <w:ind w:right="351"/>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Cost of revenues (exclusive of depreciation and amortization presented separately below)</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21.9 %</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0" w:type="dxa"/>
            <w:vAlign w:val="bottom"/>
          </w:tcPr>
          <w:p>
            <w:pPr>
              <w:spacing w:after="0"/>
              <w:rPr>
                <w:sz w:val="1"/>
                <w:szCs w:val="1"/>
                <w:color w:val="auto"/>
              </w:rPr>
            </w:pPr>
          </w:p>
        </w:tc>
      </w:tr>
      <w:tr>
        <w:trPr>
          <w:trHeight w:val="22"/>
        </w:trPr>
        <w:tc>
          <w:tcPr>
            <w:tcW w:w="7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5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Sales and marketing</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22.4 %</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20.2 %</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191"/>
        </w:trPr>
        <w:tc>
          <w:tcPr>
            <w:tcW w:w="7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Product development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14.0 %</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0" w:type="dxa"/>
            <w:vAlign w:val="bottom"/>
          </w:tcPr>
          <w:p>
            <w:pPr>
              <w:spacing w:after="0"/>
              <w:rPr>
                <w:sz w:val="1"/>
                <w:szCs w:val="1"/>
                <w:color w:val="auto"/>
              </w:rPr>
            </w:pPr>
          </w:p>
        </w:tc>
      </w:tr>
      <w:tr>
        <w:trPr>
          <w:trHeight w:val="22"/>
        </w:trPr>
        <w:tc>
          <w:tcPr>
            <w:tcW w:w="7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22.2 %</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22.0 %</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191"/>
        </w:trPr>
        <w:tc>
          <w:tcPr>
            <w:tcW w:w="7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11.8 %</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2"/>
        </w:trPr>
        <w:tc>
          <w:tcPr>
            <w:tcW w:w="7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Loss on sale and impairments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3"/>
        </w:trPr>
        <w:tc>
          <w:tcPr>
            <w:tcW w:w="7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91.5 %</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90.0 %</w:t>
            </w:r>
          </w:p>
        </w:tc>
        <w:tc>
          <w:tcPr>
            <w:tcW w:w="1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While revenue growth remains a key focus, we remain committed to continued expansion of gross margin, net income and Adjusted EBITDA through ongoing transformation initiatives. As a percentage of revenue, the combination of cost of revenue, sales and marketing, product development and general and administrative costs increased from 78.1% for the three months ended March 31, 2025 to 81.2% for the three months ended March 31, 2026, an increase of 310 basis points representing targeted investments for future growth inclusive of costs associated with the ZyraTalk acquisition subsequent to the acquisition date. A discussion on primary drivers follows in the subsequent sections.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gridSpan w:val="5"/>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8"/>
              </w:rPr>
              <w:t>Three months ended</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6"/>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5"/>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March 31,</w:t>
            </w:r>
          </w:p>
        </w:tc>
        <w:tc>
          <w:tcPr>
            <w:tcW w:w="200" w:type="dxa"/>
            <w:vAlign w:val="bottom"/>
          </w:tcPr>
          <w:p>
            <w:pPr>
              <w:spacing w:after="0"/>
              <w:rPr>
                <w:sz w:val="16"/>
                <w:szCs w:val="16"/>
                <w:color w:val="auto"/>
              </w:rPr>
            </w:pPr>
          </w:p>
        </w:tc>
        <w:tc>
          <w:tcPr>
            <w:tcW w:w="880" w:type="dxa"/>
            <w:vAlign w:val="bottom"/>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203"/>
        </w:trPr>
        <w:tc>
          <w:tcPr>
            <w:tcW w:w="78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49"/>
        </w:trPr>
        <w:tc>
          <w:tcPr>
            <w:tcW w:w="7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30"/>
        </w:trPr>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2"/>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r>
      <w:tr>
        <w:trPr>
          <w:trHeight w:val="191"/>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Subscription and transaction fees</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142,099</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137,779</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4,320</w:t>
            </w:r>
          </w:p>
        </w:tc>
      </w:tr>
      <w:tr>
        <w:trPr>
          <w:trHeight w:val="22"/>
        </w:trPr>
        <w:tc>
          <w:tcPr>
            <w:tcW w:w="7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2"/>
        </w:trPr>
        <w:tc>
          <w:tcPr>
            <w:tcW w:w="7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w:t>
            </w:r>
          </w:p>
        </w:tc>
      </w:tr>
      <w:tr>
        <w:trPr>
          <w:trHeight w:val="203"/>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revenues</w:t>
            </w: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147,465</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142,273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5,192</w:t>
            </w:r>
          </w:p>
        </w:tc>
      </w:tr>
      <w:tr>
        <w:trPr>
          <w:trHeight w:val="20"/>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Revenues increased $5.2 million, or 3.6%, for the three months ended March 31, 2026 as compared to the same period in 2025. Revenue from subscription and transaction fees increased 3.1% and other revenue increased 19.4% during the three months ended March 31, 2026 as compared to the prior year period. The majority of our revenue growth is attributable to the successful delivery of system of action capabilities to our SMBs in our verticals of home services, primarily associated with our security and alarm products, as well as our EverHealth product portfolio. The subscription and transaction fees revenue increase consists primarily of increases from (a) business management software, partially offset by a decrease in (b) billing and payment solutions and (c) revenues associated with our share of rebates from suppliers generated through group purchase programs. Business management software revenues drove a $5.9 million increase in subscription and transaction fees revenue for the three months ended March 31, 2026 due to an expansion in our number of customers and certain price increases across our portfolio. Billing and payment solutions revenues decreased $0.7 million during the three months ended March 31, 2026 primarily due to a reduction in take rate on slightly higher total payments volume through our payment platforms. Revenues associated with our share of rebates from suppliers generated through group purchasing programs, which is more closely connected to macro-economic impacts than our core business management software, declined by $0.8 million during the three months ended March 31, 2026. Subscription and transaction fees revenue also includes $0.9 million of post-acquisition revenue from ZyraTalk for the three months ended March 31, 2026 (see Note 3. Acquisition and Disposition in this Quarterly Report on Form 10-Q). Other revenues increased $0.9 million during the three months ended March 31, 2026 as compared to the same period in 2025, primarily driven by higher revenues related to project implementation and customer development services.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2"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Revenues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gridSpan w:val="4"/>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8"/>
              </w:rPr>
              <w:t>Three months ended</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6"/>
        </w:trPr>
        <w:tc>
          <w:tcPr>
            <w:tcW w:w="7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left="455"/>
              <w:spacing w:after="0"/>
              <w:rPr>
                <w:sz w:val="20"/>
                <w:szCs w:val="20"/>
                <w:color w:val="auto"/>
              </w:rPr>
            </w:pPr>
            <w:r>
              <w:rPr>
                <w:rFonts w:ascii="Times New Roman" w:cs="Times New Roman" w:eastAsia="Times New Roman" w:hAnsi="Times New Roman"/>
                <w:sz w:val="13"/>
                <w:szCs w:val="13"/>
                <w:b w:val="1"/>
                <w:bCs w:val="1"/>
                <w:color w:val="auto"/>
                <w:w w:val="98"/>
              </w:rPr>
              <w:t>March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w w:val="98"/>
              </w:rPr>
              <w:t>Change</w:t>
            </w:r>
          </w:p>
        </w:tc>
      </w:tr>
      <w:tr>
        <w:trPr>
          <w:trHeight w:val="192"/>
        </w:trPr>
        <w:tc>
          <w:tcPr>
            <w:tcW w:w="7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3"/>
                <w:szCs w:val="13"/>
                <w:b w:val="1"/>
                <w:bCs w:val="1"/>
                <w:color w:val="auto"/>
              </w:rPr>
              <w:t>2026</w:t>
            </w: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92"/>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3"/>
                <w:szCs w:val="13"/>
                <w:i w:val="1"/>
                <w:iCs w:val="1"/>
                <w:color w:val="auto"/>
                <w:w w:val="97"/>
              </w:rPr>
              <w:t>(dollars in thousands)</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revenues (exclusive of depreciation and amortization presented separately below)</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32,684</w:t>
            </w:r>
          </w:p>
        </w:tc>
        <w:tc>
          <w:tcPr>
            <w:tcW w:w="4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31,188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1,496</w:t>
            </w:r>
          </w:p>
        </w:tc>
      </w:tr>
      <w:tr>
        <w:trPr>
          <w:trHeight w:val="22"/>
        </w:trPr>
        <w:tc>
          <w:tcPr>
            <w:tcW w:w="78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r>
    </w:tbl>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Cost of revenues increased by $1.5 million, or 4.8%, for the three months ended March 31, 2026 as compared to the same period in 2025. The increase for the three-month period was primarily comprised of an additional $1.7 million in software hosting expenses, $0.4 million in application programming interface fees, $0.2 million in software and tools, and $0.2 million in communication services expenses. These increases were partially offset by a $0.7 million decrease in personnel and compensation expenses and a $0.5 million decrease in outsourced services. Cost of revenues includes $0.2 million of post-acquisition expense from ZyraTalk for the three months ended March 31, 2026 (see Note 3. Acquisition and Disposition in this Quarterly Report on Form 10-Q).</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and Marketing</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gridSpan w:val="4"/>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8"/>
              </w:rPr>
              <w:t>Three months ended</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6"/>
        </w:trPr>
        <w:tc>
          <w:tcPr>
            <w:tcW w:w="7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left="455"/>
              <w:spacing w:after="0"/>
              <w:rPr>
                <w:sz w:val="20"/>
                <w:szCs w:val="20"/>
                <w:color w:val="auto"/>
              </w:rPr>
            </w:pPr>
            <w:r>
              <w:rPr>
                <w:rFonts w:ascii="Times New Roman" w:cs="Times New Roman" w:eastAsia="Times New Roman" w:hAnsi="Times New Roman"/>
                <w:sz w:val="13"/>
                <w:szCs w:val="13"/>
                <w:b w:val="1"/>
                <w:bCs w:val="1"/>
                <w:color w:val="auto"/>
                <w:w w:val="98"/>
              </w:rPr>
              <w:t>March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w w:val="98"/>
              </w:rPr>
              <w:t>Change</w:t>
            </w:r>
          </w:p>
        </w:tc>
      </w:tr>
      <w:tr>
        <w:trPr>
          <w:trHeight w:val="192"/>
        </w:trPr>
        <w:tc>
          <w:tcPr>
            <w:tcW w:w="7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3"/>
                <w:szCs w:val="13"/>
                <w:b w:val="1"/>
                <w:bCs w:val="1"/>
                <w:color w:val="auto"/>
              </w:rPr>
              <w:t>2026</w:t>
            </w: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92"/>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3"/>
                <w:szCs w:val="13"/>
                <w:i w:val="1"/>
                <w:iCs w:val="1"/>
                <w:color w:val="auto"/>
                <w:w w:val="97"/>
              </w:rPr>
              <w:t>(dollars in thousands)</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33,087</w:t>
            </w:r>
          </w:p>
        </w:tc>
        <w:tc>
          <w:tcPr>
            <w:tcW w:w="4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28,783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4,304</w:t>
            </w:r>
          </w:p>
        </w:tc>
      </w:tr>
      <w:tr>
        <w:trPr>
          <w:trHeight w:val="22"/>
        </w:trPr>
        <w:tc>
          <w:tcPr>
            <w:tcW w:w="78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r>
    </w:tbl>
    <w:p>
      <w:pPr>
        <w:spacing w:after="0" w:line="13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Sales and marketing expenses increased $4.3 million, or 15.0%, for the three months ended March 31, 2026 as compared to the same period in 2025. The increase was driven primarily by an additional $3.5 million in personnel and compensation expenses and $0.8 million in advertising expense. Sales and marketing expenses include $0.5 million of post-acquisition expense from ZyraTalk for the three months ended March 31, 2026 (see Note 3. Acquisition and Disposition in this Quarterly Report on Form 10-Q).</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Development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00" w:type="dxa"/>
            <w:vAlign w:val="bottom"/>
            <w:gridSpan w:val="4"/>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8"/>
              </w:rPr>
              <w:t>Three months ended</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5"/>
        </w:trPr>
        <w:tc>
          <w:tcPr>
            <w:tcW w:w="78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left="455"/>
              <w:spacing w:after="0"/>
              <w:rPr>
                <w:sz w:val="20"/>
                <w:szCs w:val="20"/>
                <w:color w:val="auto"/>
              </w:rPr>
            </w:pPr>
            <w:r>
              <w:rPr>
                <w:rFonts w:ascii="Times New Roman" w:cs="Times New Roman" w:eastAsia="Times New Roman" w:hAnsi="Times New Roman"/>
                <w:sz w:val="13"/>
                <w:szCs w:val="13"/>
                <w:b w:val="1"/>
                <w:bCs w:val="1"/>
                <w:color w:val="auto"/>
                <w:w w:val="98"/>
              </w:rPr>
              <w:t>March 31,</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w w:val="98"/>
              </w:rPr>
              <w:t>Change</w:t>
            </w:r>
          </w:p>
        </w:tc>
      </w:tr>
      <w:tr>
        <w:trPr>
          <w:trHeight w:val="182"/>
        </w:trPr>
        <w:tc>
          <w:tcPr>
            <w:tcW w:w="78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3"/>
                <w:szCs w:val="13"/>
                <w:b w:val="1"/>
                <w:bCs w:val="1"/>
                <w:color w:val="auto"/>
              </w:rPr>
              <w:t>2026</w:t>
            </w: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92"/>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3"/>
                <w:szCs w:val="13"/>
                <w:i w:val="1"/>
                <w:iCs w:val="1"/>
                <w:color w:val="auto"/>
                <w:w w:val="97"/>
              </w:rPr>
              <w:t>(dollars in thousands)</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 development</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21,199</w:t>
            </w:r>
          </w:p>
        </w:tc>
        <w:tc>
          <w:tcPr>
            <w:tcW w:w="4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19,963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1,236</w:t>
            </w:r>
          </w:p>
        </w:tc>
      </w:tr>
      <w:tr>
        <w:trPr>
          <w:trHeight w:val="22"/>
        </w:trPr>
        <w:tc>
          <w:tcPr>
            <w:tcW w:w="78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r>
    </w:tbl>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Product development expenses increased by $1.2 million, or 6.2%, for the three months ended March 31, 2026 as compared to the same period in 2025. The increase was primarily comprised of an additional $0.8 million in software and tools, driven by investments in our technology and teams to support our various solutions as well as centralized security operations, information technology and cloud engineering, a $0.3 million increase in personnel and compensation expenses, and a $0.2 million increase in stock-based compensation. Product developments expenses include $0.4 million of post-acquisition expense from ZyraTalk for the three months ended March 31, 2026 (see Note 3. Acquisition and Disposition in this Quarterly Report on Form 10-Q).</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gridSpan w:val="4"/>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8"/>
              </w:rPr>
              <w:t>Three months ended</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6"/>
        </w:trPr>
        <w:tc>
          <w:tcPr>
            <w:tcW w:w="7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left="455"/>
              <w:spacing w:after="0"/>
              <w:rPr>
                <w:sz w:val="20"/>
                <w:szCs w:val="20"/>
                <w:color w:val="auto"/>
              </w:rPr>
            </w:pPr>
            <w:r>
              <w:rPr>
                <w:rFonts w:ascii="Times New Roman" w:cs="Times New Roman" w:eastAsia="Times New Roman" w:hAnsi="Times New Roman"/>
                <w:sz w:val="13"/>
                <w:szCs w:val="13"/>
                <w:b w:val="1"/>
                <w:bCs w:val="1"/>
                <w:color w:val="auto"/>
                <w:w w:val="98"/>
              </w:rPr>
              <w:t>March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w w:val="98"/>
              </w:rPr>
              <w:t>Change</w:t>
            </w:r>
          </w:p>
        </w:tc>
      </w:tr>
      <w:tr>
        <w:trPr>
          <w:trHeight w:val="192"/>
        </w:trPr>
        <w:tc>
          <w:tcPr>
            <w:tcW w:w="7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3"/>
                <w:szCs w:val="13"/>
                <w:b w:val="1"/>
                <w:bCs w:val="1"/>
                <w:color w:val="auto"/>
              </w:rPr>
              <w:t>2026</w:t>
            </w: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92"/>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3"/>
                <w:szCs w:val="13"/>
                <w:i w:val="1"/>
                <w:iCs w:val="1"/>
                <w:color w:val="auto"/>
                <w:w w:val="97"/>
              </w:rPr>
              <w:t>(dollars in thousands)</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32,672</w:t>
            </w:r>
          </w:p>
        </w:tc>
        <w:tc>
          <w:tcPr>
            <w:tcW w:w="4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31,281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1,391</w:t>
            </w:r>
          </w:p>
        </w:tc>
      </w:tr>
      <w:tr>
        <w:trPr>
          <w:trHeight w:val="22"/>
        </w:trPr>
        <w:tc>
          <w:tcPr>
            <w:tcW w:w="78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General and administrative expenses increased by $1.4 million, or 4.4%, for the three months ended March 31, 2026 as compared to the same period in 2025. The increase was driven primarily by an additional $1.1 million in personnel and compensation expense, $1.1 million of contingent consideration related to the ZyraTalk transaction, $0.8 million in outsourced services as we continue to execute against our transformation strategy for cost optimization, and $0.8 million in software and tools. These increases were partially offset by a $1.1 million reduction in stock-based compensation, a $1.0 million decrease in professional and legal fees, and a $0.3 million decrease in insurance expense. General and administrative expenses include $1.4 million of post-acquisition expense from ZyraTalk for the three months ended March 31, 2026 (see Note 3. Acquisition and Disposition in this Quarterly Report on Form 10-Q).</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2"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i w:val="1"/>
          <w:iCs w:val="1"/>
          <w:color w:val="auto"/>
        </w:rPr>
        <w:t>Depreciation and Amortization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gridSpan w:val="4"/>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8"/>
              </w:rPr>
              <w:t>Three months ended</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6"/>
        </w:trPr>
        <w:tc>
          <w:tcPr>
            <w:tcW w:w="7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left="455"/>
              <w:spacing w:after="0"/>
              <w:rPr>
                <w:sz w:val="20"/>
                <w:szCs w:val="20"/>
                <w:color w:val="auto"/>
              </w:rPr>
            </w:pPr>
            <w:r>
              <w:rPr>
                <w:rFonts w:ascii="Times New Roman" w:cs="Times New Roman" w:eastAsia="Times New Roman" w:hAnsi="Times New Roman"/>
                <w:sz w:val="13"/>
                <w:szCs w:val="13"/>
                <w:b w:val="1"/>
                <w:bCs w:val="1"/>
                <w:color w:val="auto"/>
                <w:w w:val="98"/>
              </w:rPr>
              <w:t>March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w w:val="98"/>
              </w:rPr>
              <w:t>Change</w:t>
            </w:r>
          </w:p>
        </w:tc>
      </w:tr>
      <w:tr>
        <w:trPr>
          <w:trHeight w:val="182"/>
        </w:trPr>
        <w:tc>
          <w:tcPr>
            <w:tcW w:w="78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3"/>
                <w:szCs w:val="13"/>
                <w:b w:val="1"/>
                <w:bCs w:val="1"/>
                <w:color w:val="auto"/>
              </w:rPr>
              <w:t>2026</w:t>
            </w: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2"/>
        </w:trPr>
        <w:tc>
          <w:tcPr>
            <w:tcW w:w="7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3"/>
                <w:szCs w:val="13"/>
                <w:i w:val="1"/>
                <w:iCs w:val="1"/>
                <w:color w:val="auto"/>
                <w:w w:val="97"/>
              </w:rPr>
              <w:t>(dollars in thousands)</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15,115</w:t>
            </w:r>
          </w:p>
        </w:tc>
        <w:tc>
          <w:tcPr>
            <w:tcW w:w="4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16,768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(1,653)</w:t>
            </w:r>
          </w:p>
        </w:tc>
      </w:tr>
      <w:tr>
        <w:trPr>
          <w:trHeight w:val="22"/>
        </w:trPr>
        <w:tc>
          <w:tcPr>
            <w:tcW w:w="78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r>
    </w:tbl>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Depreciation and amortization expenses decreased by $1.7 million, or 9.9%, for the three months ended March 31, 2026 as compared to the same period in 2025. The decrease was driven primarily by lower intangible assets’ amortization due to the reduced rate of replacement assets resulting from a slowdown in business acquisitions. Specifically, the decrease was driven by $2.4 million in lower intangible assets’ amortization and a decrease of $0.1 million of property and equipment depreciation, partially offset by $0.9 million of additional capitalized software amortization.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Loss on Sale and Impairments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40" w:type="dxa"/>
            <w:vAlign w:val="bottom"/>
          </w:tcPr>
          <w:p>
            <w:pPr>
              <w:spacing w:after="0"/>
              <w:rPr>
                <w:sz w:val="12"/>
                <w:szCs w:val="12"/>
                <w:color w:val="auto"/>
              </w:rPr>
            </w:pPr>
          </w:p>
        </w:tc>
        <w:tc>
          <w:tcPr>
            <w:tcW w:w="1940" w:type="dxa"/>
            <w:vAlign w:val="bottom"/>
            <w:gridSpan w:val="3"/>
          </w:tcPr>
          <w:p>
            <w:pPr>
              <w:jc w:val="center"/>
              <w:ind w:left="234"/>
              <w:spacing w:after="0"/>
              <w:rPr>
                <w:sz w:val="20"/>
                <w:szCs w:val="20"/>
                <w:color w:val="auto"/>
              </w:rPr>
            </w:pPr>
            <w:r>
              <w:rPr>
                <w:rFonts w:ascii="Times New Roman" w:cs="Times New Roman" w:eastAsia="Times New Roman" w:hAnsi="Times New Roman"/>
                <w:sz w:val="13"/>
                <w:szCs w:val="13"/>
                <w:b w:val="1"/>
                <w:bCs w:val="1"/>
                <w:color w:val="auto"/>
                <w:w w:val="98"/>
              </w:rPr>
              <w:t>Three months ended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6"/>
        </w:trPr>
        <w:tc>
          <w:tcPr>
            <w:tcW w:w="78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14"/>
              <w:spacing w:after="0"/>
              <w:rPr>
                <w:sz w:val="20"/>
                <w:szCs w:val="20"/>
                <w:color w:val="auto"/>
              </w:rPr>
            </w:pPr>
            <w:r>
              <w:rPr>
                <w:rFonts w:ascii="Times New Roman" w:cs="Times New Roman" w:eastAsia="Times New Roman" w:hAnsi="Times New Roman"/>
                <w:sz w:val="13"/>
                <w:szCs w:val="13"/>
                <w:b w:val="1"/>
                <w:bCs w:val="1"/>
                <w:color w:val="auto"/>
                <w:w w:val="98"/>
              </w:rPr>
              <w:t>March 31,</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w w:val="98"/>
              </w:rPr>
              <w:t>Change</w:t>
            </w:r>
          </w:p>
        </w:tc>
      </w:tr>
      <w:tr>
        <w:trPr>
          <w:trHeight w:val="182"/>
        </w:trPr>
        <w:tc>
          <w:tcPr>
            <w:tcW w:w="784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3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2"/>
        </w:trPr>
        <w:tc>
          <w:tcPr>
            <w:tcW w:w="7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3"/>
                <w:szCs w:val="13"/>
                <w:i w:val="1"/>
                <w:iCs w:val="1"/>
                <w:color w:val="auto"/>
                <w:w w:val="97"/>
              </w:rPr>
              <w:t>(dollars in thousands)</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held for sale and impairments</w:t>
            </w:r>
          </w:p>
        </w:tc>
        <w:tc>
          <w:tcPr>
            <w:tcW w:w="72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131</w:t>
            </w:r>
          </w:p>
        </w:tc>
        <w:tc>
          <w:tcPr>
            <w:tcW w:w="86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46</w:t>
            </w:r>
          </w:p>
        </w:tc>
      </w:tr>
      <w:tr>
        <w:trPr>
          <w:trHeight w:val="22"/>
        </w:trPr>
        <w:tc>
          <w:tcPr>
            <w:tcW w:w="78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r>
    </w:tbl>
    <w:p>
      <w:pPr>
        <w:spacing w:after="0" w:line="13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2026 we recorded right-of-use lease asset impairments charges of $0.1 million (see Note 9. Leases in this Quarterly Report on Form 10-Q). During the three months ended March 31, 2025, we recorded a $0.1 million working capital adjustment related to the disposal of fitness solutions in 2024.</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and Other Expense, net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00" w:type="dxa"/>
            <w:vAlign w:val="bottom"/>
            <w:gridSpan w:val="4"/>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8"/>
              </w:rPr>
              <w:t>Three months ended</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5"/>
        </w:trPr>
        <w:tc>
          <w:tcPr>
            <w:tcW w:w="78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left="455"/>
              <w:spacing w:after="0"/>
              <w:rPr>
                <w:sz w:val="20"/>
                <w:szCs w:val="20"/>
                <w:color w:val="auto"/>
              </w:rPr>
            </w:pPr>
            <w:r>
              <w:rPr>
                <w:rFonts w:ascii="Times New Roman" w:cs="Times New Roman" w:eastAsia="Times New Roman" w:hAnsi="Times New Roman"/>
                <w:sz w:val="13"/>
                <w:szCs w:val="13"/>
                <w:b w:val="1"/>
                <w:bCs w:val="1"/>
                <w:color w:val="auto"/>
                <w:w w:val="98"/>
              </w:rPr>
              <w:t>March 31,</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w w:val="98"/>
              </w:rPr>
              <w:t>Change</w:t>
            </w:r>
          </w:p>
        </w:tc>
      </w:tr>
      <w:tr>
        <w:trPr>
          <w:trHeight w:val="192"/>
        </w:trPr>
        <w:tc>
          <w:tcPr>
            <w:tcW w:w="7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3"/>
                <w:szCs w:val="13"/>
                <w:b w:val="1"/>
                <w:bCs w:val="1"/>
                <w:color w:val="auto"/>
              </w:rPr>
              <w:t>2026</w:t>
            </w: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92"/>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3"/>
                <w:szCs w:val="13"/>
                <w:i w:val="1"/>
                <w:iCs w:val="1"/>
                <w:color w:val="auto"/>
                <w:w w:val="97"/>
              </w:rPr>
              <w:t>(dollars in thousands)</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other expense, net</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4,774</w:t>
            </w:r>
          </w:p>
        </w:tc>
        <w:tc>
          <w:tcPr>
            <w:tcW w:w="4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12,759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(7,985)</w:t>
            </w:r>
          </w:p>
        </w:tc>
      </w:tr>
      <w:tr>
        <w:trPr>
          <w:trHeight w:val="22"/>
        </w:trPr>
        <w:tc>
          <w:tcPr>
            <w:tcW w:w="78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r>
    </w:tbl>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Interest and other expense, net, decreased by $8.0 million, or 62.6%, for the three months ended March 31, 2026 as compared to the same period in 2025, with the changes primarily driven by volatility of interest rates and foreign currency. The decrease for the three-month period was driven by an unrealized gain on interest rate swaps of $3.0 million compared to an unrealized loss of $3.9 million in the comparative period, a year over year decrease of $6.9 million as a result of the fair value change in interest rate swaps. Additionally, interest expense decreased $0.6 million as a result of lower variable base interest rates on the Company’s Credit Facilities, a $0.5 million decrease in unrealized foreign currency loss, $0.5 million of income related to support services provided under the TSA with Ignite Visibility, partially offset by a $0.5 million decrease in interest income. The decline in interest expense is a result of lower variable base interest rates on the Company’s Credit Facilities (as defined below) and the amendment to the Term Loan (as defined below) in the third quarter 2025 resulting in a reduction in margin and the removal of the credit spread adjustment (see Note 10. Long-Term Debt in this Quarterly report on Form 10-Q).</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Expense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40" w:type="dxa"/>
            <w:vAlign w:val="bottom"/>
          </w:tcPr>
          <w:p>
            <w:pPr>
              <w:spacing w:after="0"/>
              <w:rPr>
                <w:sz w:val="12"/>
                <w:szCs w:val="12"/>
                <w:color w:val="auto"/>
              </w:rPr>
            </w:pPr>
          </w:p>
        </w:tc>
        <w:tc>
          <w:tcPr>
            <w:tcW w:w="1860" w:type="dxa"/>
            <w:vAlign w:val="bottom"/>
            <w:gridSpan w:val="3"/>
          </w:tcPr>
          <w:p>
            <w:pPr>
              <w:jc w:val="center"/>
              <w:ind w:left="314"/>
              <w:spacing w:after="0"/>
              <w:rPr>
                <w:sz w:val="20"/>
                <w:szCs w:val="20"/>
                <w:color w:val="auto"/>
              </w:rPr>
            </w:pPr>
            <w:r>
              <w:rPr>
                <w:rFonts w:ascii="Times New Roman" w:cs="Times New Roman" w:eastAsia="Times New Roman" w:hAnsi="Times New Roman"/>
                <w:sz w:val="13"/>
                <w:szCs w:val="13"/>
                <w:b w:val="1"/>
                <w:bCs w:val="1"/>
                <w:color w:val="auto"/>
                <w:w w:val="98"/>
              </w:rPr>
              <w:t>Three months 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6"/>
        </w:trPr>
        <w:tc>
          <w:tcPr>
            <w:tcW w:w="784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w w:val="98"/>
              </w:rPr>
              <w:t>March 31,</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w w:val="98"/>
              </w:rPr>
              <w:t>Change</w:t>
            </w:r>
          </w:p>
        </w:tc>
      </w:tr>
      <w:tr>
        <w:trPr>
          <w:trHeight w:val="182"/>
        </w:trPr>
        <w:tc>
          <w:tcPr>
            <w:tcW w:w="784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2"/>
        </w:trPr>
        <w:tc>
          <w:tcPr>
            <w:tcW w:w="7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3"/>
                <w:szCs w:val="13"/>
                <w:i w:val="1"/>
                <w:iCs w:val="1"/>
                <w:color w:val="auto"/>
                <w:w w:val="97"/>
              </w:rPr>
              <w:t>(dollars in thousands)</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68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w w:val="92"/>
              </w:rPr>
              <w:t>(632)</w:t>
            </w:r>
          </w:p>
        </w:tc>
        <w:tc>
          <w:tcPr>
            <w:tcW w:w="78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92"/>
              </w:rPr>
              <w:t>(512)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(120)</w:t>
            </w:r>
          </w:p>
        </w:tc>
      </w:tr>
      <w:tr>
        <w:trPr>
          <w:trHeight w:val="22"/>
        </w:trPr>
        <w:tc>
          <w:tcPr>
            <w:tcW w:w="78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Income tax expense increased by $0.1 million for the three months ended March 31, 2026 as compared to the corresponding period in 2025, with the change driven primarily by an increase in net income from continuing operations before tax and discrete items, including a New Zealand return to provision true-up during the three months ended March 31, 2025.</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date, our primary sources of liquidity have been net cash provided by operating activities, proceeds from equity issuances and proceeds from long-term debt.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2" w:right="319" w:bottom="1440" w:gutter="0" w:footer="0" w:header="0"/>
        </w:sectPr>
      </w:pPr>
    </w:p>
    <w:bookmarkStart w:id="33" w:name="page34"/>
    <w:bookmarkEnd w:id="33"/>
    <w:p>
      <w:pPr>
        <w:jc w:val="both"/>
        <w:spacing w:after="0" w:line="264" w:lineRule="auto"/>
        <w:rPr>
          <w:sz w:val="20"/>
          <w:szCs w:val="20"/>
          <w:color w:val="auto"/>
        </w:rPr>
      </w:pPr>
      <w:r>
        <w:rPr>
          <w:rFonts w:ascii="Times New Roman" w:cs="Times New Roman" w:eastAsia="Times New Roman" w:hAnsi="Times New Roman"/>
          <w:sz w:val="14"/>
          <w:szCs w:val="14"/>
          <w:color w:val="auto"/>
        </w:rPr>
        <w:t>We utilize liquidity for items such as strategic investments in the ongoing transformation of our business and infrastructure, our business acquisitions (such as our strategic acquisition of ZyraTalk in September 2025) and share repurchases authorized through our Repurchase Program. For a description of our recent acquisitions, see Note 3. Acquisition and Disposition in this Quarterly report on Form 10-Q. Absent significant deterioration of market conditions, we expect that working capital requirements, capital expenditures, acquisitions, the Company’s Repurchase Program (as defined below), debt servicing and lease obligations will be our principal needs for liquidity going forward.</w:t>
      </w:r>
    </w:p>
    <w:p>
      <w:pPr>
        <w:spacing w:after="0" w:line="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of March 31, 2026, we had cash, cash equivalents and restricted cash of $129.3 million, $155.0 million of available borrowing capacity under our Revolver (as defined below) and $525.3 million outstanding under our Term Loan. We believe that our existing cash, cash equivalents and restricted cash, availability under our Credit Facilities, and our cash flows from operations will be sufficient to fund our working capital requirements and planned capital expenditures, and to service our debt obligations for at least the next twelve months. However, our future working capital requirements will depend on many factors, including our rate of revenue growth, the timing and size of future acquisitions, and the timing of introductions of new products and services. If needed, additional funds may not be available on terms favorable to us, or at all. If we are unable to raise additional funds when desired, our business, financial condition and results of operations could be adversely affected. See Part II,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cash flow data:</w:t>
      </w:r>
    </w:p>
    <w:p>
      <w:pPr>
        <w:spacing w:after="0" w:line="191"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18"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5258435</wp:posOffset>
            </wp:positionH>
            <wp:positionV relativeFrom="paragraph">
              <wp:posOffset>15875</wp:posOffset>
            </wp:positionV>
            <wp:extent cx="190690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06905" cy="698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8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92"/>
        </w:trPr>
        <w:tc>
          <w:tcPr>
            <w:tcW w:w="8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00" w:type="dxa"/>
            <w:vAlign w:val="bottom"/>
            <w:gridSpan w:val="3"/>
          </w:tcPr>
          <w:p>
            <w:pPr>
              <w:jc w:val="right"/>
              <w:ind w:right="69"/>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000" w:type="dxa"/>
            <w:vAlign w:val="bottom"/>
          </w:tcPr>
          <w:p>
            <w:pPr>
              <w:spacing w:after="0"/>
              <w:rPr>
                <w:sz w:val="16"/>
                <w:szCs w:val="16"/>
                <w:color w:val="auto"/>
              </w:rPr>
            </w:pPr>
          </w:p>
        </w:tc>
      </w:tr>
      <w:tr>
        <w:trPr>
          <w:trHeight w:val="20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900" w:type="dxa"/>
            <w:vAlign w:val="bottom"/>
            <w:tcBorders>
              <w:bottom w:val="single" w:sz="8" w:color="CCEEFF"/>
            </w:tcBorders>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24,602</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30,678</w:t>
            </w:r>
          </w:p>
        </w:tc>
      </w:tr>
      <w:tr>
        <w:trPr>
          <w:trHeight w:val="191"/>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(5,643)</w:t>
            </w:r>
          </w:p>
        </w:tc>
      </w:tr>
      <w:tr>
        <w:trPr>
          <w:trHeight w:val="22"/>
        </w:trPr>
        <w:tc>
          <w:tcPr>
            <w:tcW w:w="8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9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(16,373)</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(12,267)</w:t>
            </w:r>
          </w:p>
        </w:tc>
      </w:tr>
      <w:tr>
        <w:trPr>
          <w:trHeight w:val="191"/>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foreign currency exchange rate changes on cash</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r>
      <w:tr>
        <w:trPr>
          <w:trHeight w:val="22"/>
        </w:trPr>
        <w:tc>
          <w:tcPr>
            <w:tcW w:w="82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8"/>
        </w:trPr>
        <w:tc>
          <w:tcPr>
            <w:tcW w:w="8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90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from Operating Activities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Net cash provided by operating activities was $24.6 million for the three months ended March 31, 2026, compared to $30.7 million for the three months ended March 31, 2025. Changes in net cash provided by operating activities resulted primarily from cash received from net sales within our subscription and transaction fees. Other drivers of the changes in net cash provided by operating activities include payments for personnel expenses for our employees, costs related to delivering our services and products, partner commissions, advertising and interest on our long-term debt.</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decrease in cash provided by operating activities for the three months ended March 31, 2026 compared to the three months ended March 31, 2025 was primarily due to investments made to support the growth of our business including personnel expenses of $11.4 million and higher costs directly related to the delivery of our services and products of $1.7 million, partially offset by an increase in cash collections from our subscription and transaction fees of approximately $4.2 million, income of $2.9 million related to support services provided under the TSA, and lower taxes paid of $2.3 million. Additionally, cash provided by operating activities decreased $2.3 million related to the marketing technology solutions business, which was sold on October 31, 2025 (see Note 3. Acquisition and Disposition in this Quarterly report on Form 10-Q).</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from Investing Activities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2026, net cash used in investing activities of $8.0 million was related primarily to costs to develop software of $7.2 million and $0.9 million for purchases of property and equipment.</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2025, net cash used in investing activities of $5.6 million was related primarily to costs to develop software of $5.1 million and $0.5 million for purchases of property and equipment.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from Financing Activities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2026, net cash used in financing activities of $16.4 million was related primarily to the repurchase and retirement of shares of our common stock of $13.8 million.</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2025, net cash used in financing activities of $12.3 million was related primarily to the repurchase and retirement of shares of our common stock of $11.1 million.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4" w:right="319" w:bottom="1440" w:gutter="0" w:footer="0" w:header="0"/>
        </w:sectPr>
      </w:pPr>
    </w:p>
    <w:bookmarkStart w:id="34" w:name="page35"/>
    <w:bookmarkEnd w:id="34"/>
    <w:p>
      <w:pPr>
        <w:jc w:val="both"/>
        <w:spacing w:after="0" w:line="287" w:lineRule="auto"/>
        <w:rPr>
          <w:sz w:val="20"/>
          <w:szCs w:val="20"/>
          <w:color w:val="auto"/>
        </w:rPr>
      </w:pPr>
      <w:r>
        <w:rPr>
          <w:rFonts w:ascii="Times New Roman" w:cs="Times New Roman" w:eastAsia="Times New Roman" w:hAnsi="Times New Roman"/>
          <w:sz w:val="14"/>
          <w:szCs w:val="14"/>
          <w:color w:val="auto"/>
        </w:rPr>
        <w:t>For additional information regarding our repurchase and retirement of shares of our common stock, refer to Note 11. Equity in the notes to the unaudited condensed consolidated financial statements included in this Quarterly Report on Form 10-Q.</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Facilities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party to a credit agreement, as amended, that provides for one term loan for an aggregate principal amount of $529.4 million (the “Term Loan”), a revolver with a capacity of $155.0 million (the “Revolver”) and a sub-limit of the Revolver available for letters of credit up to an aggregate face amount of $20.0 million. These debt arrangements are collectively referred to herein as the “Credit Facilities”.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Simultaneously with the execution of the Credit Facilities, we and various of our subsidiaries entered into a collateral agreement and guarantee agreement. Pursuant to the guarantee agreement, EverCommerce Intermediate Inc. and various of our subsidiaries are guarantors of the obligations under the Credit Facilities. Pursuant to the collateral agreement, the Credit Facilities are secured by liens on substantially all of our assets, including our intellectual property and the equity interests of our various subsidiaries, including EverCommerce Solutions Inc.</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Credit Facilities contain certain affirmative and negative covenants, including, among other things, restrictions on indebtedness, issuance of preferred equity interests, liens, fundamental changes and asset sales, investments, negative pledges, repurchases of stock, dividends and other distributions, and transactions with affiliates. In addition, we are subject to a financial covenant with respect to the Revolver whereby, if the aggregate principal amount of revolving loans (excluding letters of credit) outstanding on the last day of any fiscal quarter exceeds 35% of the aggregate commitments available under the Revolver, then our first lien leverage ratio as of the last day of such fiscal quarter must be 7.50 to 1.00 or less.</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With respect to ABR borrowings, interest payments are due on a quarterly basis on the last business day of each March, June, September and December. With respect to Eurocurrency borrowings, interest payments are due on the last business day of the interest period applicable to the borrowing and, in the case of a Eurocurrency borrowing with an interest period of more than three months’ duration, each day prior to the last day of such interest period that occurs at intervals of three months’ duration after the first day of such interest period.</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Effective as of June 10, 2025, the Company entered into an additional amendment to the Credit Facilities (the “June 2025 Amendment”) to reduce the commitments outstanding under the Revolver, extend the maturity of a portion of such commitments and reduce the applicable margin with respect to extended revolving loans. As a result of the June 2025 Amendment, commitments under the Revolver were reduced from $190.0 million to $155.0 million. With respect to $125.0 million of such commitments, (i) the maturity date was extended to January 6, 2028 and (ii) the applicable margin for (x) Term SOFR (as defined in the Credit Facilities) loans was reduced to 2.50% and (y) ABR (as defined in the Credit Facilities) loans was reduced to 1.50%, in each case, subject to a single 0.25% step-down based on the Company’s first lien net leverage ratio. With respect to the remaining $30.0 million of such commitments, (i) the maturity date remains July 6, 2026 and (ii) the applicable margin was unchanged.</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Additionally, on July 29, 2025, the Company entered into an amendment to the Credit Facilities (the “July 2025 Amendment”) to, among other things, refinance the existing Term Loan in an aggregate principal amount of $529.4 million. The July 2025 Amendment, among other things, (i) extends the maturity date of the Term Loan to July 6, 2031, and (ii) reduces the applicable margin by 25 basis points with respect to all term loans. The Term Loan bears interest, at the Borrower’s election, at (x) Term SOFR (as defined in the Credit Agreement) plus an applicable margin of 2.25%, with a minimum Term SOFR rate of 0.50% or (y) ABR (as defined in the Credit Agreement) plus an applicable margin of 1.25%, with a minimum ABR of 1.50%, in each case, with no step-downs. The refinanced Term Loan priced at par and refinanced the existing term loan outstanding under the Credit Agreement immediately prior to giving effect to the July 2025 Amendment.</w:t>
      </w:r>
    </w:p>
    <w:p>
      <w:pPr>
        <w:spacing w:after="0" w:line="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Pursuant to the July 2025 Amendment, with respect to $125.0 million of commitments under the existing $155.0 million Revolver, (i) the maturity date was extended to July 29, 2030 and (ii) the applicable margin for (x) Term SOFR loans was reduced to 2.00% and (y) Alternate Base Rate loans was reduced to 1.00%, in each case, subject to a 25 basis points step-up based on the Company’s first lien net leverage ratio. Other than the changes noted above, the terms and conditions of all commitments at closing as well as those extending beyond the original maturity date remain the same as the existing Revolver. Accordingly, $155.0 million of availability remains under the Revolver until July 6, 2026 and then reduces to $125.0 million through July 29, 2030.</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entered into the following interest rate swap agreements in connection with our Credit Facilities to convert a portion of the floating rate component of the Term Loan from a floating rate to fixed rate: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4" w:right="3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7"/>
        </w:trPr>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Effective</w:t>
            </w:r>
          </w:p>
        </w:tc>
        <w:tc>
          <w:tcPr>
            <w:tcW w:w="23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Expiration</w:t>
            </w:r>
          </w:p>
        </w:tc>
        <w:tc>
          <w:tcPr>
            <w:tcW w:w="176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Fixed Interest</w:t>
            </w:r>
          </w:p>
        </w:tc>
        <w:tc>
          <w:tcPr>
            <w:tcW w:w="86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Notional</w:t>
            </w:r>
          </w:p>
        </w:tc>
        <w:tc>
          <w:tcPr>
            <w:tcW w:w="280" w:type="dxa"/>
            <w:vAlign w:val="bottom"/>
          </w:tcPr>
          <w:p>
            <w:pPr>
              <w:spacing w:after="0"/>
              <w:rPr>
                <w:sz w:val="14"/>
                <w:szCs w:val="14"/>
                <w:color w:val="auto"/>
              </w:rPr>
            </w:pPr>
          </w:p>
        </w:tc>
        <w:tc>
          <w:tcPr>
            <w:tcW w:w="2300" w:type="dxa"/>
            <w:vAlign w:val="bottom"/>
          </w:tcPr>
          <w:p>
            <w:pPr>
              <w:jc w:val="center"/>
              <w:ind w:right="213"/>
              <w:spacing w:after="0"/>
              <w:rPr>
                <w:sz w:val="20"/>
                <w:szCs w:val="20"/>
                <w:color w:val="auto"/>
              </w:rPr>
            </w:pPr>
            <w:r>
              <w:rPr>
                <w:rFonts w:ascii="Times New Roman" w:cs="Times New Roman" w:eastAsia="Times New Roman" w:hAnsi="Times New Roman"/>
                <w:sz w:val="13"/>
                <w:szCs w:val="13"/>
                <w:b w:val="1"/>
                <w:bCs w:val="1"/>
                <w:color w:val="auto"/>
                <w:w w:val="97"/>
              </w:rPr>
              <w:t>Asset (Liability) Fair Value at</w:t>
            </w:r>
          </w:p>
        </w:tc>
      </w:tr>
      <w:tr>
        <w:trPr>
          <w:trHeight w:val="199"/>
        </w:trPr>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60" w:type="dxa"/>
            <w:vAlign w:val="bottom"/>
          </w:tcPr>
          <w:p>
            <w:pPr>
              <w:spacing w:after="0"/>
              <w:rPr>
                <w:sz w:val="17"/>
                <w:szCs w:val="17"/>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60" w:type="dxa"/>
            <w:vAlign w:val="bottom"/>
          </w:tcPr>
          <w:p>
            <w:pPr>
              <w:spacing w:after="0"/>
              <w:rPr>
                <w:sz w:val="17"/>
                <w:szCs w:val="17"/>
                <w:color w:val="auto"/>
              </w:rPr>
            </w:pPr>
          </w:p>
        </w:tc>
        <w:tc>
          <w:tcPr>
            <w:tcW w:w="17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3"/>
                <w:szCs w:val="13"/>
                <w:b w:val="1"/>
                <w:bCs w:val="1"/>
                <w:color w:val="auto"/>
              </w:rPr>
              <w:t>Rate</w:t>
            </w:r>
          </w:p>
        </w:tc>
        <w:tc>
          <w:tcPr>
            <w:tcW w:w="6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3"/>
                <w:szCs w:val="13"/>
                <w:b w:val="1"/>
                <w:bCs w:val="1"/>
                <w:color w:val="auto"/>
                <w:w w:val="97"/>
              </w:rPr>
              <w:t>March 31, 2026</w:t>
            </w:r>
          </w:p>
        </w:tc>
      </w:tr>
      <w:tr>
        <w:trPr>
          <w:trHeight w:val="182"/>
        </w:trPr>
        <w:tc>
          <w:tcPr>
            <w:tcW w:w="2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80" w:type="dxa"/>
            <w:vAlign w:val="bottom"/>
          </w:tcPr>
          <w:p>
            <w:pPr>
              <w:spacing w:after="0"/>
              <w:rPr>
                <w:sz w:val="15"/>
                <w:szCs w:val="15"/>
                <w:color w:val="auto"/>
              </w:rPr>
            </w:pPr>
          </w:p>
        </w:tc>
        <w:tc>
          <w:tcPr>
            <w:tcW w:w="2300" w:type="dxa"/>
            <w:vAlign w:val="bottom"/>
          </w:tcPr>
          <w:p>
            <w:pPr>
              <w:jc w:val="center"/>
              <w:ind w:right="213"/>
              <w:spacing w:after="0"/>
              <w:rPr>
                <w:sz w:val="20"/>
                <w:szCs w:val="20"/>
                <w:color w:val="auto"/>
              </w:rPr>
            </w:pPr>
            <w:r>
              <w:rPr>
                <w:rFonts w:ascii="Times New Roman" w:cs="Times New Roman" w:eastAsia="Times New Roman" w:hAnsi="Times New Roman"/>
                <w:sz w:val="13"/>
                <w:szCs w:val="13"/>
                <w:i w:val="1"/>
                <w:iCs w:val="1"/>
                <w:color w:val="auto"/>
                <w:w w:val="96"/>
              </w:rPr>
              <w:t>($ in thousands)</w:t>
            </w:r>
          </w:p>
        </w:tc>
      </w:tr>
      <w:tr>
        <w:trPr>
          <w:trHeight w:val="200"/>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31, 2022</w:t>
            </w:r>
          </w:p>
        </w:tc>
        <w:tc>
          <w:tcPr>
            <w:tcW w:w="2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31, 2027</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4.212 %</w:t>
            </w:r>
          </w:p>
        </w:tc>
        <w:tc>
          <w:tcPr>
            <w:tcW w:w="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(1,749)</w:t>
            </w:r>
          </w:p>
        </w:tc>
      </w:tr>
      <w:tr>
        <w:trPr>
          <w:trHeight w:val="191"/>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March 31, 2023</w:t>
            </w: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October 31, 2027</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3.951 %</w:t>
            </w:r>
          </w:p>
        </w:tc>
        <w:tc>
          <w:tcPr>
            <w:tcW w:w="60" w:type="dxa"/>
            <w:vAlign w:val="bottom"/>
          </w:tcPr>
          <w:p>
            <w:pPr>
              <w:spacing w:after="0"/>
              <w:rPr>
                <w:sz w:val="16"/>
                <w:szCs w:val="16"/>
                <w:color w:val="auto"/>
              </w:rPr>
            </w:pPr>
          </w:p>
        </w:tc>
        <w:tc>
          <w:tcPr>
            <w:tcW w:w="860" w:type="dxa"/>
            <w:vAlign w:val="bottom"/>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6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w:t>
            </w:r>
          </w:p>
        </w:tc>
      </w:tr>
      <w:tr>
        <w:trPr>
          <w:trHeight w:val="22"/>
        </w:trPr>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1"/>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20, 2024</w:t>
            </w:r>
          </w:p>
        </w:tc>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31, 2027</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3.395 %</w:t>
            </w: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r>
      <w:tr>
        <w:trPr>
          <w:trHeight w:val="22"/>
        </w:trPr>
        <w:tc>
          <w:tcPr>
            <w:tcW w:w="2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Revolver has a variable commitment fee, which is based on our first lien leverage ratio. We expect the commitment fee to range from 0.25% to 0.375% per annum. We are obligated to pay a fixed fronting fee for letters of credit of 0.125% per annum.</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Amounts borrowed under the Revolver may be repaid and re-borrowed through maturity of the Revolver in July 2030. The Term Loan matures in July 2031. The Term Loan may be repaid or prepaid but may not be re-borrowed.</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March 31, 2026, there was $525.3 million outstanding under our Credit Facilities, all of which was related to the Term Loan as no amounts were outstanding under the Revolver. The effective interest rate on the Term Loan was approximately 6.08% for the three months ended March 31, 2026, excluding the effect of any interest rate swap agreements.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31, 2026, we were in compliance with the financial covenants under the Credit Facilities.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Repurchase Program</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On June 14, 2022, our Board of Directors approved a stock repurchase program (as subsequently amended, the “Repurchase Program”) with authorization to purchase up to $50.0 million in shares of the Company’s common stock through the expiration of the program on December 21, 2022. On November 7, 2022, November 5, 2023, May 21, 2024, May 1, 2025, and November 4, 2025 our Board increased the authorization of the Repurchase Program by an additional $50.0 million in shares of the Company’s common stock on each date for a total authorization to repurchase up to $300.0 million in shares of the Company’s common stock, and most recently extended the expiration of the Repurchase Program through December 31, 2026. Repurchases under the program may be made in the open market, in privately negotiated transactions or otherwise, with the amount and timing of repurchases to be determined at the Company’s discretion, depending on market conditions and corporate needs. The Repurchase Program does not obligate the Company to acquire any particular amount of common stock and may be modified, suspended or terminated at any time at the discretion of the Board. The Company expects to fund repurchases with existing cash on hand.</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repurchased and retired 1.3 million shares of common stock for approximately $13.9 million, including transaction fees and taxes, during the three months ended March 31, 2026. As of March 31, 2026, $33.9 million remained available under the Repurchase Program.</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material changes to our contractual obligations as of March 31, 2026 from those disclosed in our Annual Report on Form 10-K.</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Refer to Notes 9. Leases, 10. Long-Term Debt and 16. Commitments and Contingencies in the notes to the unaudited condensed consolidated financial statements included in this Quarterly Report on Form 10-Q for a discussion of our operating leases, debt and contractual obligations, respectively.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Significant Judgments and Estimates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financial statements are prepared in accordance with U.S. GAAP. The preparation of our financial statements in conformity with U.S. GAAP requires us to make estimates and assumptions that affect certain reported amounts of assets and liabilities and disclosure of contingent assets and liabilities at the date of the financial statements and the reported amounts of revenue and expenses during the reporting period.</w:t>
      </w:r>
    </w:p>
    <w:p>
      <w:pPr>
        <w:spacing w:after="0" w:line="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Our critical accounting policies are described in Part II, Item 7. </w:t>
      </w:r>
      <w:r>
        <w:rPr>
          <w:rFonts w:ascii="Times New Roman" w:cs="Times New Roman" w:eastAsia="Times New Roman" w:hAnsi="Times New Roman"/>
          <w:sz w:val="14"/>
          <w:szCs w:val="14"/>
          <w:i w:val="1"/>
          <w:iCs w:val="1"/>
          <w:color w:val="auto"/>
        </w:rPr>
        <w:t>“Management’s Discussion and Analysis of Financial Condition and Results of Operations—Critical Accounting Policies”</w:t>
      </w:r>
      <w:r>
        <w:rPr>
          <w:rFonts w:ascii="Times New Roman" w:cs="Times New Roman" w:eastAsia="Times New Roman" w:hAnsi="Times New Roman"/>
          <w:sz w:val="14"/>
          <w:szCs w:val="14"/>
          <w:color w:val="auto"/>
        </w:rPr>
        <w:t xml:space="preserve"> in our Annual Report on Form 10-K. During the three months ended March 31, 2026, there were no material changes to our critical accounting policies from those discussed in our Annual Report on Form 10-K.</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See Note 2. Summary of Significant Accounting Policies in the notes to the unaudited condensed consolidated financial statements included in this Quarterly Report on Form 10-Q for a discussion of accounting pronouncements recently adopted and recently issued accounting pronouncements not yet adopted, and their potential impact to our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8"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There have been no material changes to our disclosures regarding market risk as described in our Annual Report on Form 10-K under the heading Part II, Item 7A. </w:t>
      </w:r>
      <w:r>
        <w:rPr>
          <w:rFonts w:ascii="Times New Roman" w:cs="Times New Roman" w:eastAsia="Times New Roman" w:hAnsi="Times New Roman"/>
          <w:sz w:val="14"/>
          <w:szCs w:val="14"/>
          <w:i w:val="1"/>
          <w:iCs w:val="1"/>
          <w:color w:val="auto"/>
        </w:rPr>
        <w:t>“Quantitative and Qualitative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Disclosures about Market Risk.”</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Limitations on Effectiveness of Controls and Procedures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March 31, 2026, our disclosure controls and procedures were not effective at the reasonable assurance level, due to the material weakness in our internal control over financial reporting as described in Part II, Item 9A</w:t>
      </w:r>
      <w:r>
        <w:rPr>
          <w:rFonts w:ascii="Times New Roman" w:cs="Times New Roman" w:eastAsia="Times New Roman" w:hAnsi="Times New Roman"/>
          <w:sz w:val="14"/>
          <w:szCs w:val="14"/>
          <w:i w:val="1"/>
          <w:iCs w:val="1"/>
          <w:color w:val="auto"/>
        </w:rPr>
        <w:t>. “Controls and Procedures”</w:t>
      </w:r>
      <w:r>
        <w:rPr>
          <w:rFonts w:ascii="Times New Roman" w:cs="Times New Roman" w:eastAsia="Times New Roman" w:hAnsi="Times New Roman"/>
          <w:sz w:val="14"/>
          <w:szCs w:val="14"/>
          <w:color w:val="auto"/>
        </w:rPr>
        <w:t xml:space="preserve"> in our Annual Report on Form 10-K for the year ended December 31,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continue to work to remediate our material weakness in our internal control over financial reporting as described in Part II, Item 9A</w:t>
      </w:r>
      <w:r>
        <w:rPr>
          <w:rFonts w:ascii="Times New Roman" w:cs="Times New Roman" w:eastAsia="Times New Roman" w:hAnsi="Times New Roman"/>
          <w:sz w:val="14"/>
          <w:szCs w:val="14"/>
          <w:i w:val="1"/>
          <w:iCs w:val="1"/>
          <w:color w:val="auto"/>
        </w:rPr>
        <w:t>. “Controls and Procedures”</w:t>
      </w:r>
      <w:r>
        <w:rPr>
          <w:rFonts w:ascii="Times New Roman" w:cs="Times New Roman" w:eastAsia="Times New Roman" w:hAnsi="Times New Roman"/>
          <w:sz w:val="14"/>
          <w:szCs w:val="14"/>
          <w:color w:val="auto"/>
        </w:rPr>
        <w:t xml:space="preserve"> in our Annual Report on Form 10-K for the year ended December 31, 2025. There were no changes in our internal control over financial reporting (as defined in Rules 13a-15(f) and 15d-15(f) under the Exchange Act)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5" w:right="31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See Note 16. Commitments and Contingencies in the notes to the unaudited condensed consolidated financial statements included in this Quarterly Report on Form 10-Q for a discussion of material legal proceedings. We are from time to time subject to various legal proceedings, claims, and governmental inspections, audits, or investigations that arise in the ordinary course of our business. We believe that the ultimate resolution of these matters would not be expected to have a material adverse effect on our business, financial condition, or operating results.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In addition to the information set forth in this Quarterly Report on Form 10-Q, you should carefully consider the risk factors disclosed in Part I,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of our Annual Report on Form 10-K. There have been no material changes to our risk factors from those included in our Annual Report on Form 10-K.</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Sales of Unregistered Securities; Purchases of Equity Securities by the Issuer or Affiliated Purchaser</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2026, we repurchased approximately $13.9 million in shares of our common stock under our Repurchase Program, including transaction fees and taxes. The stock repurchase activity under our Repurchase Program during the three months ended March 31, 2026 was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0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8"/>
              </w:rPr>
              <w:t>Total number of shares</w:t>
            </w:r>
          </w:p>
        </w:tc>
        <w:tc>
          <w:tcPr>
            <w:tcW w:w="260" w:type="dxa"/>
            <w:vAlign w:val="bottom"/>
          </w:tcPr>
          <w:p>
            <w:pPr>
              <w:spacing w:after="0"/>
              <w:rPr>
                <w:sz w:val="13"/>
                <w:szCs w:val="13"/>
                <w:color w:val="auto"/>
              </w:rPr>
            </w:pPr>
          </w:p>
        </w:tc>
        <w:tc>
          <w:tcPr>
            <w:tcW w:w="1020" w:type="dxa"/>
            <w:vAlign w:val="bottom"/>
          </w:tcPr>
          <w:p>
            <w:pPr>
              <w:jc w:val="center"/>
              <w:ind w:right="175"/>
              <w:spacing w:after="0"/>
              <w:rPr>
                <w:sz w:val="20"/>
                <w:szCs w:val="20"/>
                <w:color w:val="auto"/>
              </w:rPr>
            </w:pPr>
            <w:r>
              <w:rPr>
                <w:rFonts w:ascii="Times New Roman" w:cs="Times New Roman" w:eastAsia="Times New Roman" w:hAnsi="Times New Roman"/>
                <w:sz w:val="13"/>
                <w:szCs w:val="13"/>
                <w:color w:val="auto"/>
                <w:w w:val="95"/>
              </w:rPr>
              <w:t>Average</w:t>
            </w:r>
          </w:p>
        </w:tc>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Total number of shares purchased as</w:t>
            </w: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97"/>
              </w:rPr>
              <w:t>Approximate dollar value of shares that</w:t>
            </w: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center"/>
              <w:ind w:right="175"/>
              <w:spacing w:after="0"/>
              <w:rPr>
                <w:sz w:val="20"/>
                <w:szCs w:val="20"/>
                <w:color w:val="auto"/>
              </w:rPr>
            </w:pPr>
            <w:r>
              <w:rPr>
                <w:rFonts w:ascii="Times New Roman" w:cs="Times New Roman" w:eastAsia="Times New Roman" w:hAnsi="Times New Roman"/>
                <w:sz w:val="13"/>
                <w:szCs w:val="13"/>
                <w:color w:val="auto"/>
                <w:w w:val="96"/>
              </w:rPr>
              <w:t>price paid</w:t>
            </w:r>
          </w:p>
        </w:tc>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part of publicly announced plans or</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may yet be purchased under the plans</w:t>
            </w:r>
          </w:p>
        </w:tc>
        <w:tc>
          <w:tcPr>
            <w:tcW w:w="0" w:type="dxa"/>
            <w:vAlign w:val="bottom"/>
          </w:tcPr>
          <w:p>
            <w:pPr>
              <w:spacing w:after="0"/>
              <w:rPr>
                <w:sz w:val="1"/>
                <w:szCs w:val="1"/>
                <w:color w:val="auto"/>
              </w:rPr>
            </w:pPr>
          </w:p>
        </w:tc>
      </w:tr>
      <w:tr>
        <w:trPr>
          <w:trHeight w:val="180"/>
        </w:trPr>
        <w:tc>
          <w:tcPr>
            <w:tcW w:w="4600" w:type="dxa"/>
            <w:vAlign w:val="bottom"/>
          </w:tcPr>
          <w:p>
            <w:pPr>
              <w:spacing w:after="0"/>
              <w:rPr>
                <w:sz w:val="15"/>
                <w:szCs w:val="15"/>
                <w:color w:val="auto"/>
              </w:rPr>
            </w:pPr>
          </w:p>
        </w:tc>
        <w:tc>
          <w:tcPr>
            <w:tcW w:w="12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3"/>
                <w:szCs w:val="13"/>
                <w:color w:val="auto"/>
              </w:rPr>
              <w:t>purchased</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3"/>
                <w:szCs w:val="13"/>
                <w:color w:val="auto"/>
                <w:w w:val="97"/>
              </w:rPr>
              <w:t>per share</w:t>
            </w:r>
          </w:p>
        </w:tc>
        <w:tc>
          <w:tcPr>
            <w:tcW w:w="2040" w:type="dxa"/>
            <w:vAlign w:val="bottom"/>
            <w:tcBorders>
              <w:bottom w:val="single" w:sz="8" w:color="auto"/>
            </w:tcBorders>
          </w:tcPr>
          <w:p>
            <w:pPr>
              <w:jc w:val="center"/>
              <w:spacing w:after="0" w:line="181" w:lineRule="exact"/>
              <w:rPr>
                <w:sz w:val="20"/>
                <w:szCs w:val="20"/>
                <w:color w:val="auto"/>
              </w:rPr>
            </w:pPr>
            <w:r>
              <w:rPr>
                <w:rFonts w:ascii="Times New Roman" w:cs="Times New Roman" w:eastAsia="Times New Roman" w:hAnsi="Times New Roman"/>
                <w:sz w:val="13"/>
                <w:szCs w:val="13"/>
                <w:color w:val="auto"/>
                <w:w w:val="95"/>
              </w:rPr>
              <w:t xml:space="preserve">programs </w:t>
            </w:r>
            <w:r>
              <w:rPr>
                <w:rFonts w:ascii="Times New Roman" w:cs="Times New Roman" w:eastAsia="Times New Roman" w:hAnsi="Times New Roman"/>
                <w:sz w:val="16"/>
                <w:szCs w:val="16"/>
                <w:color w:val="auto"/>
                <w:w w:val="95"/>
                <w:vertAlign w:val="superscript"/>
              </w:rPr>
              <w:t>(1)</w:t>
            </w:r>
          </w:p>
        </w:tc>
        <w:tc>
          <w:tcPr>
            <w:tcW w:w="4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574"/>
              <w:spacing w:after="0" w:line="181" w:lineRule="exact"/>
              <w:rPr>
                <w:sz w:val="20"/>
                <w:szCs w:val="20"/>
                <w:color w:val="auto"/>
              </w:rPr>
            </w:pPr>
            <w:r>
              <w:rPr>
                <w:rFonts w:ascii="Times New Roman" w:cs="Times New Roman" w:eastAsia="Times New Roman" w:hAnsi="Times New Roman"/>
                <w:sz w:val="13"/>
                <w:szCs w:val="13"/>
                <w:color w:val="auto"/>
              </w:rPr>
              <w:t xml:space="preserve">or programs </w:t>
            </w:r>
            <w:r>
              <w:rPr>
                <w:rFonts w:ascii="Times New Roman" w:cs="Times New Roman" w:eastAsia="Times New Roman" w:hAnsi="Times New Roman"/>
                <w:sz w:val="16"/>
                <w:szCs w:val="16"/>
                <w:color w:val="auto"/>
                <w:vertAlign w:val="superscript"/>
              </w:rPr>
              <w:t>(1)</w:t>
            </w:r>
          </w:p>
        </w:tc>
        <w:tc>
          <w:tcPr>
            <w:tcW w:w="0" w:type="dxa"/>
            <w:vAlign w:val="bottom"/>
          </w:tcPr>
          <w:p>
            <w:pPr>
              <w:spacing w:after="0"/>
              <w:rPr>
                <w:sz w:val="1"/>
                <w:szCs w:val="1"/>
                <w:color w:val="auto"/>
              </w:rPr>
            </w:pPr>
          </w:p>
        </w:tc>
      </w:tr>
      <w:tr>
        <w:trPr>
          <w:trHeight w:val="167"/>
        </w:trPr>
        <w:tc>
          <w:tcPr>
            <w:tcW w:w="4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80" w:type="dxa"/>
            <w:vAlign w:val="bottom"/>
            <w:gridSpan w:val="3"/>
          </w:tcPr>
          <w:p>
            <w:pPr>
              <w:ind w:left="520"/>
              <w:spacing w:after="0"/>
              <w:rPr>
                <w:sz w:val="20"/>
                <w:szCs w:val="20"/>
                <w:color w:val="auto"/>
              </w:rPr>
            </w:pPr>
            <w:r>
              <w:rPr>
                <w:rFonts w:ascii="Times New Roman" w:cs="Times New Roman" w:eastAsia="Times New Roman" w:hAnsi="Times New Roman"/>
                <w:sz w:val="13"/>
                <w:szCs w:val="13"/>
                <w:i w:val="1"/>
                <w:iCs w:val="1"/>
                <w:color w:val="auto"/>
              </w:rPr>
              <w:t>(in thousands, except per share and share amounts)</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46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January 1, 2026 - January 31, 2026</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295,725</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11.74</w:t>
            </w:r>
          </w:p>
        </w:tc>
        <w:tc>
          <w:tcPr>
            <w:tcW w:w="2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295,725</w:t>
            </w:r>
          </w:p>
        </w:tc>
        <w:tc>
          <w:tcPr>
            <w:tcW w:w="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44,207</w:t>
            </w:r>
          </w:p>
        </w:tc>
        <w:tc>
          <w:tcPr>
            <w:tcW w:w="0" w:type="dxa"/>
            <w:vAlign w:val="bottom"/>
          </w:tcPr>
          <w:p>
            <w:pPr>
              <w:spacing w:after="0"/>
              <w:rPr>
                <w:sz w:val="1"/>
                <w:szCs w:val="1"/>
                <w:color w:val="auto"/>
              </w:rPr>
            </w:pPr>
          </w:p>
        </w:tc>
      </w:tr>
      <w:tr>
        <w:trPr>
          <w:trHeight w:val="178"/>
        </w:trPr>
        <w:tc>
          <w:tcPr>
            <w:tcW w:w="4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February 1, 2026 - February 28, 2026</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489,452</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10.47</w:t>
            </w:r>
          </w:p>
        </w:tc>
        <w:tc>
          <w:tcPr>
            <w:tcW w:w="20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489,452</w:t>
            </w:r>
          </w:p>
        </w:tc>
        <w:tc>
          <w:tcPr>
            <w:tcW w:w="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39,083</w:t>
            </w:r>
          </w:p>
        </w:tc>
        <w:tc>
          <w:tcPr>
            <w:tcW w:w="0" w:type="dxa"/>
            <w:vAlign w:val="bottom"/>
          </w:tcPr>
          <w:p>
            <w:pPr>
              <w:spacing w:after="0"/>
              <w:rPr>
                <w:sz w:val="1"/>
                <w:szCs w:val="1"/>
                <w:color w:val="auto"/>
              </w:rPr>
            </w:pPr>
          </w:p>
        </w:tc>
      </w:tr>
      <w:tr>
        <w:trPr>
          <w:trHeight w:val="24"/>
        </w:trPr>
        <w:tc>
          <w:tcPr>
            <w:tcW w:w="4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March 1, 2026 - March 31, 2026</w:t>
            </w: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469,864</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11.10</w:t>
            </w:r>
          </w:p>
        </w:tc>
        <w:tc>
          <w:tcPr>
            <w:tcW w:w="20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469,864</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33,870</w:t>
            </w:r>
          </w:p>
        </w:tc>
        <w:tc>
          <w:tcPr>
            <w:tcW w:w="0" w:type="dxa"/>
            <w:vAlign w:val="bottom"/>
          </w:tcPr>
          <w:p>
            <w:pPr>
              <w:spacing w:after="0"/>
              <w:rPr>
                <w:sz w:val="1"/>
                <w:szCs w:val="1"/>
                <w:color w:val="auto"/>
              </w:rPr>
            </w:pPr>
          </w:p>
        </w:tc>
      </w:tr>
      <w:tr>
        <w:trPr>
          <w:trHeight w:val="24"/>
        </w:trPr>
        <w:tc>
          <w:tcPr>
            <w:tcW w:w="46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520" w:hanging="260"/>
        <w:spacing w:after="0" w:line="264" w:lineRule="auto"/>
        <w:tabs>
          <w:tab w:leader="none" w:pos="515"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On June 14, 2022, our Board approved the Repurchase Program with authorization to purchase up to $50.0 million in shares of the Company’s common stock through the expiration of the program on December 21, 2022. On November 7, 2022, November 5, 2023, May 21, 2024, May 1, 2025 and November 4, 2025 our Board increased the authorization of the Repurchase Program by an additional $50.0 million in shares of the Company’s common stock on each date for a total authorization to repurchase up to $300.0 million in shares of the Company’s common stock through December 31, 2026.</w:t>
      </w:r>
    </w:p>
    <w:p>
      <w:pPr>
        <w:spacing w:after="0" w:line="55" w:lineRule="exact"/>
        <w:rPr>
          <w:rFonts w:ascii="Times New Roman" w:cs="Times New Roman" w:eastAsia="Times New Roman" w:hAnsi="Times New Roman"/>
          <w:sz w:val="14"/>
          <w:szCs w:val="14"/>
          <w:b w:val="1"/>
          <w:bCs w:val="1"/>
          <w:color w:val="auto"/>
        </w:rPr>
      </w:pPr>
    </w:p>
    <w:p>
      <w:pPr>
        <w:jc w:val="both"/>
        <w:ind w:left="520"/>
        <w:spacing w:after="0" w:line="26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Repurchases under the program may be made in the open market, in privately negotiated transactions or otherwise, with the amount and timing of repurchases to be determined at the Company’s discretion, depending on market conditions and corporate needs. Open market repurchases will be structured to occur in accordance with applicable federal securities laws, including within the pricing and volume requirements of Rule 10b-18 under the Exchange Act. The Company may also, from time to time, enter into Rule 10b5-1 plans to facilitate repurchases of its shares under this authorization. The Repurchase Program does not obligate the Company to acquire any particular amount of common stock and may be modified, suspended or terminated at any time at the discretion of the Board. The Company expects to fund repurchases with existing cash on hand.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2026,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10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Filed/</w:t>
            </w:r>
          </w:p>
        </w:tc>
      </w:tr>
      <w:tr>
        <w:trPr>
          <w:trHeight w:val="155"/>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Filing</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Furnished</w:t>
            </w:r>
          </w:p>
        </w:tc>
      </w:tr>
      <w:tr>
        <w:trPr>
          <w:trHeight w:val="186"/>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0" w:type="dxa"/>
            <w:vAlign w:val="bottom"/>
          </w:tcPr>
          <w:p>
            <w:pPr>
              <w:spacing w:after="0"/>
              <w:rPr>
                <w:sz w:val="16"/>
                <w:szCs w:val="16"/>
                <w:color w:val="auto"/>
              </w:rPr>
            </w:pPr>
          </w:p>
        </w:tc>
        <w:tc>
          <w:tcPr>
            <w:tcW w:w="5540" w:type="dxa"/>
            <w:vAlign w:val="bottom"/>
            <w:gridSpan w:val="11"/>
          </w:tcPr>
          <w:p>
            <w:pPr>
              <w:spacing w:after="0"/>
              <w:rPr>
                <w:sz w:val="20"/>
                <w:szCs w:val="20"/>
                <w:color w:val="auto"/>
              </w:rPr>
            </w:pPr>
            <w:r>
              <w:rPr>
                <w:rFonts w:ascii="Times New Roman" w:cs="Times New Roman" w:eastAsia="Times New Roman" w:hAnsi="Times New Roman"/>
                <w:sz w:val="13"/>
                <w:szCs w:val="13"/>
                <w:b w:val="1"/>
                <w:bCs w:val="1"/>
                <w:color w:val="auto"/>
              </w:rPr>
              <w:t>Exhibit Description</w:t>
            </w: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Form</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File No.</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Herewith</w:t>
            </w:r>
          </w:p>
        </w:tc>
      </w:tr>
      <w:tr>
        <w:trPr>
          <w:trHeight w:val="200"/>
        </w:trPr>
        <w:tc>
          <w:tcPr>
            <w:tcW w:w="8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171"/>
        </w:trPr>
        <w:tc>
          <w:tcPr>
            <w:tcW w:w="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3.1</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3780" w:type="dxa"/>
            <w:vAlign w:val="bottom"/>
            <w:tcBorders>
              <w:bottom w:val="single" w:sz="8" w:color="0000FF"/>
            </w:tcBorders>
            <w:gridSpan w:val="4"/>
            <w:shd w:val="clear" w:color="auto" w:fill="CCEEFF"/>
          </w:tcPr>
          <w:p>
            <w:pPr>
              <w:spacing w:after="0"/>
              <w:rPr>
                <w:rFonts w:ascii="Times New Roman" w:cs="Times New Roman" w:eastAsia="Times New Roman" w:hAnsi="Times New Roman"/>
                <w:sz w:val="13"/>
                <w:szCs w:val="13"/>
                <w:color w:val="0000FF"/>
                <w:w w:val="97"/>
              </w:rPr>
            </w:pPr>
            <w:hyperlink r:id="rId62">
              <w:r>
                <w:rPr>
                  <w:rFonts w:ascii="Times New Roman" w:cs="Times New Roman" w:eastAsia="Times New Roman" w:hAnsi="Times New Roman"/>
                  <w:sz w:val="13"/>
                  <w:szCs w:val="13"/>
                  <w:color w:val="0000FF"/>
                  <w:w w:val="97"/>
                </w:rPr>
                <w:t>Amended and Restated Certificate of Incorporation of EverCommerce Inc</w:t>
              </w:r>
            </w:hyperlink>
          </w:p>
        </w:tc>
        <w:tc>
          <w:tcPr>
            <w:tcW w:w="1760" w:type="dxa"/>
            <w:vAlign w:val="bottom"/>
            <w:tcBorders>
              <w:bottom w:val="single" w:sz="8" w:color="CCEEFF"/>
            </w:tcBorders>
            <w:gridSpan w:val="7"/>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8-K</w:t>
            </w:r>
          </w:p>
        </w:tc>
        <w:tc>
          <w:tcPr>
            <w:tcW w:w="920" w:type="dxa"/>
            <w:vAlign w:val="bottom"/>
            <w:tcBorders>
              <w:bottom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5"/>
              </w:rPr>
              <w:t>001-40575</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3"/>
                <w:szCs w:val="13"/>
                <w:color w:val="auto"/>
                <w:w w:val="98"/>
              </w:rPr>
              <w:t>3.1</w:t>
            </w:r>
          </w:p>
        </w:tc>
        <w:tc>
          <w:tcPr>
            <w:tcW w:w="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9"/>
              </w:rPr>
              <w:t>7/9/2021</w:t>
            </w:r>
          </w:p>
        </w:tc>
        <w:tc>
          <w:tcPr>
            <w:tcW w:w="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r>
      <w:tr>
        <w:trPr>
          <w:trHeight w:val="149"/>
        </w:trPr>
        <w:tc>
          <w:tcPr>
            <w:tcW w:w="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40" w:type="dxa"/>
            <w:vAlign w:val="bottom"/>
            <w:gridSpan w:val="11"/>
          </w:tcPr>
          <w:p>
            <w:pPr>
              <w:spacing w:after="0"/>
              <w:rPr>
                <w:rFonts w:ascii="Times New Roman" w:cs="Times New Roman" w:eastAsia="Times New Roman" w:hAnsi="Times New Roman"/>
                <w:sz w:val="13"/>
                <w:szCs w:val="13"/>
                <w:color w:val="0000FF"/>
              </w:rPr>
            </w:pPr>
            <w:hyperlink r:id="rId63">
              <w:r>
                <w:rPr>
                  <w:rFonts w:ascii="Times New Roman" w:cs="Times New Roman" w:eastAsia="Times New Roman" w:hAnsi="Times New Roman"/>
                  <w:sz w:val="13"/>
                  <w:szCs w:val="13"/>
                  <w:color w:val="0000FF"/>
                </w:rPr>
                <w:t>Amended and Restated Bylaws of EverCommerce Inc</w:t>
              </w:r>
            </w:hyperlink>
          </w:p>
        </w:tc>
        <w:tc>
          <w:tcPr>
            <w:tcW w:w="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8-K</w:t>
            </w:r>
          </w:p>
        </w:tc>
        <w:tc>
          <w:tcPr>
            <w:tcW w:w="92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5"/>
              </w:rPr>
              <w:t>001-40575</w:t>
            </w:r>
          </w:p>
        </w:tc>
        <w:tc>
          <w:tcPr>
            <w:tcW w:w="80" w:type="dxa"/>
            <w:vAlign w:val="bottom"/>
          </w:tcPr>
          <w:p>
            <w:pPr>
              <w:spacing w:after="0"/>
              <w:rPr>
                <w:sz w:val="12"/>
                <w:szCs w:val="12"/>
                <w:color w:val="auto"/>
              </w:rPr>
            </w:pPr>
          </w:p>
        </w:tc>
        <w:tc>
          <w:tcPr>
            <w:tcW w:w="840" w:type="dxa"/>
            <w:vAlign w:val="bottom"/>
          </w:tcPr>
          <w:p>
            <w:pPr>
              <w:jc w:val="right"/>
              <w:ind w:right="596"/>
              <w:spacing w:after="0"/>
              <w:rPr>
                <w:sz w:val="20"/>
                <w:szCs w:val="20"/>
                <w:color w:val="auto"/>
              </w:rPr>
            </w:pPr>
            <w:r>
              <w:rPr>
                <w:rFonts w:ascii="Times New Roman" w:cs="Times New Roman" w:eastAsia="Times New Roman" w:hAnsi="Times New Roman"/>
                <w:sz w:val="13"/>
                <w:szCs w:val="13"/>
                <w:color w:val="auto"/>
                <w:w w:val="98"/>
              </w:rPr>
              <w:t>3.2</w:t>
            </w:r>
          </w:p>
        </w:tc>
        <w:tc>
          <w:tcPr>
            <w:tcW w:w="60" w:type="dxa"/>
            <w:vAlign w:val="bottom"/>
          </w:tcPr>
          <w:p>
            <w:pPr>
              <w:spacing w:after="0"/>
              <w:rPr>
                <w:sz w:val="12"/>
                <w:szCs w:val="12"/>
                <w:color w:val="auto"/>
              </w:rPr>
            </w:pPr>
          </w:p>
        </w:tc>
        <w:tc>
          <w:tcPr>
            <w:tcW w:w="1040" w:type="dxa"/>
            <w:vAlign w:val="bottom"/>
          </w:tcPr>
          <w:p>
            <w:pPr>
              <w:jc w:val="right"/>
              <w:ind w:right="496"/>
              <w:spacing w:after="0"/>
              <w:rPr>
                <w:sz w:val="20"/>
                <w:szCs w:val="20"/>
                <w:color w:val="auto"/>
              </w:rPr>
            </w:pPr>
            <w:r>
              <w:rPr>
                <w:rFonts w:ascii="Times New Roman" w:cs="Times New Roman" w:eastAsia="Times New Roman" w:hAnsi="Times New Roman"/>
                <w:sz w:val="13"/>
                <w:szCs w:val="13"/>
                <w:color w:val="auto"/>
                <w:w w:val="99"/>
              </w:rPr>
              <w:t>7/9/2021</w:t>
            </w: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2"/>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920" w:type="dxa"/>
            <w:vAlign w:val="bottom"/>
            <w:tcBorders>
              <w:top w:val="single" w:sz="8" w:color="0000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49"/>
        </w:trPr>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5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3"/>
                <w:szCs w:val="13"/>
                <w:color w:val="0000FF"/>
              </w:rPr>
              <w:t>Amendment to Executive Employment Agreement by and between Ryan Siurek and EverCommerce</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62"/>
        </w:trPr>
        <w:tc>
          <w:tcPr>
            <w:tcW w:w="820" w:type="dxa"/>
            <w:vAlign w:val="bottom"/>
            <w:tcBorders>
              <w:top w:val="single" w:sz="8" w:color="CCEEFF"/>
              <w:bottom w:val="single" w:sz="8" w:color="CCEEFF"/>
            </w:tcBorders>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10.1</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0000FF"/>
              <w:bottom w:val="single" w:sz="8" w:color="CCEEFF"/>
            </w:tcBorders>
            <w:shd w:val="clear" w:color="auto" w:fill="CCEEFF"/>
          </w:tcPr>
          <w:p>
            <w:pPr>
              <w:spacing w:after="0"/>
              <w:rPr>
                <w:sz w:val="14"/>
                <w:szCs w:val="14"/>
                <w:color w:val="auto"/>
              </w:rPr>
            </w:pPr>
          </w:p>
        </w:tc>
        <w:tc>
          <w:tcPr>
            <w:tcW w:w="720" w:type="dxa"/>
            <w:vAlign w:val="bottom"/>
            <w:tcBorders>
              <w:top w:val="single" w:sz="8" w:color="0000FF"/>
              <w:bottom w:val="single" w:sz="8" w:color="0000FF"/>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0000FF"/>
                <w:w w:val="96"/>
              </w:rPr>
              <w:t>Solutions Inc.</w:t>
            </w:r>
          </w:p>
        </w:tc>
        <w:tc>
          <w:tcPr>
            <w:tcW w:w="4280" w:type="dxa"/>
            <w:vAlign w:val="bottom"/>
            <w:tcBorders>
              <w:top w:val="single" w:sz="8" w:color="0000FF"/>
              <w:bottom w:val="single" w:sz="8" w:color="CCEEFF"/>
            </w:tcBorders>
            <w:gridSpan w:val="7"/>
            <w:shd w:val="clear" w:color="auto" w:fill="CCEEFF"/>
          </w:tcPr>
          <w:p>
            <w:pPr>
              <w:spacing w:after="0"/>
              <w:rPr>
                <w:sz w:val="14"/>
                <w:szCs w:val="14"/>
                <w:color w:val="auto"/>
              </w:rPr>
            </w:pPr>
          </w:p>
        </w:tc>
        <w:tc>
          <w:tcPr>
            <w:tcW w:w="42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8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9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940" w:type="dxa"/>
            <w:vAlign w:val="bottom"/>
            <w:tcBorders>
              <w:top w:val="single" w:sz="8" w:color="CCEEFF"/>
              <w:bottom w:val="single" w:sz="8" w:color="CCEEFF"/>
            </w:tcBorders>
            <w:shd w:val="clear" w:color="auto" w:fill="CCEEFF"/>
          </w:tcPr>
          <w:p>
            <w:pPr>
              <w:jc w:val="center"/>
              <w:spacing w:after="0" w:line="118" w:lineRule="exact"/>
              <w:rPr>
                <w:sz w:val="20"/>
                <w:szCs w:val="20"/>
                <w:color w:val="auto"/>
              </w:rPr>
            </w:pPr>
            <w:r>
              <w:rPr>
                <w:rFonts w:ascii="Times New Roman" w:cs="Times New Roman" w:eastAsia="Times New Roman" w:hAnsi="Times New Roman"/>
                <w:sz w:val="13"/>
                <w:szCs w:val="13"/>
                <w:color w:val="auto"/>
                <w:w w:val="91"/>
              </w:rPr>
              <w:t>*</w:t>
            </w:r>
          </w:p>
        </w:tc>
      </w:tr>
      <w:tr>
        <w:trPr>
          <w:trHeight w:val="149"/>
        </w:trPr>
        <w:tc>
          <w:tcPr>
            <w:tcW w:w="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31.1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40" w:type="dxa"/>
            <w:vAlign w:val="bottom"/>
            <w:gridSpan w:val="11"/>
          </w:tcPr>
          <w:p>
            <w:pPr>
              <w:spacing w:after="0"/>
              <w:rPr>
                <w:sz w:val="20"/>
                <w:szCs w:val="20"/>
                <w:color w:val="auto"/>
              </w:rPr>
            </w:pPr>
            <w:r>
              <w:rPr>
                <w:rFonts w:ascii="Times New Roman" w:cs="Times New Roman" w:eastAsia="Times New Roman" w:hAnsi="Times New Roman"/>
                <w:sz w:val="13"/>
                <w:szCs w:val="13"/>
                <w:color w:val="0000FF"/>
              </w:rPr>
              <w:t>Certification of Chief Executive Officer pursuant to Rule 13a-14(a)/15d-14(a)</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r>
        <w:trPr>
          <w:trHeight w:val="22"/>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92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71"/>
        </w:trPr>
        <w:tc>
          <w:tcPr>
            <w:tcW w:w="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31.2</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3940" w:type="dxa"/>
            <w:vAlign w:val="bottom"/>
            <w:tcBorders>
              <w:bottom w:val="single" w:sz="8" w:color="0000FF"/>
            </w:tcBorders>
            <w:gridSpan w:val="7"/>
            <w:shd w:val="clear" w:color="auto" w:fill="CCEEFF"/>
          </w:tcPr>
          <w:p>
            <w:pPr>
              <w:spacing w:after="0"/>
              <w:rPr>
                <w:sz w:val="20"/>
                <w:szCs w:val="20"/>
                <w:color w:val="auto"/>
              </w:rPr>
            </w:pPr>
            <w:r>
              <w:rPr>
                <w:rFonts w:ascii="Times New Roman" w:cs="Times New Roman" w:eastAsia="Times New Roman" w:hAnsi="Times New Roman"/>
                <w:sz w:val="13"/>
                <w:szCs w:val="13"/>
                <w:color w:val="0000FF"/>
                <w:w w:val="97"/>
              </w:rPr>
              <w:t>Certification of Chief Financial Officer pursuant to Rule 13a-14(a)/15d-14(a)</w:t>
            </w:r>
          </w:p>
        </w:tc>
        <w:tc>
          <w:tcPr>
            <w:tcW w:w="1600" w:type="dxa"/>
            <w:vAlign w:val="bottom"/>
            <w:tcBorders>
              <w:bottom w:val="single" w:sz="8" w:color="CCEEFF"/>
            </w:tcBorders>
            <w:gridSpan w:val="4"/>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r>
        <w:trPr>
          <w:trHeight w:val="149"/>
        </w:trPr>
        <w:tc>
          <w:tcPr>
            <w:tcW w:w="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32.1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40" w:type="dxa"/>
            <w:vAlign w:val="bottom"/>
            <w:gridSpan w:val="11"/>
          </w:tcPr>
          <w:p>
            <w:pPr>
              <w:spacing w:after="0"/>
              <w:rPr>
                <w:sz w:val="20"/>
                <w:szCs w:val="20"/>
                <w:color w:val="auto"/>
              </w:rPr>
            </w:pPr>
            <w:r>
              <w:rPr>
                <w:rFonts w:ascii="Times New Roman" w:cs="Times New Roman" w:eastAsia="Times New Roman" w:hAnsi="Times New Roman"/>
                <w:sz w:val="13"/>
                <w:szCs w:val="13"/>
                <w:color w:val="0000FF"/>
              </w:rPr>
              <w:t>Certification of Chief Executive Officer pursuant to 18 U.S.C. Section 1350</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r>
        <w:trPr>
          <w:trHeight w:val="22"/>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92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71"/>
        </w:trPr>
        <w:tc>
          <w:tcPr>
            <w:tcW w:w="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32.2</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3840" w:type="dxa"/>
            <w:vAlign w:val="bottom"/>
            <w:tcBorders>
              <w:bottom w:val="single" w:sz="8" w:color="0000FF"/>
            </w:tcBorders>
            <w:gridSpan w:val="5"/>
            <w:shd w:val="clear" w:color="auto" w:fill="CCEEFF"/>
          </w:tcPr>
          <w:p>
            <w:pPr>
              <w:spacing w:after="0"/>
              <w:rPr>
                <w:sz w:val="20"/>
                <w:szCs w:val="20"/>
                <w:color w:val="auto"/>
              </w:rPr>
            </w:pPr>
            <w:r>
              <w:rPr>
                <w:rFonts w:ascii="Times New Roman" w:cs="Times New Roman" w:eastAsia="Times New Roman" w:hAnsi="Times New Roman"/>
                <w:sz w:val="13"/>
                <w:szCs w:val="13"/>
                <w:color w:val="0000FF"/>
                <w:w w:val="97"/>
              </w:rPr>
              <w:t>Certification of Chief Financial Officer pursuant to 18 U.S.C. Section 1350</w:t>
            </w:r>
          </w:p>
        </w:tc>
        <w:tc>
          <w:tcPr>
            <w:tcW w:w="1700" w:type="dxa"/>
            <w:vAlign w:val="bottom"/>
            <w:tcBorders>
              <w:bottom w:val="single" w:sz="8" w:color="CCEEFF"/>
            </w:tcBorders>
            <w:gridSpan w:val="6"/>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r>
        <w:trPr>
          <w:trHeight w:val="159"/>
        </w:trPr>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4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Inline XBRL Instance Document – the instance document does not appear in the Interactive Data File</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4"/>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101.INS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2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because its XBRL tags are embedded within the Inline XBRL document.</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r>
        <w:trPr>
          <w:trHeight w:val="199"/>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101.SCH</w:t>
            </w:r>
          </w:p>
        </w:tc>
        <w:tc>
          <w:tcPr>
            <w:tcW w:w="20" w:type="dxa"/>
            <w:vAlign w:val="bottom"/>
            <w:shd w:val="clear" w:color="auto" w:fill="CCEEFF"/>
          </w:tcPr>
          <w:p>
            <w:pPr>
              <w:spacing w:after="0"/>
              <w:rPr>
                <w:sz w:val="17"/>
                <w:szCs w:val="17"/>
                <w:color w:val="auto"/>
              </w:rPr>
            </w:pPr>
          </w:p>
        </w:tc>
        <w:tc>
          <w:tcPr>
            <w:tcW w:w="55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3"/>
                <w:szCs w:val="13"/>
                <w:color w:val="auto"/>
              </w:rPr>
              <w:t>Inline XBRL Taxonomy Extension Schema Document</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r>
        <w:trPr>
          <w:trHeight w:val="183"/>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101.CAL</w:t>
            </w:r>
          </w:p>
        </w:tc>
        <w:tc>
          <w:tcPr>
            <w:tcW w:w="20" w:type="dxa"/>
            <w:vAlign w:val="bottom"/>
          </w:tcPr>
          <w:p>
            <w:pPr>
              <w:spacing w:after="0"/>
              <w:rPr>
                <w:sz w:val="15"/>
                <w:szCs w:val="15"/>
                <w:color w:val="auto"/>
              </w:rPr>
            </w:pPr>
          </w:p>
        </w:tc>
        <w:tc>
          <w:tcPr>
            <w:tcW w:w="554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 Document</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r>
        <w:trPr>
          <w:trHeight w:val="199"/>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101.DEF</w:t>
            </w:r>
          </w:p>
        </w:tc>
        <w:tc>
          <w:tcPr>
            <w:tcW w:w="20" w:type="dxa"/>
            <w:vAlign w:val="bottom"/>
            <w:shd w:val="clear" w:color="auto" w:fill="CCEEFF"/>
          </w:tcPr>
          <w:p>
            <w:pPr>
              <w:spacing w:after="0"/>
              <w:rPr>
                <w:sz w:val="17"/>
                <w:szCs w:val="17"/>
                <w:color w:val="auto"/>
              </w:rPr>
            </w:pPr>
          </w:p>
        </w:tc>
        <w:tc>
          <w:tcPr>
            <w:tcW w:w="55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 Document</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r>
        <w:trPr>
          <w:trHeight w:val="183"/>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101.LAB</w:t>
            </w:r>
          </w:p>
        </w:tc>
        <w:tc>
          <w:tcPr>
            <w:tcW w:w="20" w:type="dxa"/>
            <w:vAlign w:val="bottom"/>
          </w:tcPr>
          <w:p>
            <w:pPr>
              <w:spacing w:after="0"/>
              <w:rPr>
                <w:sz w:val="15"/>
                <w:szCs w:val="15"/>
                <w:color w:val="auto"/>
              </w:rPr>
            </w:pPr>
          </w:p>
        </w:tc>
        <w:tc>
          <w:tcPr>
            <w:tcW w:w="554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Inline XBRL Taxonomy Extension Label Linkbase Document</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r>
        <w:trPr>
          <w:trHeight w:val="199"/>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101.PRE</w:t>
            </w:r>
          </w:p>
        </w:tc>
        <w:tc>
          <w:tcPr>
            <w:tcW w:w="20" w:type="dxa"/>
            <w:vAlign w:val="bottom"/>
            <w:shd w:val="clear" w:color="auto" w:fill="CCEEFF"/>
          </w:tcPr>
          <w:p>
            <w:pPr>
              <w:spacing w:after="0"/>
              <w:rPr>
                <w:sz w:val="17"/>
                <w:szCs w:val="17"/>
                <w:color w:val="auto"/>
              </w:rPr>
            </w:pPr>
          </w:p>
        </w:tc>
        <w:tc>
          <w:tcPr>
            <w:tcW w:w="55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 Document</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r>
        <w:trPr>
          <w:trHeight w:val="176"/>
        </w:trPr>
        <w:tc>
          <w:tcPr>
            <w:tcW w:w="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4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Cover Page Interactive Data File (formatted as Inline XBRL and contained in Exhibit 101)</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bl>
    <w:p>
      <w:pPr>
        <w:spacing w:after="0" w:line="266"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Filed herewith.</w:t>
      </w:r>
    </w:p>
    <w:p>
      <w:pPr>
        <w:spacing w:after="0" w:line="2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w:t>
        <w:tab/>
        <w:t>Furnished herewith.</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320" w:type="dxa"/>
            <w:vAlign w:val="bottom"/>
          </w:tcPr>
          <w:p>
            <w:pPr>
              <w:spacing w:after="0"/>
              <w:rPr>
                <w:sz w:val="16"/>
                <w:szCs w:val="16"/>
                <w:color w:val="auto"/>
              </w:rPr>
            </w:pPr>
          </w:p>
        </w:tc>
        <w:tc>
          <w:tcPr>
            <w:tcW w:w="4760" w:type="dxa"/>
            <w:vAlign w:val="bottom"/>
            <w:gridSpan w:val="2"/>
          </w:tcPr>
          <w:p>
            <w:pPr>
              <w:ind w:left="3100"/>
              <w:spacing w:after="0"/>
              <w:rPr>
                <w:sz w:val="20"/>
                <w:szCs w:val="20"/>
                <w:color w:val="auto"/>
              </w:rPr>
            </w:pPr>
            <w:r>
              <w:rPr>
                <w:rFonts w:ascii="Times New Roman" w:cs="Times New Roman" w:eastAsia="Times New Roman" w:hAnsi="Times New Roman"/>
                <w:sz w:val="14"/>
                <w:szCs w:val="14"/>
                <w:color w:val="auto"/>
              </w:rPr>
              <w:t>EVERCOMMERCE INC.</w:t>
            </w:r>
          </w:p>
        </w:tc>
        <w:tc>
          <w:tcPr>
            <w:tcW w:w="3180" w:type="dxa"/>
            <w:vAlign w:val="bottom"/>
          </w:tcPr>
          <w:p>
            <w:pPr>
              <w:spacing w:after="0"/>
              <w:rPr>
                <w:sz w:val="16"/>
                <w:szCs w:val="16"/>
                <w:color w:val="auto"/>
              </w:rPr>
            </w:pPr>
          </w:p>
        </w:tc>
      </w:tr>
      <w:tr>
        <w:trPr>
          <w:trHeight w:val="424"/>
        </w:trPr>
        <w:tc>
          <w:tcPr>
            <w:tcW w:w="3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Date: May 7, 2026</w:t>
            </w:r>
          </w:p>
        </w:tc>
        <w:tc>
          <w:tcPr>
            <w:tcW w:w="4760" w:type="dxa"/>
            <w:vAlign w:val="bottom"/>
            <w:gridSpan w:val="2"/>
          </w:tcPr>
          <w:p>
            <w:pPr>
              <w:ind w:left="3100"/>
              <w:spacing w:after="0"/>
              <w:rPr>
                <w:sz w:val="20"/>
                <w:szCs w:val="20"/>
                <w:color w:val="auto"/>
              </w:rPr>
            </w:pPr>
            <w:r>
              <w:rPr>
                <w:rFonts w:ascii="Times New Roman" w:cs="Times New Roman" w:eastAsia="Times New Roman" w:hAnsi="Times New Roman"/>
                <w:sz w:val="14"/>
                <w:szCs w:val="14"/>
                <w:color w:val="auto"/>
              </w:rPr>
              <w:t>By:</w:t>
            </w:r>
          </w:p>
        </w:tc>
        <w:tc>
          <w:tcPr>
            <w:tcW w:w="3180" w:type="dxa"/>
            <w:vAlign w:val="bottom"/>
          </w:tcPr>
          <w:p>
            <w:pPr>
              <w:jc w:val="center"/>
              <w:ind w:right="1089"/>
              <w:spacing w:after="0"/>
              <w:rPr>
                <w:sz w:val="20"/>
                <w:szCs w:val="20"/>
                <w:color w:val="auto"/>
              </w:rPr>
            </w:pPr>
            <w:r>
              <w:rPr>
                <w:rFonts w:ascii="Times New Roman" w:cs="Times New Roman" w:eastAsia="Times New Roman" w:hAnsi="Times New Roman"/>
                <w:sz w:val="14"/>
                <w:szCs w:val="14"/>
                <w:color w:val="auto"/>
              </w:rPr>
              <w:t>/s/ Eric Remer</w:t>
            </w:r>
          </w:p>
        </w:tc>
      </w:tr>
      <w:tr>
        <w:trPr>
          <w:trHeight w:val="22"/>
        </w:trPr>
        <w:tc>
          <w:tcPr>
            <w:tcW w:w="33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r>
      <w:tr>
        <w:trPr>
          <w:trHeight w:val="181"/>
        </w:trPr>
        <w:tc>
          <w:tcPr>
            <w:tcW w:w="33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180" w:type="dxa"/>
            <w:vAlign w:val="bottom"/>
          </w:tcPr>
          <w:p>
            <w:pPr>
              <w:jc w:val="center"/>
              <w:ind w:right="1089"/>
              <w:spacing w:after="0"/>
              <w:rPr>
                <w:sz w:val="20"/>
                <w:szCs w:val="20"/>
                <w:color w:val="auto"/>
              </w:rPr>
            </w:pPr>
            <w:r>
              <w:rPr>
                <w:rFonts w:ascii="Times New Roman" w:cs="Times New Roman" w:eastAsia="Times New Roman" w:hAnsi="Times New Roman"/>
                <w:sz w:val="14"/>
                <w:szCs w:val="14"/>
                <w:b w:val="1"/>
                <w:bCs w:val="1"/>
                <w:color w:val="auto"/>
              </w:rPr>
              <w:t>Eric Remer</w:t>
            </w:r>
          </w:p>
        </w:tc>
      </w:tr>
      <w:tr>
        <w:trPr>
          <w:trHeight w:val="212"/>
        </w:trPr>
        <w:tc>
          <w:tcPr>
            <w:tcW w:w="33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180" w:type="dxa"/>
            <w:vAlign w:val="bottom"/>
          </w:tcPr>
          <w:p>
            <w:pPr>
              <w:jc w:val="center"/>
              <w:ind w:right="1089"/>
              <w:spacing w:after="0"/>
              <w:rPr>
                <w:sz w:val="20"/>
                <w:szCs w:val="20"/>
                <w:color w:val="auto"/>
              </w:rPr>
            </w:pPr>
            <w:r>
              <w:rPr>
                <w:rFonts w:ascii="Times New Roman" w:cs="Times New Roman" w:eastAsia="Times New Roman" w:hAnsi="Times New Roman"/>
                <w:sz w:val="14"/>
                <w:szCs w:val="14"/>
                <w:b w:val="1"/>
                <w:bCs w:val="1"/>
                <w:color w:val="auto"/>
              </w:rPr>
              <w:t>Chief Executive Officer</w:t>
            </w:r>
          </w:p>
        </w:tc>
      </w:tr>
      <w:tr>
        <w:trPr>
          <w:trHeight w:val="212"/>
        </w:trPr>
        <w:tc>
          <w:tcPr>
            <w:tcW w:w="33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180" w:type="dxa"/>
            <w:vAlign w:val="bottom"/>
          </w:tcPr>
          <w:p>
            <w:pPr>
              <w:jc w:val="center"/>
              <w:ind w:right="1089"/>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r>
        <w:trPr>
          <w:trHeight w:val="637"/>
        </w:trPr>
        <w:tc>
          <w:tcPr>
            <w:tcW w:w="3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Date: May 7, 2026</w:t>
            </w:r>
          </w:p>
        </w:tc>
        <w:tc>
          <w:tcPr>
            <w:tcW w:w="4760" w:type="dxa"/>
            <w:vAlign w:val="bottom"/>
            <w:gridSpan w:val="2"/>
          </w:tcPr>
          <w:p>
            <w:pPr>
              <w:ind w:left="3100"/>
              <w:spacing w:after="0"/>
              <w:rPr>
                <w:sz w:val="20"/>
                <w:szCs w:val="20"/>
                <w:color w:val="auto"/>
              </w:rPr>
            </w:pPr>
            <w:r>
              <w:rPr>
                <w:rFonts w:ascii="Times New Roman" w:cs="Times New Roman" w:eastAsia="Times New Roman" w:hAnsi="Times New Roman"/>
                <w:sz w:val="14"/>
                <w:szCs w:val="14"/>
                <w:color w:val="auto"/>
              </w:rPr>
              <w:t>By:</w:t>
            </w:r>
          </w:p>
        </w:tc>
        <w:tc>
          <w:tcPr>
            <w:tcW w:w="3180" w:type="dxa"/>
            <w:vAlign w:val="bottom"/>
          </w:tcPr>
          <w:p>
            <w:pPr>
              <w:jc w:val="center"/>
              <w:ind w:right="1069"/>
              <w:spacing w:after="0"/>
              <w:rPr>
                <w:sz w:val="20"/>
                <w:szCs w:val="20"/>
                <w:color w:val="auto"/>
              </w:rPr>
            </w:pPr>
            <w:r>
              <w:rPr>
                <w:rFonts w:ascii="Times New Roman" w:cs="Times New Roman" w:eastAsia="Times New Roman" w:hAnsi="Times New Roman"/>
                <w:sz w:val="14"/>
                <w:szCs w:val="14"/>
                <w:color w:val="auto"/>
              </w:rPr>
              <w:t>/s/ Ryan H. Siurek</w:t>
            </w:r>
          </w:p>
        </w:tc>
      </w:tr>
      <w:tr>
        <w:trPr>
          <w:trHeight w:val="22"/>
        </w:trPr>
        <w:tc>
          <w:tcPr>
            <w:tcW w:w="33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r>
      <w:tr>
        <w:trPr>
          <w:trHeight w:val="181"/>
        </w:trPr>
        <w:tc>
          <w:tcPr>
            <w:tcW w:w="33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180" w:type="dxa"/>
            <w:vAlign w:val="bottom"/>
          </w:tcPr>
          <w:p>
            <w:pPr>
              <w:jc w:val="center"/>
              <w:ind w:right="1089"/>
              <w:spacing w:after="0"/>
              <w:rPr>
                <w:sz w:val="20"/>
                <w:szCs w:val="20"/>
                <w:color w:val="auto"/>
              </w:rPr>
            </w:pPr>
            <w:r>
              <w:rPr>
                <w:rFonts w:ascii="Times New Roman" w:cs="Times New Roman" w:eastAsia="Times New Roman" w:hAnsi="Times New Roman"/>
                <w:sz w:val="14"/>
                <w:szCs w:val="14"/>
                <w:b w:val="1"/>
                <w:bCs w:val="1"/>
                <w:color w:val="auto"/>
              </w:rPr>
              <w:t>Ryan H. Siurek</w:t>
            </w:r>
          </w:p>
        </w:tc>
      </w:tr>
      <w:tr>
        <w:trPr>
          <w:trHeight w:val="212"/>
        </w:trPr>
        <w:tc>
          <w:tcPr>
            <w:tcW w:w="33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180" w:type="dxa"/>
            <w:vAlign w:val="bottom"/>
          </w:tcPr>
          <w:p>
            <w:pPr>
              <w:jc w:val="center"/>
              <w:ind w:right="1069"/>
              <w:spacing w:after="0"/>
              <w:rPr>
                <w:sz w:val="20"/>
                <w:szCs w:val="20"/>
                <w:color w:val="auto"/>
              </w:rPr>
            </w:pPr>
            <w:r>
              <w:rPr>
                <w:rFonts w:ascii="Times New Roman" w:cs="Times New Roman" w:eastAsia="Times New Roman" w:hAnsi="Times New Roman"/>
                <w:sz w:val="14"/>
                <w:szCs w:val="14"/>
                <w:b w:val="1"/>
                <w:bCs w:val="1"/>
                <w:color w:val="auto"/>
              </w:rPr>
              <w:t>Chief Financial Officer</w:t>
            </w:r>
          </w:p>
        </w:tc>
      </w:tr>
      <w:tr>
        <w:trPr>
          <w:trHeight w:val="212"/>
        </w:trPr>
        <w:tc>
          <w:tcPr>
            <w:tcW w:w="33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180" w:type="dxa"/>
            <w:vAlign w:val="bottom"/>
          </w:tcPr>
          <w:p>
            <w:pPr>
              <w:jc w:val="center"/>
              <w:ind w:right="1089"/>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tc>
      </w:tr>
      <w:tr>
        <w:trPr>
          <w:trHeight w:val="923"/>
        </w:trPr>
        <w:tc>
          <w:tcPr>
            <w:tcW w:w="3320" w:type="dxa"/>
            <w:vAlign w:val="bottom"/>
          </w:tcPr>
          <w:p>
            <w:pPr>
              <w:spacing w:after="0"/>
              <w:rPr>
                <w:sz w:val="24"/>
                <w:szCs w:val="24"/>
                <w:color w:val="auto"/>
              </w:rPr>
            </w:pPr>
          </w:p>
        </w:tc>
        <w:tc>
          <w:tcPr>
            <w:tcW w:w="3600" w:type="dxa"/>
            <w:vAlign w:val="bottom"/>
          </w:tcPr>
          <w:p>
            <w:pPr>
              <w:jc w:val="right"/>
              <w:ind w:right="1149"/>
              <w:spacing w:after="0"/>
              <w:rPr>
                <w:sz w:val="20"/>
                <w:szCs w:val="20"/>
                <w:color w:val="auto"/>
              </w:rPr>
            </w:pPr>
            <w:r>
              <w:rPr>
                <w:rFonts w:ascii="Times New Roman" w:cs="Times New Roman" w:eastAsia="Times New Roman" w:hAnsi="Times New Roman"/>
                <w:sz w:val="14"/>
                <w:szCs w:val="14"/>
                <w:color w:val="auto"/>
              </w:rPr>
              <w:t>36</w:t>
            </w:r>
          </w:p>
        </w:tc>
        <w:tc>
          <w:tcPr>
            <w:tcW w:w="1160" w:type="dxa"/>
            <w:vAlign w:val="bottom"/>
          </w:tcPr>
          <w:p>
            <w:pPr>
              <w:spacing w:after="0"/>
              <w:rPr>
                <w:sz w:val="24"/>
                <w:szCs w:val="24"/>
                <w:color w:val="auto"/>
              </w:rPr>
            </w:pPr>
          </w:p>
        </w:tc>
        <w:tc>
          <w:tcPr>
            <w:tcW w:w="3180" w:type="dxa"/>
            <w:vAlign w:val="bottom"/>
          </w:tcPr>
          <w:p>
            <w:pPr>
              <w:spacing w:after="0"/>
              <w:rPr>
                <w:sz w:val="24"/>
                <w:szCs w:val="24"/>
                <w:color w:val="auto"/>
              </w:rPr>
            </w:pPr>
          </w:p>
        </w:tc>
      </w:tr>
    </w:tbl>
    <w:p>
      <w:pPr>
        <w:sectPr>
          <w:pgSz w:w="11900" w:h="16838" w:orient="portrait"/>
          <w:cols w:equalWidth="0" w:num="1">
            <w:col w:w="11280"/>
          </w:cols>
          <w:pgMar w:left="300" w:top="950" w:right="319" w:bottom="1440"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304800</wp:posOffset>
            </wp:positionV>
            <wp:extent cx="7102475" cy="10299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299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2226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05650" cy="822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Eric Remer, certify that:</w:t>
      </w:r>
    </w:p>
    <w:p>
      <w:pPr>
        <w:spacing w:after="0" w:line="157" w:lineRule="exact"/>
        <w:rPr>
          <w:sz w:val="20"/>
          <w:szCs w:val="20"/>
          <w:color w:val="auto"/>
        </w:rPr>
      </w:pPr>
    </w:p>
    <w:p>
      <w:pPr>
        <w:ind w:left="340" w:hanging="335"/>
        <w:spacing w:after="0"/>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EverCommerce Inc.;</w:t>
      </w:r>
    </w:p>
    <w:p>
      <w:pPr>
        <w:spacing w:after="0" w:line="146" w:lineRule="exact"/>
        <w:rPr>
          <w:rFonts w:ascii="Times New Roman" w:cs="Times New Roman" w:eastAsia="Times New Roman" w:hAnsi="Times New Roman"/>
          <w:sz w:val="14"/>
          <w:szCs w:val="14"/>
          <w:color w:val="auto"/>
        </w:rPr>
      </w:pPr>
    </w:p>
    <w:p>
      <w:pPr>
        <w:ind w:left="360" w:hanging="355"/>
        <w:spacing w:after="0" w:line="239" w:lineRule="auto"/>
        <w:tabs>
          <w:tab w:leader="none" w:pos="353"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ind w:left="360" w:hanging="355"/>
        <w:spacing w:after="0" w:line="239" w:lineRule="auto"/>
        <w:tabs>
          <w:tab w:leader="none" w:pos="353"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320" w:hanging="315"/>
        <w:spacing w:after="0" w:line="255" w:lineRule="auto"/>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Times New Roman" w:cs="Times New Roman" w:eastAsia="Times New Roman" w:hAnsi="Times New Roman"/>
          <w:sz w:val="14"/>
          <w:szCs w:val="14"/>
          <w:color w:val="auto"/>
        </w:rPr>
      </w:pPr>
    </w:p>
    <w:p>
      <w:pPr>
        <w:ind w:left="700" w:hanging="348"/>
        <w:spacing w:after="0" w:line="239" w:lineRule="auto"/>
        <w:tabs>
          <w:tab w:leader="none" w:pos="671"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4"/>
          <w:szCs w:val="14"/>
          <w:color w:val="auto"/>
        </w:rPr>
      </w:pPr>
    </w:p>
    <w:p>
      <w:pPr>
        <w:ind w:left="700" w:hanging="348"/>
        <w:spacing w:after="0" w:line="239" w:lineRule="auto"/>
        <w:tabs>
          <w:tab w:leader="none" w:pos="71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700" w:hanging="348"/>
        <w:spacing w:after="0" w:line="255" w:lineRule="auto"/>
        <w:tabs>
          <w:tab w:leader="none" w:pos="731"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Times New Roman" w:cs="Times New Roman" w:eastAsia="Times New Roman" w:hAnsi="Times New Roman"/>
          <w:sz w:val="14"/>
          <w:szCs w:val="14"/>
          <w:color w:val="auto"/>
        </w:rPr>
      </w:pPr>
    </w:p>
    <w:p>
      <w:pPr>
        <w:ind w:left="700" w:hanging="348"/>
        <w:spacing w:after="0" w:line="239" w:lineRule="auto"/>
        <w:tabs>
          <w:tab w:leader="none" w:pos="688"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4"/>
          <w:szCs w:val="14"/>
          <w:color w:val="auto"/>
        </w:rPr>
      </w:pPr>
    </w:p>
    <w:p>
      <w:pPr>
        <w:ind w:left="360" w:hanging="355"/>
        <w:spacing w:after="0" w:line="239" w:lineRule="auto"/>
        <w:tabs>
          <w:tab w:leader="none" w:pos="353"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700" w:hanging="348"/>
        <w:spacing w:after="0" w:line="255" w:lineRule="auto"/>
        <w:tabs>
          <w:tab w:leader="none" w:pos="678"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Times New Roman" w:cs="Times New Roman" w:eastAsia="Times New Roman" w:hAnsi="Times New Roman"/>
          <w:sz w:val="14"/>
          <w:szCs w:val="14"/>
          <w:color w:val="auto"/>
        </w:rPr>
      </w:pPr>
    </w:p>
    <w:p>
      <w:pPr>
        <w:ind w:left="660" w:hanging="308"/>
        <w:spacing w:after="0"/>
        <w:tabs>
          <w:tab w:leader="none" w:pos="66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Date: May 7, 2026</w:t>
            </w:r>
          </w:p>
        </w:tc>
        <w:tc>
          <w:tcPr>
            <w:tcW w:w="3020" w:type="dxa"/>
            <w:vAlign w:val="bottom"/>
            <w:vMerge w:val="restart"/>
          </w:tcPr>
          <w:p>
            <w:pPr>
              <w:ind w:left="2120"/>
              <w:spacing w:after="0"/>
              <w:rPr>
                <w:sz w:val="20"/>
                <w:szCs w:val="20"/>
                <w:color w:val="auto"/>
              </w:rPr>
            </w:pPr>
            <w:r>
              <w:rPr>
                <w:rFonts w:ascii="Times New Roman" w:cs="Times New Roman" w:eastAsia="Times New Roman" w:hAnsi="Times New Roman"/>
                <w:sz w:val="14"/>
                <w:szCs w:val="14"/>
                <w:color w:val="auto"/>
              </w:rPr>
              <w:t>By:</w:t>
            </w: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 Eric Remer</w:t>
            </w:r>
          </w:p>
        </w:tc>
        <w:tc>
          <w:tcPr>
            <w:tcW w:w="0" w:type="dxa"/>
            <w:vAlign w:val="bottom"/>
          </w:tcPr>
          <w:p>
            <w:pPr>
              <w:spacing w:after="0"/>
              <w:rPr>
                <w:sz w:val="1"/>
                <w:szCs w:val="1"/>
                <w:color w:val="auto"/>
              </w:rPr>
            </w:pPr>
          </w:p>
        </w:tc>
      </w:tr>
      <w:tr>
        <w:trPr>
          <w:trHeight w:val="58"/>
        </w:trPr>
        <w:tc>
          <w:tcPr>
            <w:tcW w:w="3200" w:type="dxa"/>
            <w:vAlign w:val="bottom"/>
          </w:tcPr>
          <w:p>
            <w:pPr>
              <w:spacing w:after="0"/>
              <w:rPr>
                <w:sz w:val="4"/>
                <w:szCs w:val="4"/>
                <w:color w:val="auto"/>
              </w:rPr>
            </w:pPr>
          </w:p>
        </w:tc>
        <w:tc>
          <w:tcPr>
            <w:tcW w:w="3020" w:type="dxa"/>
            <w:vAlign w:val="bottom"/>
            <w:vMerge w:val="continue"/>
          </w:tcPr>
          <w:p>
            <w:pPr>
              <w:spacing w:after="0"/>
              <w:rPr>
                <w:sz w:val="4"/>
                <w:szCs w:val="4"/>
                <w:color w:val="auto"/>
              </w:rPr>
            </w:pPr>
          </w:p>
        </w:tc>
        <w:tc>
          <w:tcPr>
            <w:tcW w:w="50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32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Eric Remer</w:t>
            </w:r>
          </w:p>
        </w:tc>
        <w:tc>
          <w:tcPr>
            <w:tcW w:w="0" w:type="dxa"/>
            <w:vAlign w:val="bottom"/>
          </w:tcPr>
          <w:p>
            <w:pPr>
              <w:spacing w:after="0"/>
              <w:rPr>
                <w:sz w:val="1"/>
                <w:szCs w:val="1"/>
                <w:color w:val="auto"/>
              </w:rPr>
            </w:pPr>
          </w:p>
        </w:tc>
      </w:tr>
      <w:tr>
        <w:trPr>
          <w:trHeight w:val="175"/>
        </w:trPr>
        <w:tc>
          <w:tcPr>
            <w:tcW w:w="32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Chief Executive Officer and Director</w:t>
            </w:r>
          </w:p>
        </w:tc>
        <w:tc>
          <w:tcPr>
            <w:tcW w:w="0" w:type="dxa"/>
            <w:vAlign w:val="bottom"/>
          </w:tcPr>
          <w:p>
            <w:pPr>
              <w:spacing w:after="0"/>
              <w:rPr>
                <w:sz w:val="1"/>
                <w:szCs w:val="1"/>
                <w:color w:val="auto"/>
              </w:rPr>
            </w:pPr>
          </w:p>
        </w:tc>
      </w:tr>
      <w:tr>
        <w:trPr>
          <w:trHeight w:val="186"/>
        </w:trPr>
        <w:tc>
          <w:tcPr>
            <w:tcW w:w="32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80"/>
          </w:cols>
          <w:pgMar w:left="300" w:top="112" w:right="31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Ryan H. Siurek, certify that:</w:t>
      </w:r>
    </w:p>
    <w:p>
      <w:pPr>
        <w:spacing w:after="0" w:line="157" w:lineRule="exact"/>
        <w:rPr>
          <w:sz w:val="20"/>
          <w:szCs w:val="20"/>
          <w:color w:val="auto"/>
        </w:rPr>
      </w:pPr>
    </w:p>
    <w:p>
      <w:pPr>
        <w:ind w:left="320" w:hanging="315"/>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EverCommerce Inc.;</w:t>
      </w:r>
    </w:p>
    <w:p>
      <w:pPr>
        <w:spacing w:after="0" w:line="146" w:lineRule="exact"/>
        <w:rPr>
          <w:rFonts w:ascii="Times New Roman" w:cs="Times New Roman" w:eastAsia="Times New Roman" w:hAnsi="Times New Roman"/>
          <w:sz w:val="14"/>
          <w:szCs w:val="14"/>
          <w:color w:val="auto"/>
        </w:rPr>
      </w:pPr>
    </w:p>
    <w:p>
      <w:pPr>
        <w:ind w:left="320" w:hanging="315"/>
        <w:spacing w:after="0" w:line="239" w:lineRule="auto"/>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ind w:left="320" w:hanging="315"/>
        <w:spacing w:after="0" w:line="239" w:lineRule="auto"/>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320" w:hanging="315"/>
        <w:spacing w:after="0" w:line="255" w:lineRule="auto"/>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Times New Roman" w:cs="Times New Roman" w:eastAsia="Times New Roman" w:hAnsi="Times New Roman"/>
          <w:sz w:val="14"/>
          <w:szCs w:val="14"/>
          <w:color w:val="auto"/>
        </w:rPr>
      </w:pPr>
    </w:p>
    <w:p>
      <w:pPr>
        <w:ind w:left="700" w:hanging="348"/>
        <w:spacing w:after="0" w:line="239" w:lineRule="auto"/>
        <w:tabs>
          <w:tab w:leader="none" w:pos="671"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4"/>
          <w:szCs w:val="14"/>
          <w:color w:val="auto"/>
        </w:rPr>
      </w:pPr>
    </w:p>
    <w:p>
      <w:pPr>
        <w:ind w:left="700" w:hanging="348"/>
        <w:spacing w:after="0" w:line="239" w:lineRule="auto"/>
        <w:tabs>
          <w:tab w:leader="none" w:pos="71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700" w:hanging="348"/>
        <w:spacing w:after="0" w:line="255" w:lineRule="auto"/>
        <w:tabs>
          <w:tab w:leader="none" w:pos="731"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Times New Roman" w:cs="Times New Roman" w:eastAsia="Times New Roman" w:hAnsi="Times New Roman"/>
          <w:sz w:val="14"/>
          <w:szCs w:val="14"/>
          <w:color w:val="auto"/>
        </w:rPr>
      </w:pPr>
    </w:p>
    <w:p>
      <w:pPr>
        <w:ind w:left="700" w:hanging="348"/>
        <w:spacing w:after="0" w:line="239" w:lineRule="auto"/>
        <w:tabs>
          <w:tab w:leader="none" w:pos="688"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4"/>
          <w:szCs w:val="14"/>
          <w:color w:val="auto"/>
        </w:rPr>
      </w:pPr>
    </w:p>
    <w:p>
      <w:pPr>
        <w:ind w:left="320" w:hanging="315"/>
        <w:spacing w:after="0" w:line="239" w:lineRule="auto"/>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700" w:hanging="348"/>
        <w:spacing w:after="0" w:line="255" w:lineRule="auto"/>
        <w:tabs>
          <w:tab w:leader="none" w:pos="678"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Times New Roman" w:cs="Times New Roman" w:eastAsia="Times New Roman" w:hAnsi="Times New Roman"/>
          <w:sz w:val="14"/>
          <w:szCs w:val="14"/>
          <w:color w:val="auto"/>
        </w:rPr>
      </w:pPr>
    </w:p>
    <w:p>
      <w:pPr>
        <w:ind w:left="660" w:hanging="308"/>
        <w:spacing w:after="0"/>
        <w:tabs>
          <w:tab w:leader="none" w:pos="66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Date: May 7, 2026</w:t>
            </w:r>
          </w:p>
        </w:tc>
        <w:tc>
          <w:tcPr>
            <w:tcW w:w="3020" w:type="dxa"/>
            <w:vAlign w:val="bottom"/>
            <w:vMerge w:val="restart"/>
          </w:tcPr>
          <w:p>
            <w:pPr>
              <w:ind w:left="2120"/>
              <w:spacing w:after="0"/>
              <w:rPr>
                <w:sz w:val="20"/>
                <w:szCs w:val="20"/>
                <w:color w:val="auto"/>
              </w:rPr>
            </w:pPr>
            <w:r>
              <w:rPr>
                <w:rFonts w:ascii="Times New Roman" w:cs="Times New Roman" w:eastAsia="Times New Roman" w:hAnsi="Times New Roman"/>
                <w:sz w:val="14"/>
                <w:szCs w:val="14"/>
                <w:color w:val="auto"/>
              </w:rPr>
              <w:t>By:</w:t>
            </w: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 Ryan H. Siurek</w:t>
            </w:r>
          </w:p>
        </w:tc>
        <w:tc>
          <w:tcPr>
            <w:tcW w:w="0" w:type="dxa"/>
            <w:vAlign w:val="bottom"/>
          </w:tcPr>
          <w:p>
            <w:pPr>
              <w:spacing w:after="0"/>
              <w:rPr>
                <w:sz w:val="1"/>
                <w:szCs w:val="1"/>
                <w:color w:val="auto"/>
              </w:rPr>
            </w:pPr>
          </w:p>
        </w:tc>
      </w:tr>
      <w:tr>
        <w:trPr>
          <w:trHeight w:val="58"/>
        </w:trPr>
        <w:tc>
          <w:tcPr>
            <w:tcW w:w="3200" w:type="dxa"/>
            <w:vAlign w:val="bottom"/>
          </w:tcPr>
          <w:p>
            <w:pPr>
              <w:spacing w:after="0"/>
              <w:rPr>
                <w:sz w:val="4"/>
                <w:szCs w:val="4"/>
                <w:color w:val="auto"/>
              </w:rPr>
            </w:pPr>
          </w:p>
        </w:tc>
        <w:tc>
          <w:tcPr>
            <w:tcW w:w="3020" w:type="dxa"/>
            <w:vAlign w:val="bottom"/>
            <w:vMerge w:val="continue"/>
          </w:tcPr>
          <w:p>
            <w:pPr>
              <w:spacing w:after="0"/>
              <w:rPr>
                <w:sz w:val="4"/>
                <w:szCs w:val="4"/>
                <w:color w:val="auto"/>
              </w:rPr>
            </w:pPr>
          </w:p>
        </w:tc>
        <w:tc>
          <w:tcPr>
            <w:tcW w:w="50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32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Ryan H. Siurek</w:t>
            </w:r>
          </w:p>
        </w:tc>
        <w:tc>
          <w:tcPr>
            <w:tcW w:w="0" w:type="dxa"/>
            <w:vAlign w:val="bottom"/>
          </w:tcPr>
          <w:p>
            <w:pPr>
              <w:spacing w:after="0"/>
              <w:rPr>
                <w:sz w:val="1"/>
                <w:szCs w:val="1"/>
                <w:color w:val="auto"/>
              </w:rPr>
            </w:pPr>
          </w:p>
        </w:tc>
      </w:tr>
      <w:tr>
        <w:trPr>
          <w:trHeight w:val="175"/>
        </w:trPr>
        <w:tc>
          <w:tcPr>
            <w:tcW w:w="32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Chief Financial Officer</w:t>
            </w:r>
          </w:p>
        </w:tc>
        <w:tc>
          <w:tcPr>
            <w:tcW w:w="0" w:type="dxa"/>
            <w:vAlign w:val="bottom"/>
          </w:tcPr>
          <w:p>
            <w:pPr>
              <w:spacing w:after="0"/>
              <w:rPr>
                <w:sz w:val="1"/>
                <w:szCs w:val="1"/>
                <w:color w:val="auto"/>
              </w:rPr>
            </w:pPr>
          </w:p>
        </w:tc>
      </w:tr>
      <w:tr>
        <w:trPr>
          <w:trHeight w:val="186"/>
        </w:trPr>
        <w:tc>
          <w:tcPr>
            <w:tcW w:w="32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80"/>
          </w:cols>
          <w:pgMar w:left="300" w:top="111" w:right="31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ind w:left="3860"/>
        <w:spacing w:after="0" w:line="221" w:lineRule="auto"/>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ind w:left="380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31" w:lineRule="exact"/>
        <w:rPr>
          <w:sz w:val="20"/>
          <w:szCs w:val="20"/>
          <w:color w:val="auto"/>
        </w:rPr>
      </w:pPr>
    </w:p>
    <w:p>
      <w:pPr>
        <w:ind w:firstLine="347"/>
        <w:spacing w:after="0" w:line="239" w:lineRule="auto"/>
        <w:rPr>
          <w:sz w:val="20"/>
          <w:szCs w:val="20"/>
          <w:color w:val="auto"/>
        </w:rPr>
      </w:pPr>
      <w:r>
        <w:rPr>
          <w:rFonts w:ascii="Times New Roman" w:cs="Times New Roman" w:eastAsia="Times New Roman" w:hAnsi="Times New Roman"/>
          <w:sz w:val="14"/>
          <w:szCs w:val="14"/>
          <w:color w:val="auto"/>
        </w:rPr>
        <w:t>In connection with the Quarterly Report on Form 10-Q of EverCommerce Inc. (the “Company”) for the period ended March 31, 2026 as filed with the Securities and Exchange Commission on the date hereof (the “Report”), I certify, pursuant to 18 U.S.C. § 1350, as adopted pursuant to § 906 of the Sarbanes-Oxley Act of 2002, that, to the best of my knowledge:</w:t>
      </w:r>
    </w:p>
    <w:p>
      <w:pPr>
        <w:spacing w:after="0" w:line="136" w:lineRule="exact"/>
        <w:rPr>
          <w:sz w:val="20"/>
          <w:szCs w:val="20"/>
          <w:color w:val="auto"/>
        </w:rPr>
      </w:pPr>
    </w:p>
    <w:p>
      <w:pPr>
        <w:ind w:left="660" w:hanging="308"/>
        <w:spacing w:after="0"/>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46" w:lineRule="exact"/>
        <w:rPr>
          <w:rFonts w:ascii="Times New Roman" w:cs="Times New Roman" w:eastAsia="Times New Roman" w:hAnsi="Times New Roman"/>
          <w:sz w:val="14"/>
          <w:szCs w:val="14"/>
          <w:color w:val="auto"/>
        </w:rPr>
      </w:pPr>
    </w:p>
    <w:p>
      <w:pPr>
        <w:ind w:left="660" w:hanging="308"/>
        <w:spacing w:after="0"/>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 May 7, 2026</w:t>
            </w:r>
          </w:p>
        </w:tc>
        <w:tc>
          <w:tcPr>
            <w:tcW w:w="7900" w:type="dxa"/>
            <w:vAlign w:val="bottom"/>
            <w:gridSpan w:val="2"/>
          </w:tcPr>
          <w:p>
            <w:pPr>
              <w:ind w:left="2280"/>
              <w:spacing w:after="0"/>
              <w:rPr>
                <w:sz w:val="20"/>
                <w:szCs w:val="20"/>
                <w:color w:val="auto"/>
              </w:rPr>
            </w:pPr>
            <w:r>
              <w:rPr>
                <w:rFonts w:ascii="Times New Roman" w:cs="Times New Roman" w:eastAsia="Times New Roman" w:hAnsi="Times New Roman"/>
                <w:sz w:val="14"/>
                <w:szCs w:val="14"/>
                <w:color w:val="auto"/>
              </w:rPr>
              <w:t>By:</w:t>
            </w:r>
          </w:p>
        </w:tc>
        <w:tc>
          <w:tcPr>
            <w:tcW w:w="0" w:type="dxa"/>
            <w:vAlign w:val="bottom"/>
          </w:tcPr>
          <w:p>
            <w:pPr>
              <w:spacing w:after="0"/>
              <w:rPr>
                <w:sz w:val="1"/>
                <w:szCs w:val="1"/>
                <w:color w:val="auto"/>
              </w:rPr>
            </w:pPr>
          </w:p>
        </w:tc>
      </w:tr>
      <w:tr>
        <w:trPr>
          <w:trHeight w:val="116"/>
        </w:trPr>
        <w:tc>
          <w:tcPr>
            <w:tcW w:w="3360" w:type="dxa"/>
            <w:vAlign w:val="bottom"/>
            <w:vMerge w:val="continue"/>
          </w:tcPr>
          <w:p>
            <w:pPr>
              <w:spacing w:after="0"/>
              <w:rPr>
                <w:sz w:val="10"/>
                <w:szCs w:val="10"/>
                <w:color w:val="auto"/>
              </w:rPr>
            </w:pPr>
          </w:p>
        </w:tc>
        <w:tc>
          <w:tcPr>
            <w:tcW w:w="2680" w:type="dxa"/>
            <w:vAlign w:val="bottom"/>
          </w:tcPr>
          <w:p>
            <w:pPr>
              <w:spacing w:after="0"/>
              <w:rPr>
                <w:sz w:val="10"/>
                <w:szCs w:val="10"/>
                <w:color w:val="auto"/>
              </w:rPr>
            </w:pPr>
          </w:p>
        </w:tc>
        <w:tc>
          <w:tcPr>
            <w:tcW w:w="5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 Eric Remer</w:t>
            </w:r>
          </w:p>
        </w:tc>
        <w:tc>
          <w:tcPr>
            <w:tcW w:w="0" w:type="dxa"/>
            <w:vAlign w:val="bottom"/>
          </w:tcPr>
          <w:p>
            <w:pPr>
              <w:spacing w:after="0"/>
              <w:rPr>
                <w:sz w:val="1"/>
                <w:szCs w:val="1"/>
                <w:color w:val="auto"/>
              </w:rPr>
            </w:pPr>
          </w:p>
        </w:tc>
      </w:tr>
      <w:tr>
        <w:trPr>
          <w:trHeight w:val="58"/>
        </w:trPr>
        <w:tc>
          <w:tcPr>
            <w:tcW w:w="3360" w:type="dxa"/>
            <w:vAlign w:val="bottom"/>
          </w:tcPr>
          <w:p>
            <w:pPr>
              <w:spacing w:after="0"/>
              <w:rPr>
                <w:sz w:val="4"/>
                <w:szCs w:val="4"/>
                <w:color w:val="auto"/>
              </w:rPr>
            </w:pPr>
          </w:p>
        </w:tc>
        <w:tc>
          <w:tcPr>
            <w:tcW w:w="2680" w:type="dxa"/>
            <w:vAlign w:val="bottom"/>
          </w:tcPr>
          <w:p>
            <w:pPr>
              <w:spacing w:after="0"/>
              <w:rPr>
                <w:sz w:val="4"/>
                <w:szCs w:val="4"/>
                <w:color w:val="auto"/>
              </w:rPr>
            </w:pPr>
          </w:p>
        </w:tc>
        <w:tc>
          <w:tcPr>
            <w:tcW w:w="52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33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Eric Remer</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Chief Executive Officer and Director</w:t>
            </w: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80"/>
          </w:cols>
          <w:pgMar w:left="300" w:top="111" w:right="31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ind w:left="3860"/>
        <w:spacing w:after="0" w:line="221" w:lineRule="auto"/>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ind w:left="380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31" w:lineRule="exact"/>
        <w:rPr>
          <w:sz w:val="20"/>
          <w:szCs w:val="20"/>
          <w:color w:val="auto"/>
        </w:rPr>
      </w:pPr>
    </w:p>
    <w:p>
      <w:pPr>
        <w:ind w:firstLine="347"/>
        <w:spacing w:after="0" w:line="239" w:lineRule="auto"/>
        <w:rPr>
          <w:sz w:val="20"/>
          <w:szCs w:val="20"/>
          <w:color w:val="auto"/>
        </w:rPr>
      </w:pPr>
      <w:r>
        <w:rPr>
          <w:rFonts w:ascii="Times New Roman" w:cs="Times New Roman" w:eastAsia="Times New Roman" w:hAnsi="Times New Roman"/>
          <w:sz w:val="14"/>
          <w:szCs w:val="14"/>
          <w:color w:val="auto"/>
        </w:rPr>
        <w:t>In connection with the Quarterly Report on Form 10-Q of EverCommerce Inc. (the “Company”) for the period ended March 31, 2026 as filed with the Securities and Exchange Commission on the date hereof (the “Report”), I certify, pursuant to 18 U.S.C. § 1350, as adopted pursuant to § 906 of the Sarbanes-Oxley Act of 2002, that, to the best of my knowledge:</w:t>
      </w:r>
    </w:p>
    <w:p>
      <w:pPr>
        <w:spacing w:after="0" w:line="136" w:lineRule="exact"/>
        <w:rPr>
          <w:sz w:val="20"/>
          <w:szCs w:val="20"/>
          <w:color w:val="auto"/>
        </w:rPr>
      </w:pPr>
    </w:p>
    <w:p>
      <w:pPr>
        <w:ind w:left="660" w:hanging="308"/>
        <w:spacing w:after="0"/>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46" w:lineRule="exact"/>
        <w:rPr>
          <w:rFonts w:ascii="Times New Roman" w:cs="Times New Roman" w:eastAsia="Times New Roman" w:hAnsi="Times New Roman"/>
          <w:sz w:val="14"/>
          <w:szCs w:val="14"/>
          <w:color w:val="auto"/>
        </w:rPr>
      </w:pPr>
    </w:p>
    <w:p>
      <w:pPr>
        <w:ind w:left="660" w:hanging="308"/>
        <w:spacing w:after="0"/>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 May 7, 2026</w:t>
            </w:r>
          </w:p>
        </w:tc>
        <w:tc>
          <w:tcPr>
            <w:tcW w:w="7900" w:type="dxa"/>
            <w:vAlign w:val="bottom"/>
            <w:gridSpan w:val="2"/>
          </w:tcPr>
          <w:p>
            <w:pPr>
              <w:ind w:left="2280"/>
              <w:spacing w:after="0"/>
              <w:rPr>
                <w:sz w:val="20"/>
                <w:szCs w:val="20"/>
                <w:color w:val="auto"/>
              </w:rPr>
            </w:pPr>
            <w:r>
              <w:rPr>
                <w:rFonts w:ascii="Times New Roman" w:cs="Times New Roman" w:eastAsia="Times New Roman" w:hAnsi="Times New Roman"/>
                <w:sz w:val="14"/>
                <w:szCs w:val="14"/>
                <w:color w:val="auto"/>
              </w:rPr>
              <w:t>By:</w:t>
            </w:r>
          </w:p>
        </w:tc>
        <w:tc>
          <w:tcPr>
            <w:tcW w:w="0" w:type="dxa"/>
            <w:vAlign w:val="bottom"/>
          </w:tcPr>
          <w:p>
            <w:pPr>
              <w:spacing w:after="0"/>
              <w:rPr>
                <w:sz w:val="1"/>
                <w:szCs w:val="1"/>
                <w:color w:val="auto"/>
              </w:rPr>
            </w:pPr>
          </w:p>
        </w:tc>
      </w:tr>
      <w:tr>
        <w:trPr>
          <w:trHeight w:val="116"/>
        </w:trPr>
        <w:tc>
          <w:tcPr>
            <w:tcW w:w="3360" w:type="dxa"/>
            <w:vAlign w:val="bottom"/>
            <w:vMerge w:val="continue"/>
          </w:tcPr>
          <w:p>
            <w:pPr>
              <w:spacing w:after="0"/>
              <w:rPr>
                <w:sz w:val="10"/>
                <w:szCs w:val="10"/>
                <w:color w:val="auto"/>
              </w:rPr>
            </w:pPr>
          </w:p>
        </w:tc>
        <w:tc>
          <w:tcPr>
            <w:tcW w:w="2680" w:type="dxa"/>
            <w:vAlign w:val="bottom"/>
          </w:tcPr>
          <w:p>
            <w:pPr>
              <w:spacing w:after="0"/>
              <w:rPr>
                <w:sz w:val="10"/>
                <w:szCs w:val="10"/>
                <w:color w:val="auto"/>
              </w:rPr>
            </w:pPr>
          </w:p>
        </w:tc>
        <w:tc>
          <w:tcPr>
            <w:tcW w:w="5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 Ryan H. Siurek</w:t>
            </w:r>
          </w:p>
        </w:tc>
        <w:tc>
          <w:tcPr>
            <w:tcW w:w="0" w:type="dxa"/>
            <w:vAlign w:val="bottom"/>
          </w:tcPr>
          <w:p>
            <w:pPr>
              <w:spacing w:after="0"/>
              <w:rPr>
                <w:sz w:val="1"/>
                <w:szCs w:val="1"/>
                <w:color w:val="auto"/>
              </w:rPr>
            </w:pPr>
          </w:p>
        </w:tc>
      </w:tr>
      <w:tr>
        <w:trPr>
          <w:trHeight w:val="58"/>
        </w:trPr>
        <w:tc>
          <w:tcPr>
            <w:tcW w:w="3360" w:type="dxa"/>
            <w:vAlign w:val="bottom"/>
          </w:tcPr>
          <w:p>
            <w:pPr>
              <w:spacing w:after="0"/>
              <w:rPr>
                <w:sz w:val="4"/>
                <w:szCs w:val="4"/>
                <w:color w:val="auto"/>
              </w:rPr>
            </w:pPr>
          </w:p>
        </w:tc>
        <w:tc>
          <w:tcPr>
            <w:tcW w:w="2680" w:type="dxa"/>
            <w:vAlign w:val="bottom"/>
          </w:tcPr>
          <w:p>
            <w:pPr>
              <w:spacing w:after="0"/>
              <w:rPr>
                <w:sz w:val="4"/>
                <w:szCs w:val="4"/>
                <w:color w:val="auto"/>
              </w:rPr>
            </w:pPr>
          </w:p>
        </w:tc>
        <w:tc>
          <w:tcPr>
            <w:tcW w:w="52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33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Ryan H. Siurek</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Chief Financial Officer</w:t>
            </w: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1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3"/>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jpeg"/><Relationship Id="rId66" Type="http://schemas.openxmlformats.org/officeDocument/2006/relationships/image" Target="media/image57.png"/><Relationship Id="rId62" Type="http://schemas.openxmlformats.org/officeDocument/2006/relationships/hyperlink" Target="https://www.sec.gov/Archives/edgar/data/0001853145/000114036121023912/nt10022251x16_ex3-1.htm" TargetMode="External"/><Relationship Id="rId63" Type="http://schemas.openxmlformats.org/officeDocument/2006/relationships/hyperlink" Target="https://www.sec.gov/Archives/edgar/data/0001853145/000114036121023912/nt10022251x16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2026-05-07T16:21:28Z</dcterms:created>
  <dcterms:modified xsi:type="dcterms:W3CDTF">2026-05-07T16:21:28Z</dcterms:modified>
</cp:coreProperties>
</file>