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246271.xml.htm"/>
      <w:bookmarkStart w:id="1" w:name="kswkform4_17822462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Baldwin-Leonard Penny Rose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22,346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99,811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Each RSU represents a contingent right to receive one share of the Issuer's Common Stock. The RSUs shall vest and settle on the earlier of (i) the day immediately preceding the date of the Issuer's first annual meeting of stockholders following the date of grant and (ii) the first anniversary of the date of grant, subject to the Reporting Person continuing in service on the Issuer's Board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785"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3477</Characters>
  <CharactersWithSpaces>4059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