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10347" w:type="dxa"/>
        <w:jc w:val="left"/>
        <w:tblInd w:w="0" w:type="dxa"/>
        <w:tblCellMar>
          <w:top w:w="28" w:type="dxa"/>
          <w:left w:w="28" w:type="dxa"/>
          <w:bottom w:w="28" w:type="dxa"/>
          <w:right w:w="28" w:type="dxa"/>
        </w:tblCellMar>
      </w:tblPr>
      <w:tblGrid>
        <w:gridCol w:w="124"/>
        <w:gridCol w:w="109"/>
        <w:gridCol w:w="109"/>
        <w:gridCol w:w="2927"/>
        <w:gridCol w:w="2927"/>
        <w:gridCol w:w="415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7" w:type="dxa"/>
            <w:tcBorders/>
            <w:shd w:fill="auto" w:val="clear"/>
            <w:vAlign w:val="center"/>
          </w:tcPr>
          <w:p>
            <w:pPr>
              <w:pStyle w:val="TableContents"/>
              <w:spacing w:before="0" w:after="283"/>
              <w:rPr>
                <w:sz w:val="4"/>
                <w:szCs w:val="4"/>
              </w:rPr>
            </w:pPr>
            <w:r>
              <w:rPr>
                <w:sz w:val="4"/>
                <w:szCs w:val="4"/>
              </w:rPr>
            </w:r>
          </w:p>
        </w:tc>
        <w:tc>
          <w:tcPr>
            <w:tcW w:w="2927" w:type="dxa"/>
            <w:tcBorders/>
            <w:shd w:fill="auto" w:val="clear"/>
            <w:vAlign w:val="center"/>
          </w:tcPr>
          <w:p>
            <w:pPr>
              <w:pStyle w:val="TableContents"/>
              <w:spacing w:before="0" w:after="283"/>
              <w:rPr>
                <w:sz w:val="4"/>
                <w:szCs w:val="4"/>
              </w:rPr>
            </w:pPr>
            <w:r>
              <w:rPr>
                <w:sz w:val="4"/>
                <w:szCs w:val="4"/>
              </w:rPr>
            </w:r>
          </w:p>
        </w:tc>
        <w:tc>
          <w:tcPr>
            <w:tcW w:w="415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jc w:val="left"/>
              <w:rPr/>
            </w:pPr>
            <w:r>
              <w:rPr/>
              <w:t>☒</w:t>
            </w:r>
          </w:p>
        </w:tc>
        <w:tc>
          <w:tcPr>
            <w:tcW w:w="10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331" w:type="dxa"/>
        <w:jc w:val="center"/>
        <w:tblInd w:w="0" w:type="dxa"/>
        <w:tblCellMar>
          <w:top w:w="28" w:type="dxa"/>
          <w:left w:w="28" w:type="dxa"/>
          <w:bottom w:w="28" w:type="dxa"/>
          <w:right w:w="28" w:type="dxa"/>
        </w:tblCellMar>
      </w:tblPr>
      <w:tblGrid>
        <w:gridCol w:w="124"/>
        <w:gridCol w:w="109"/>
        <w:gridCol w:w="109"/>
        <w:gridCol w:w="2925"/>
        <w:gridCol w:w="2925"/>
        <w:gridCol w:w="41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5" w:type="dxa"/>
            <w:tcBorders/>
            <w:shd w:fill="auto" w:val="clear"/>
            <w:vAlign w:val="center"/>
          </w:tcPr>
          <w:p>
            <w:pPr>
              <w:pStyle w:val="TableContents"/>
              <w:spacing w:before="0" w:after="283"/>
              <w:rPr>
                <w:sz w:val="4"/>
                <w:szCs w:val="4"/>
              </w:rPr>
            </w:pPr>
            <w:r>
              <w:rPr>
                <w:sz w:val="4"/>
                <w:szCs w:val="4"/>
              </w:rPr>
            </w:r>
          </w:p>
        </w:tc>
        <w:tc>
          <w:tcPr>
            <w:tcW w:w="2925" w:type="dxa"/>
            <w:tcBorders/>
            <w:shd w:fill="auto" w:val="clear"/>
            <w:vAlign w:val="center"/>
          </w:tcPr>
          <w:p>
            <w:pPr>
              <w:pStyle w:val="TableContents"/>
              <w:spacing w:before="0" w:after="283"/>
              <w:rPr>
                <w:sz w:val="4"/>
                <w:szCs w:val="4"/>
              </w:rPr>
            </w:pPr>
            <w:r>
              <w:rPr>
                <w:sz w:val="4"/>
                <w:szCs w:val="4"/>
              </w:rPr>
            </w:r>
          </w:p>
        </w:tc>
        <w:tc>
          <w:tcPr>
            <w:tcW w:w="41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9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___________________ to ___________________</w:t>
      </w:r>
    </w:p>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20"/>
          <w:highlight w:val="white"/>
        </w:rPr>
        <w:t>001-40575</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EverCommerce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before="0" w:after="0"/>
        <w:jc w:val="both"/>
        <w:rPr/>
      </w:pPr>
      <w:r>
        <w:rPr/>
      </w:r>
    </w:p>
    <w:tbl>
      <w:tblPr>
        <w:tblW w:w="6508" w:type="dxa"/>
        <w:jc w:val="center"/>
        <w:tblInd w:w="0" w:type="dxa"/>
        <w:tblCellMar>
          <w:top w:w="28" w:type="dxa"/>
          <w:left w:w="28" w:type="dxa"/>
          <w:bottom w:w="28" w:type="dxa"/>
          <w:right w:w="28" w:type="dxa"/>
        </w:tblCellMar>
      </w:tblPr>
      <w:tblGrid>
        <w:gridCol w:w="1220"/>
        <w:gridCol w:w="1072"/>
        <w:gridCol w:w="1082"/>
        <w:gridCol w:w="915"/>
        <w:gridCol w:w="915"/>
        <w:gridCol w:w="1304"/>
      </w:tblGrid>
      <w:tr>
        <w:trPr/>
        <w:tc>
          <w:tcPr>
            <w:tcW w:w="1220"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1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81-4063248</w:t>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31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 Identification No.)</w:t>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3601 Walnut Street, Suite 400</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Denver, Colorado</w:t>
            </w:r>
          </w:p>
        </w:tc>
        <w:tc>
          <w:tcPr>
            <w:tcW w:w="31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80205</w:t>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31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(720) 647-4948</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former address and former fiscal year, if changed since last report)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spacing w:before="0" w:after="0"/>
        <w:jc w:val="both"/>
        <w:rPr/>
      </w:pPr>
      <w:r>
        <w:rPr/>
      </w:r>
    </w:p>
    <w:tbl>
      <w:tblPr>
        <w:tblW w:w="8533" w:type="dxa"/>
        <w:jc w:val="left"/>
        <w:tblInd w:w="0" w:type="dxa"/>
        <w:tblCellMar>
          <w:top w:w="28" w:type="dxa"/>
          <w:left w:w="28" w:type="dxa"/>
          <w:bottom w:w="28" w:type="dxa"/>
          <w:right w:w="28" w:type="dxa"/>
        </w:tblCellMar>
      </w:tblPr>
      <w:tblGrid>
        <w:gridCol w:w="1089"/>
        <w:gridCol w:w="957"/>
        <w:gridCol w:w="968"/>
        <w:gridCol w:w="564"/>
        <w:gridCol w:w="564"/>
        <w:gridCol w:w="566"/>
        <w:gridCol w:w="1118"/>
        <w:gridCol w:w="1118"/>
        <w:gridCol w:w="1589"/>
      </w:tblGrid>
      <w:tr>
        <w:trPr/>
        <w:tc>
          <w:tcPr>
            <w:tcW w:w="1089"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01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$0.00001 par value</w:t>
            </w:r>
          </w:p>
        </w:tc>
        <w:tc>
          <w:tcPr>
            <w:tcW w:w="169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EVCM</w:t>
            </w:r>
          </w:p>
        </w:tc>
        <w:tc>
          <w:tcPr>
            <w:tcW w:w="382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Yes ☒ No ☐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both"/>
        <w:rPr/>
      </w:pPr>
      <w:r>
        <w:rPr/>
      </w:r>
    </w:p>
    <w:tbl>
      <w:tblPr>
        <w:tblW w:w="5661" w:type="dxa"/>
        <w:jc w:val="left"/>
        <w:tblInd w:w="0" w:type="dxa"/>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As of May 5, 2023, there were 187,934,868</w:t>
      </w:r>
      <w:r>
        <w:rPr>
          <w:color w:val="000000"/>
          <w:highlight w:val="white"/>
        </w:rPr>
        <w:t xml:space="preserve"> </w:t>
      </w:r>
      <w:r>
        <w:rPr>
          <w:rFonts w:ascii="Times New Roman;sans-serif" w:hAnsi="Times New Roman;sans-serif"/>
          <w:b w:val="false"/>
          <w:color w:val="000000"/>
          <w:sz w:val="20"/>
        </w:rPr>
        <w:t>shares of the registrant’s common stock, par value $0.00001, outstanding.</w:t>
      </w:r>
      <w:r>
        <w:rPr>
          <w:color w:val="000000"/>
        </w:rPr>
        <w:t xml:space="preserve">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75260"/>
                <wp:effectExtent l="0" t="0" r="0" b="0"/>
                <wp:wrapNone/>
                <wp:docPr id="2"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539" w:type="dxa"/>
        <w:jc w:val="center"/>
        <w:tblInd w:w="0" w:type="dxa"/>
        <w:tblCellMar>
          <w:top w:w="28" w:type="dxa"/>
          <w:left w:w="28" w:type="dxa"/>
          <w:bottom w:w="28" w:type="dxa"/>
          <w:right w:w="28" w:type="dxa"/>
        </w:tblCellMar>
      </w:tblPr>
      <w:tblGrid>
        <w:gridCol w:w="368"/>
        <w:gridCol w:w="324"/>
        <w:gridCol w:w="284"/>
        <w:gridCol w:w="3004"/>
        <w:gridCol w:w="3004"/>
        <w:gridCol w:w="3012"/>
        <w:gridCol w:w="158"/>
        <w:gridCol w:w="158"/>
        <w:gridCol w:w="227"/>
      </w:tblGrid>
      <w:tr>
        <w:trPr/>
        <w:tc>
          <w:tcPr>
            <w:tcW w:w="36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3004" w:type="dxa"/>
            <w:tcBorders/>
            <w:shd w:fill="auto" w:val="clear"/>
            <w:vAlign w:val="center"/>
          </w:tcPr>
          <w:p>
            <w:pPr>
              <w:pStyle w:val="TableContents"/>
              <w:spacing w:before="0" w:after="283"/>
              <w:rPr>
                <w:sz w:val="4"/>
                <w:szCs w:val="4"/>
              </w:rPr>
            </w:pPr>
            <w:r>
              <w:rPr>
                <w:sz w:val="4"/>
                <w:szCs w:val="4"/>
              </w:rPr>
            </w:r>
          </w:p>
        </w:tc>
        <w:tc>
          <w:tcPr>
            <w:tcW w:w="3004" w:type="dxa"/>
            <w:tcBorders/>
            <w:shd w:fill="auto" w:val="clear"/>
            <w:vAlign w:val="center"/>
          </w:tcPr>
          <w:p>
            <w:pPr>
              <w:pStyle w:val="TableContents"/>
              <w:spacing w:before="0" w:after="283"/>
              <w:rPr>
                <w:sz w:val="4"/>
                <w:szCs w:val="4"/>
              </w:rPr>
            </w:pPr>
            <w:r>
              <w:rPr>
                <w:sz w:val="4"/>
                <w:szCs w:val="4"/>
              </w:rPr>
            </w:r>
          </w:p>
        </w:tc>
        <w:tc>
          <w:tcPr>
            <w:tcW w:w="301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90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e667738ffc4ed99aa57307313c52c7_16">
              <w:r>
                <w:rPr>
                  <w:rStyle w:val="InternetLink"/>
                  <w:rFonts w:ascii="Times New Roman;sans-serif" w:hAnsi="Times New Roman;sans-serif"/>
                  <w:b w:val="false"/>
                  <w:strike w:val="false"/>
                  <w:dstrike w:val="false"/>
                  <w:color w:val="000000"/>
                  <w:sz w:val="20"/>
                  <w:u w:val="none"/>
                  <w:effect w:val="none"/>
                </w:rPr>
                <w:t>Item 1.</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e667738ffc4ed99aa57307313c52c7_22">
              <w:r>
                <w:rPr>
                  <w:rStyle w:val="InternetLink"/>
                  <w:rFonts w:ascii="Times New Roman;sans-serif" w:hAnsi="Times New Roman;sans-serif"/>
                  <w:b w:val="false"/>
                  <w:strike w:val="false"/>
                  <w:dstrike w:val="false"/>
                  <w:color w:val="000000"/>
                  <w:sz w:val="20"/>
                  <w:u w:val="none"/>
                  <w:effect w:val="none"/>
                </w:rPr>
                <w:t xml:space="preserve">Condensed Consolidated Balance Sheets as of </w:t>
              </w:r>
            </w:hyperlink>
            <w:r>
              <w:rPr>
                <w:rFonts w:ascii="Times New Roman;sans-serif" w:hAnsi="Times New Roman;sans-serif"/>
                <w:b w:val="false"/>
                <w:color w:val="000000"/>
                <w:sz w:val="20"/>
              </w:rPr>
              <w:t>March 31, 2023</w:t>
            </w:r>
            <w:hyperlink w:anchor="if4e667738ffc4ed99aa57307313c52c7_22">
              <w:r>
                <w:rPr>
                  <w:rStyle w:val="InternetLink"/>
                  <w:rFonts w:ascii="Times New Roman;sans-serif" w:hAnsi="Times New Roman;sans-serif"/>
                  <w:b w:val="false"/>
                  <w:strike w:val="false"/>
                  <w:dstrike w:val="false"/>
                  <w:color w:val="000000"/>
                  <w:sz w:val="20"/>
                  <w:u w:val="none"/>
                  <w:effect w:val="none"/>
                </w:rPr>
                <w:t xml:space="preserve"> (unaudited) and </w:t>
              </w:r>
            </w:hyperlink>
            <w:r>
              <w:rPr>
                <w:rFonts w:ascii="Times New Roman;sans-serif" w:hAnsi="Times New Roman;sans-serif"/>
                <w:b w:val="false"/>
                <w:color w:val="000000"/>
                <w:sz w:val="20"/>
              </w:rPr>
              <w:t>December 31, 2022</w:t>
            </w:r>
          </w:p>
        </w:tc>
        <w:tc>
          <w:tcPr>
            <w:tcW w:w="54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22">
              <w:r>
                <w:rPr>
                  <w:rStyle w:val="InternetLink"/>
                  <w:rFonts w:ascii="Times New Roman;sans-serif" w:hAnsi="Times New Roman;sans-serif"/>
                  <w:b w:val="false"/>
                  <w:strike w:val="false"/>
                  <w:dstrike w:val="false"/>
                  <w:color w:val="0000FF"/>
                  <w:sz w:val="20"/>
                  <w:u w:val="none"/>
                  <w:effect w:val="none"/>
                </w:rPr>
                <w:t>1</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e667738ffc4ed99aa57307313c52c7_25">
              <w:r>
                <w:rPr>
                  <w:rStyle w:val="InternetLink"/>
                  <w:rFonts w:ascii="Times New Roman;sans-serif" w:hAnsi="Times New Roman;sans-serif"/>
                  <w:b w:val="false"/>
                  <w:strike w:val="false"/>
                  <w:dstrike w:val="false"/>
                  <w:color w:val="000000"/>
                  <w:sz w:val="20"/>
                  <w:u w:val="none"/>
                  <w:effect w:val="none"/>
                </w:rPr>
                <w:t xml:space="preserve">Condensed Consolidated Statements of Operations and Comprehensive Loss (unaudited) for the </w:t>
              </w:r>
            </w:hyperlink>
            <w:r>
              <w:rPr>
                <w:rFonts w:ascii="Times New Roman;sans-serif" w:hAnsi="Times New Roman;sans-serif"/>
                <w:b w:val="false"/>
                <w:color w:val="000000"/>
                <w:sz w:val="20"/>
              </w:rPr>
              <w:t>three months ended March 31, 2023</w:t>
            </w:r>
            <w:hyperlink w:anchor="if4e667738ffc4ed99aa57307313c52c7_25">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54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25">
              <w:r>
                <w:rPr>
                  <w:rStyle w:val="InternetLink"/>
                  <w:rFonts w:ascii="Times New Roman;sans-serif" w:hAnsi="Times New Roman;sans-serif"/>
                  <w:b w:val="false"/>
                  <w:strike w:val="false"/>
                  <w:dstrike w:val="false"/>
                  <w:color w:val="0000FF"/>
                  <w:sz w:val="20"/>
                  <w:u w:val="none"/>
                  <w:effect w:val="none"/>
                </w:rPr>
                <w:t>2</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Convertible Preferred Stock and Stockholders’ Equity (unaudited) for the three months ended March 31, 2023 and 2022</w:t>
            </w:r>
          </w:p>
        </w:tc>
        <w:tc>
          <w:tcPr>
            <w:tcW w:w="54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28">
              <w:r>
                <w:rPr>
                  <w:rStyle w:val="InternetLink"/>
                  <w:rFonts w:ascii="Times New Roman;sans-serif" w:hAnsi="Times New Roman;sans-serif"/>
                  <w:b w:val="false"/>
                  <w:strike w:val="false"/>
                  <w:dstrike w:val="false"/>
                  <w:color w:val="0000FF"/>
                  <w:sz w:val="20"/>
                  <w:u w:val="none"/>
                  <w:effect w:val="none"/>
                </w:rPr>
                <w:t>3</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e667738ffc4ed99aa57307313c52c7_31">
              <w:r>
                <w:rPr>
                  <w:rStyle w:val="InternetLink"/>
                  <w:rFonts w:ascii="Times New Roman;sans-serif" w:hAnsi="Times New Roman;sans-serif"/>
                  <w:b w:val="false"/>
                  <w:strike w:val="false"/>
                  <w:dstrike w:val="false"/>
                  <w:color w:val="000000"/>
                  <w:sz w:val="20"/>
                  <w:u w:val="none"/>
                  <w:effect w:val="none"/>
                </w:rPr>
                <w:t xml:space="preserve">Condensed Consolidated Statements of Cash Flows (unaudited) for the </w:t>
              </w:r>
            </w:hyperlink>
            <w:r>
              <w:rPr>
                <w:rFonts w:ascii="Times New Roman;sans-serif" w:hAnsi="Times New Roman;sans-serif"/>
                <w:b w:val="false"/>
                <w:color w:val="000000"/>
                <w:sz w:val="20"/>
              </w:rPr>
              <w:t>three months ended March 31, 2023</w:t>
            </w:r>
            <w:hyperlink w:anchor="if4e667738ffc4ed99aa57307313c52c7_31">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hyperlink w:anchor="if4e667738ffc4ed99aa57307313c52c7_31">
              <w:r>
                <w:rPr>
                  <w:rStyle w:val="InternetLink"/>
                  <w:rFonts w:ascii="Times New Roman;sans-serif" w:hAnsi="Times New Roman;sans-serif"/>
                  <w:b w:val="false"/>
                  <w:strike w:val="false"/>
                  <w:dstrike w:val="false"/>
                  <w:color w:val="000000"/>
                  <w:sz w:val="20"/>
                  <w:u w:val="none"/>
                  <w:effect w:val="none"/>
                </w:rPr>
                <w:t xml:space="preserve"> </w:t>
              </w:r>
            </w:hyperlink>
          </w:p>
        </w:tc>
        <w:tc>
          <w:tcPr>
            <w:tcW w:w="54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31">
              <w:r>
                <w:rPr>
                  <w:rStyle w:val="InternetLink"/>
                  <w:rFonts w:ascii="Times New Roman;sans-serif" w:hAnsi="Times New Roman;sans-serif"/>
                  <w:b w:val="false"/>
                  <w:strike w:val="false"/>
                  <w:dstrike w:val="false"/>
                  <w:color w:val="0000FF"/>
                  <w:sz w:val="20"/>
                  <w:u w:val="none"/>
                  <w:effect w:val="none"/>
                </w:rPr>
                <w:t>4</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e667738ffc4ed99aa57307313c52c7_34">
              <w:r>
                <w:rPr>
                  <w:rStyle w:val="InternetLink"/>
                  <w:rFonts w:ascii="Times New Roman;sans-serif" w:hAnsi="Times New Roman;sans-serif"/>
                  <w:b w:val="false"/>
                  <w:strike w:val="false"/>
                  <w:dstrike w:val="false"/>
                  <w:color w:val="000000"/>
                  <w:sz w:val="20"/>
                  <w:u w:val="none"/>
                  <w:effect w:val="none"/>
                </w:rPr>
                <w:t>Notes to Condensed Consolidated Financial Statements (unaudited)</w:t>
              </w:r>
            </w:hyperlink>
          </w:p>
        </w:tc>
        <w:tc>
          <w:tcPr>
            <w:tcW w:w="54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34">
              <w:r>
                <w:rPr>
                  <w:rStyle w:val="InternetLink"/>
                  <w:rFonts w:ascii="Times New Roman;sans-serif" w:hAnsi="Times New Roman;sans-serif"/>
                  <w:b w:val="false"/>
                  <w:strike w:val="false"/>
                  <w:dstrike w:val="false"/>
                  <w:color w:val="0000FF"/>
                  <w:sz w:val="20"/>
                  <w:u w:val="none"/>
                  <w:effect w:val="none"/>
                </w:rPr>
                <w:t>5</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e667738ffc4ed99aa57307313c52c7_91">
              <w:r>
                <w:rPr>
                  <w:rStyle w:val="InternetLink"/>
                  <w:rFonts w:ascii="Times New Roman;sans-serif" w:hAnsi="Times New Roman;sans-serif"/>
                  <w:b w:val="false"/>
                  <w:strike w:val="false"/>
                  <w:dstrike w:val="false"/>
                  <w:color w:val="000000"/>
                  <w:sz w:val="20"/>
                  <w:u w:val="none"/>
                  <w:effect w:val="none"/>
                </w:rPr>
                <w:t>Item 2.</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e667738ffc4ed99aa57307313c52c7_91">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4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91">
              <w:r>
                <w:rPr>
                  <w:rStyle w:val="InternetLink"/>
                  <w:rFonts w:ascii="Times New Roman;sans-serif" w:hAnsi="Times New Roman;sans-serif"/>
                  <w:b w:val="false"/>
                  <w:strike w:val="false"/>
                  <w:dstrike w:val="false"/>
                  <w:color w:val="0000FF"/>
                  <w:sz w:val="20"/>
                  <w:u w:val="none"/>
                  <w:effect w:val="none"/>
                </w:rPr>
                <w:t>17</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e667738ffc4ed99aa57307313c52c7_94">
              <w:r>
                <w:rPr>
                  <w:rStyle w:val="InternetLink"/>
                  <w:rFonts w:ascii="Times New Roman;sans-serif" w:hAnsi="Times New Roman;sans-serif"/>
                  <w:b w:val="false"/>
                  <w:strike w:val="false"/>
                  <w:dstrike w:val="false"/>
                  <w:color w:val="000000"/>
                  <w:sz w:val="20"/>
                  <w:u w:val="none"/>
                  <w:effect w:val="none"/>
                </w:rPr>
                <w:t>Item 3.</w:t>
              </w:r>
            </w:hyperlink>
          </w:p>
        </w:tc>
        <w:tc>
          <w:tcPr>
            <w:tcW w:w="902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e667738ffc4ed99aa57307313c52c7_94">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54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94">
              <w:r>
                <w:rPr>
                  <w:rStyle w:val="InternetLink"/>
                  <w:rFonts w:ascii="Times New Roman;sans-serif" w:hAnsi="Times New Roman;sans-serif"/>
                  <w:b w:val="false"/>
                  <w:strike w:val="false"/>
                  <w:dstrike w:val="false"/>
                  <w:color w:val="0000FF"/>
                  <w:sz w:val="20"/>
                  <w:u w:val="none"/>
                  <w:effect w:val="none"/>
                </w:rPr>
                <w:t>32</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e667738ffc4ed99aa57307313c52c7_97">
              <w:r>
                <w:rPr>
                  <w:rStyle w:val="InternetLink"/>
                  <w:rFonts w:ascii="Times New Roman;sans-serif" w:hAnsi="Times New Roman;sans-serif"/>
                  <w:b w:val="false"/>
                  <w:strike w:val="false"/>
                  <w:dstrike w:val="false"/>
                  <w:color w:val="000000"/>
                  <w:sz w:val="20"/>
                  <w:u w:val="none"/>
                  <w:effect w:val="none"/>
                </w:rPr>
                <w:t>Item 4.</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e667738ffc4ed99aa57307313c52c7_97">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4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97">
              <w:r>
                <w:rPr>
                  <w:rStyle w:val="InternetLink"/>
                  <w:rFonts w:ascii="Times New Roman;sans-serif" w:hAnsi="Times New Roman;sans-serif"/>
                  <w:b w:val="false"/>
                  <w:strike w:val="false"/>
                  <w:dstrike w:val="false"/>
                  <w:color w:val="0000FF"/>
                  <w:sz w:val="20"/>
                  <w:u w:val="none"/>
                  <w:effect w:val="none"/>
                </w:rPr>
                <w:t>32</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e667738ffc4ed99aa57307313c52c7_100">
              <w:r>
                <w:rPr>
                  <w:rStyle w:val="InternetLink"/>
                  <w:rFonts w:ascii="Times New Roman;sans-serif" w:hAnsi="Times New Roman;sans-serif"/>
                  <w:b/>
                  <w:strike w:val="false"/>
                  <w:dstrike w:val="false"/>
                  <w:color w:val="000000"/>
                  <w:sz w:val="20"/>
                  <w:u w:val="none"/>
                  <w:effect w:val="none"/>
                </w:rPr>
                <w:t>PART II</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e667738ffc4ed99aa57307313c52c7_100">
              <w:r>
                <w:rPr>
                  <w:rStyle w:val="InternetLink"/>
                  <w:rFonts w:ascii="Times New Roman;sans-serif" w:hAnsi="Times New Roman;sans-serif"/>
                  <w:b/>
                  <w:strike w:val="false"/>
                  <w:dstrike w:val="false"/>
                  <w:color w:val="000000"/>
                  <w:sz w:val="20"/>
                  <w:u w:val="none"/>
                  <w:effect w:val="none"/>
                </w:rPr>
                <w:t>OTHER INFORMATION</w:t>
              </w:r>
            </w:hyperlink>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e667738ffc4ed99aa57307313c52c7_103">
              <w:r>
                <w:rPr>
                  <w:rStyle w:val="InternetLink"/>
                  <w:rFonts w:ascii="Times New Roman;sans-serif" w:hAnsi="Times New Roman;sans-serif"/>
                  <w:b w:val="false"/>
                  <w:strike w:val="false"/>
                  <w:dstrike w:val="false"/>
                  <w:color w:val="000000"/>
                  <w:sz w:val="20"/>
                  <w:u w:val="none"/>
                  <w:effect w:val="none"/>
                </w:rPr>
                <w:t>Item 1.</w:t>
              </w:r>
            </w:hyperlink>
          </w:p>
        </w:tc>
        <w:tc>
          <w:tcPr>
            <w:tcW w:w="902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e667738ffc4ed99aa57307313c52c7_103">
              <w:r>
                <w:rPr>
                  <w:rStyle w:val="InternetLink"/>
                  <w:rFonts w:ascii="Times New Roman;sans-serif" w:hAnsi="Times New Roman;sans-serif"/>
                  <w:b w:val="false"/>
                  <w:strike w:val="false"/>
                  <w:dstrike w:val="false"/>
                  <w:color w:val="000000"/>
                  <w:sz w:val="20"/>
                  <w:u w:val="none"/>
                  <w:effect w:val="none"/>
                </w:rPr>
                <w:t>Legal Proceedings</w:t>
              </w:r>
            </w:hyperlink>
          </w:p>
        </w:tc>
        <w:tc>
          <w:tcPr>
            <w:tcW w:w="54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103">
              <w:r>
                <w:rPr>
                  <w:rStyle w:val="InternetLink"/>
                  <w:rFonts w:ascii="Times New Roman;sans-serif" w:hAnsi="Times New Roman;sans-serif"/>
                  <w:b w:val="false"/>
                  <w:strike w:val="false"/>
                  <w:dstrike w:val="false"/>
                  <w:color w:val="0000FF"/>
                  <w:sz w:val="20"/>
                  <w:u w:val="none"/>
                  <w:effect w:val="none"/>
                </w:rPr>
                <w:t>34</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e667738ffc4ed99aa57307313c52c7_106">
              <w:r>
                <w:rPr>
                  <w:rStyle w:val="InternetLink"/>
                  <w:rFonts w:ascii="Times New Roman;sans-serif" w:hAnsi="Times New Roman;sans-serif"/>
                  <w:b w:val="false"/>
                  <w:strike w:val="false"/>
                  <w:dstrike w:val="false"/>
                  <w:color w:val="000000"/>
                  <w:sz w:val="20"/>
                  <w:u w:val="none"/>
                  <w:effect w:val="none"/>
                </w:rPr>
                <w:t>Item 1A.</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e667738ffc4ed99aa57307313c52c7_106">
              <w:r>
                <w:rPr>
                  <w:rStyle w:val="InternetLink"/>
                  <w:rFonts w:ascii="Times New Roman;sans-serif" w:hAnsi="Times New Roman;sans-serif"/>
                  <w:b w:val="false"/>
                  <w:strike w:val="false"/>
                  <w:dstrike w:val="false"/>
                  <w:color w:val="000000"/>
                  <w:sz w:val="20"/>
                  <w:u w:val="none"/>
                  <w:effect w:val="none"/>
                </w:rPr>
                <w:t>Risk Factors</w:t>
              </w:r>
            </w:hyperlink>
          </w:p>
        </w:tc>
        <w:tc>
          <w:tcPr>
            <w:tcW w:w="54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106">
              <w:r>
                <w:rPr>
                  <w:rStyle w:val="InternetLink"/>
                  <w:rFonts w:ascii="Times New Roman;sans-serif" w:hAnsi="Times New Roman;sans-serif"/>
                  <w:b w:val="false"/>
                  <w:strike w:val="false"/>
                  <w:dstrike w:val="false"/>
                  <w:color w:val="0000FF"/>
                  <w:sz w:val="20"/>
                  <w:u w:val="none"/>
                  <w:effect w:val="none"/>
                </w:rPr>
                <w:t>34</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e667738ffc4ed99aa57307313c52c7_109">
              <w:r>
                <w:rPr>
                  <w:rStyle w:val="InternetLink"/>
                  <w:rFonts w:ascii="Times New Roman;sans-serif" w:hAnsi="Times New Roman;sans-serif"/>
                  <w:b w:val="false"/>
                  <w:strike w:val="false"/>
                  <w:dstrike w:val="false"/>
                  <w:color w:val="000000"/>
                  <w:sz w:val="20"/>
                  <w:u w:val="none"/>
                  <w:effect w:val="none"/>
                </w:rPr>
                <w:t>Item 2.</w:t>
              </w:r>
            </w:hyperlink>
          </w:p>
        </w:tc>
        <w:tc>
          <w:tcPr>
            <w:tcW w:w="902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e667738ffc4ed99aa57307313c52c7_109">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54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109">
              <w:r>
                <w:rPr>
                  <w:rStyle w:val="InternetLink"/>
                  <w:rFonts w:ascii="Times New Roman;sans-serif" w:hAnsi="Times New Roman;sans-serif"/>
                  <w:b w:val="false"/>
                  <w:strike w:val="false"/>
                  <w:dstrike w:val="false"/>
                  <w:color w:val="0000FF"/>
                  <w:sz w:val="20"/>
                  <w:u w:val="none"/>
                  <w:effect w:val="none"/>
                </w:rPr>
                <w:t>34</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e667738ffc4ed99aa57307313c52c7_112">
              <w:r>
                <w:rPr>
                  <w:rStyle w:val="InternetLink"/>
                  <w:rFonts w:ascii="Times New Roman;sans-serif" w:hAnsi="Times New Roman;sans-serif"/>
                  <w:b w:val="false"/>
                  <w:strike w:val="false"/>
                  <w:dstrike w:val="false"/>
                  <w:color w:val="000000"/>
                  <w:sz w:val="20"/>
                  <w:u w:val="none"/>
                  <w:effect w:val="none"/>
                </w:rPr>
                <w:t>Item 3.</w:t>
              </w:r>
            </w:hyperlink>
          </w:p>
        </w:tc>
        <w:tc>
          <w:tcPr>
            <w:tcW w:w="902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e667738ffc4ed99aa57307313c52c7_112">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4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112">
              <w:r>
                <w:rPr>
                  <w:rStyle w:val="InternetLink"/>
                  <w:rFonts w:ascii="Times New Roman;sans-serif" w:hAnsi="Times New Roman;sans-serif"/>
                  <w:b w:val="false"/>
                  <w:strike w:val="false"/>
                  <w:dstrike w:val="false"/>
                  <w:color w:val="0000FF"/>
                  <w:sz w:val="20"/>
                  <w:u w:val="none"/>
                  <w:effect w:val="none"/>
                </w:rPr>
                <w:t>35</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e667738ffc4ed99aa57307313c52c7_115">
              <w:r>
                <w:rPr>
                  <w:rStyle w:val="InternetLink"/>
                  <w:rFonts w:ascii="Times New Roman;sans-serif" w:hAnsi="Times New Roman;sans-serif"/>
                  <w:b w:val="false"/>
                  <w:strike w:val="false"/>
                  <w:dstrike w:val="false"/>
                  <w:color w:val="000000"/>
                  <w:sz w:val="20"/>
                  <w:u w:val="none"/>
                  <w:effect w:val="none"/>
                </w:rPr>
                <w:t>Item 4.</w:t>
              </w:r>
            </w:hyperlink>
          </w:p>
        </w:tc>
        <w:tc>
          <w:tcPr>
            <w:tcW w:w="902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e667738ffc4ed99aa57307313c52c7_115">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4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115">
              <w:r>
                <w:rPr>
                  <w:rStyle w:val="InternetLink"/>
                  <w:rFonts w:ascii="Times New Roman;sans-serif" w:hAnsi="Times New Roman;sans-serif"/>
                  <w:b w:val="false"/>
                  <w:strike w:val="false"/>
                  <w:dstrike w:val="false"/>
                  <w:color w:val="0000FF"/>
                  <w:sz w:val="20"/>
                  <w:u w:val="none"/>
                  <w:effect w:val="none"/>
                </w:rPr>
                <w:t>35</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e667738ffc4ed99aa57307313c52c7_118">
              <w:r>
                <w:rPr>
                  <w:rStyle w:val="InternetLink"/>
                  <w:rFonts w:ascii="Times New Roman;sans-serif" w:hAnsi="Times New Roman;sans-serif"/>
                  <w:b w:val="false"/>
                  <w:strike w:val="false"/>
                  <w:dstrike w:val="false"/>
                  <w:color w:val="000000"/>
                  <w:sz w:val="20"/>
                  <w:u w:val="none"/>
                  <w:effect w:val="none"/>
                </w:rPr>
                <w:t>Item 5</w:t>
              </w:r>
            </w:hyperlink>
            <w:r>
              <w:rPr>
                <w:rFonts w:ascii="Times New Roman;sans-serif" w:hAnsi="Times New Roman;sans-serif"/>
                <w:b w:val="false"/>
                <w:color w:val="000000"/>
                <w:sz w:val="20"/>
              </w:rPr>
              <w:t>.</w:t>
            </w:r>
          </w:p>
        </w:tc>
        <w:tc>
          <w:tcPr>
            <w:tcW w:w="902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e667738ffc4ed99aa57307313c52c7_118">
              <w:r>
                <w:rPr>
                  <w:rStyle w:val="InternetLink"/>
                  <w:rFonts w:ascii="Times New Roman;sans-serif" w:hAnsi="Times New Roman;sans-serif"/>
                  <w:b w:val="false"/>
                  <w:strike w:val="false"/>
                  <w:dstrike w:val="false"/>
                  <w:color w:val="000000"/>
                  <w:sz w:val="20"/>
                  <w:u w:val="none"/>
                  <w:effect w:val="none"/>
                </w:rPr>
                <w:t>Other Information</w:t>
              </w:r>
            </w:hyperlink>
          </w:p>
        </w:tc>
        <w:tc>
          <w:tcPr>
            <w:tcW w:w="54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118">
              <w:r>
                <w:rPr>
                  <w:rStyle w:val="InternetLink"/>
                  <w:rFonts w:ascii="Times New Roman;sans-serif" w:hAnsi="Times New Roman;sans-serif"/>
                  <w:b w:val="false"/>
                  <w:strike w:val="false"/>
                  <w:dstrike w:val="false"/>
                  <w:color w:val="0000FF"/>
                  <w:sz w:val="20"/>
                  <w:u w:val="none"/>
                  <w:effect w:val="none"/>
                </w:rPr>
                <w:t>35</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f4e667738ffc4ed99aa57307313c52c7_121">
              <w:r>
                <w:rPr>
                  <w:rStyle w:val="InternetLink"/>
                  <w:rFonts w:ascii="Times New Roman;sans-serif" w:hAnsi="Times New Roman;sans-serif"/>
                  <w:b w:val="false"/>
                  <w:strike w:val="false"/>
                  <w:dstrike w:val="false"/>
                  <w:color w:val="000000"/>
                  <w:sz w:val="20"/>
                  <w:u w:val="none"/>
                  <w:effect w:val="none"/>
                </w:rPr>
                <w:t>Item 6.</w:t>
              </w:r>
            </w:hyperlink>
          </w:p>
        </w:tc>
        <w:tc>
          <w:tcPr>
            <w:tcW w:w="902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if4e667738ffc4ed99aa57307313c52c7_121">
              <w:r>
                <w:rPr>
                  <w:rStyle w:val="InternetLink"/>
                  <w:rFonts w:ascii="Times New Roman;sans-serif" w:hAnsi="Times New Roman;sans-serif"/>
                  <w:b w:val="false"/>
                  <w:strike w:val="false"/>
                  <w:dstrike w:val="false"/>
                  <w:color w:val="000000"/>
                  <w:sz w:val="20"/>
                  <w:u w:val="none"/>
                  <w:effect w:val="none"/>
                </w:rPr>
                <w:t>Exhibits</w:t>
              </w:r>
            </w:hyperlink>
          </w:p>
        </w:tc>
        <w:tc>
          <w:tcPr>
            <w:tcW w:w="543"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121">
              <w:r>
                <w:rPr>
                  <w:rStyle w:val="InternetLink"/>
                  <w:rFonts w:ascii="Times New Roman;sans-serif" w:hAnsi="Times New Roman;sans-serif"/>
                  <w:b w:val="false"/>
                  <w:strike w:val="false"/>
                  <w:dstrike w:val="false"/>
                  <w:color w:val="0000FF"/>
                  <w:sz w:val="20"/>
                  <w:u w:val="none"/>
                  <w:effect w:val="none"/>
                </w:rPr>
                <w:t>35</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f4e667738ffc4ed99aa57307313c52c7_124">
              <w:r>
                <w:rPr>
                  <w:rStyle w:val="InternetLink"/>
                  <w:rFonts w:ascii="Times New Roman;sans-serif" w:hAnsi="Times New Roman;sans-serif"/>
                  <w:b w:val="false"/>
                  <w:strike w:val="false"/>
                  <w:dstrike w:val="false"/>
                  <w:color w:val="000000"/>
                  <w:sz w:val="20"/>
                  <w:u w:val="none"/>
                  <w:effect w:val="none"/>
                </w:rPr>
                <w:t>Signatures</w:t>
              </w:r>
            </w:hyperlink>
          </w:p>
        </w:tc>
        <w:tc>
          <w:tcPr>
            <w:tcW w:w="9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f4e667738ffc4ed99aa57307313c52c7_124">
              <w:r>
                <w:rPr>
                  <w:rStyle w:val="InternetLink"/>
                  <w:rFonts w:ascii="Times New Roman;sans-serif" w:hAnsi="Times New Roman;sans-serif"/>
                  <w:b w:val="false"/>
                  <w:strike w:val="false"/>
                  <w:dstrike w:val="false"/>
                  <w:color w:val="0000FF"/>
                  <w:sz w:val="20"/>
                  <w:u w:val="none"/>
                  <w:effect w:val="none"/>
                </w:rPr>
                <w:t>37</w:t>
              </w:r>
            </w:hyperlink>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75260"/>
                <wp:effectExtent l="0" t="0" r="0" b="0"/>
                <wp:wrapNone/>
                <wp:docPr id="3" name="Frame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macroeconomic and market conditions, equity compensation, business strategy, plans, market growth, future acquisitions and other capital expenditures, progress towards remediation of our material weakness and our objectives for future operations.</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our limited operating history and evolving business; our recent growth rates may not be sustainable or indicative of future growth; we may not achieve profitability in the future; we may continue to experience significant quarterly and annual fluctuations in our operating results due to a number of factors, which makes our future operating results difficult to predict; we may reduce our rate of acquisitions and may be unsuccessful in achieving continued growth through acquisitions; revenues and profits generated through acquisitions may be less than anticipated, and we may fail to uncover all liabilities of acquisition targets; we may need to incur additional indebtedness or seek capital through new equity or debt financings, which may not be available to us on acceptable terms or at all; we may not be able to continue to expand our share of our existing vertical markets or expand into new vertical markets; we face intense competition in each of the industries in which we operate; the industries in which we operate are rapidly evolving and the market for technology-enabled services that empower SMBs is relatively immature and unproven; we are subject to economic and political risk; we are dependent on payment card networks and payment processors and if we fail to comply with the applicable requirements of our payment network or payment processors, they can seek to fine us, suspend us or terminate our registrations through our bank sponsors; the inability to keep pace with rapid developments and changes in the electronic payments market or are unable to introduce, develop and market new and enhanced versions of our software solutions; real or perceived errors, failures or bugs in our solutions; unauthorized disclosure, destruction or modification of data, disruption of our software or services or cyber breaches; our estimated total addressable market is subject to inherent challenges and uncertainties; actual or perceived inaccuracies in our operational metrics may harm our reputation; failure to effectively develop and expand our sales and marketing capabilities; failure to maintain and enhance our reputation and brand recognition; inability to retain current customers or to sell additional functionality and services to them may adversely affect our revenue growth; our systems and our third-party providers’ systems may fail or our third-party providers may discontinue providing their services or technology or to us specifically; faster growth of lower margin solutions and services than higher margin solutions and services; the impact of the COVID-19 pandemic and the risk of future pandemics, epidemics or outbreaks of an infectious disease in the United States; economic and political risks, including the business cycles of our clients and changes in the overall level of consumer and commercial spending; our ability to retain and hire skilled personnel; risks related to our indebtedness; risks related to the increasing focus on environmental sustainability and social initiatives; our ability to adequately protect or enforce our intellectual property and other proprietary rights; risk of patent, trademark and other intellectual property infringement claims; risks related to governmental regulation; risks related to our sponsor stockholders agreement and qualifying as a “controlled company” under the rules of The Nasdaq Stock Market; as well as the other factors described in our Annual Report on Form 10-K for the year ended December 31, 2022 (“Annual Report on Form 10-K”), as updated by our other filings with the Securities and Exchange Commission (the “SEC”). The forward-looking statements in this Quarterly Report on Form 10-Q are based upon information available to us as of the date of this Quarterly </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75260"/>
                <wp:effectExtent l="0" t="0" r="0" b="0"/>
                <wp:wrapNone/>
                <wp:docPr id="4" name="Frame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75260"/>
                <wp:effectExtent l="0" t="0" r="0" b="0"/>
                <wp:wrapNone/>
                <wp:docPr id="5" name="Frame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EverCommerce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and share amounts)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539" w:type="dxa"/>
        <w:jc w:val="left"/>
        <w:tblInd w:w="0" w:type="dxa"/>
        <w:tblCellMar>
          <w:top w:w="28" w:type="dxa"/>
          <w:left w:w="28" w:type="dxa"/>
          <w:bottom w:w="28" w:type="dxa"/>
          <w:right w:w="28" w:type="dxa"/>
        </w:tblCellMar>
      </w:tblPr>
      <w:tblGrid>
        <w:gridCol w:w="2880"/>
        <w:gridCol w:w="2368"/>
        <w:gridCol w:w="2326"/>
        <w:gridCol w:w="211"/>
        <w:gridCol w:w="976"/>
        <w:gridCol w:w="109"/>
        <w:gridCol w:w="109"/>
        <w:gridCol w:w="109"/>
        <w:gridCol w:w="109"/>
        <w:gridCol w:w="211"/>
        <w:gridCol w:w="976"/>
        <w:gridCol w:w="155"/>
      </w:tblGrid>
      <w:tr>
        <w:trPr/>
        <w:tc>
          <w:tcPr>
            <w:tcW w:w="2880"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23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92,625 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expected credit losses of $5.7 million and $4.7 million at March 31, 2023 and December 31, 2022,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48,032 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11,930 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32,554 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46,855 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405,720 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914,082 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1,591,728 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8,373 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56,963 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22,885 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maturities and deferred financing costs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530,946 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15)</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$0.00001 par value, 50,000,000 shares authorized and no shares issued or outstanding as of March 31, 2023 and December 31, 2022</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$0.00001 par value, 2,000,000,000 shares authorized and 188,773,974 and 191,447,237 shares issued and outstanding at March 31, 2023 and December 31, 2022,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1,468,415 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1,489,935 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(573,046)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906,693 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1,591,728 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829945"/>
                <wp:effectExtent l="0" t="0" r="0" b="0"/>
                <wp:wrapNone/>
                <wp:docPr id="6" name="Frame6"/>
                <a:graphic xmlns:a="http://schemas.openxmlformats.org/drawingml/2006/main">
                  <a:graphicData uri="http://schemas.microsoft.com/office/word/2010/wordprocessingShape">
                    <wps:wsp>
                      <wps:cNvSpPr txBox="1"/>
                      <wps:spPr>
                        <a:xfrm>
                          <a:off x="0" y="0"/>
                          <a:ext cx="6692265" cy="82994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jc w:val="both"/>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jc w:val="both"/>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EverCommerce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and share amounts)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539" w:type="dxa"/>
        <w:jc w:val="left"/>
        <w:tblInd w:w="0" w:type="dxa"/>
        <w:tblCellMar>
          <w:top w:w="28" w:type="dxa"/>
          <w:left w:w="28" w:type="dxa"/>
          <w:bottom w:w="28" w:type="dxa"/>
          <w:right w:w="28" w:type="dxa"/>
        </w:tblCellMar>
      </w:tblPr>
      <w:tblGrid>
        <w:gridCol w:w="2576"/>
        <w:gridCol w:w="2161"/>
        <w:gridCol w:w="2185"/>
        <w:gridCol w:w="109"/>
        <w:gridCol w:w="109"/>
        <w:gridCol w:w="134"/>
        <w:gridCol w:w="134"/>
        <w:gridCol w:w="280"/>
        <w:gridCol w:w="1044"/>
        <w:gridCol w:w="134"/>
        <w:gridCol w:w="109"/>
        <w:gridCol w:w="109"/>
        <w:gridCol w:w="109"/>
        <w:gridCol w:w="241"/>
        <w:gridCol w:w="945"/>
        <w:gridCol w:w="160"/>
      </w:tblGrid>
      <w:tr>
        <w:trPr/>
        <w:tc>
          <w:tcPr>
            <w:tcW w:w="2576" w:type="dxa"/>
            <w:tcBorders/>
            <w:shd w:fill="auto" w:val="clear"/>
            <w:vAlign w:val="center"/>
          </w:tcPr>
          <w:p>
            <w:pPr>
              <w:pStyle w:val="TableContents"/>
              <w:spacing w:before="0" w:after="283"/>
              <w:rPr>
                <w:sz w:val="4"/>
                <w:szCs w:val="4"/>
              </w:rPr>
            </w:pPr>
            <w:r>
              <w:rPr>
                <w:sz w:val="4"/>
                <w:szCs w:val="4"/>
              </w:rPr>
            </w:r>
          </w:p>
        </w:tc>
        <w:tc>
          <w:tcPr>
            <w:tcW w:w="2161" w:type="dxa"/>
            <w:tcBorders/>
            <w:shd w:fill="auto" w:val="clear"/>
            <w:vAlign w:val="center"/>
          </w:tcPr>
          <w:p>
            <w:pPr>
              <w:pStyle w:val="TableContents"/>
              <w:spacing w:before="0" w:after="283"/>
              <w:rPr>
                <w:sz w:val="4"/>
                <w:szCs w:val="4"/>
              </w:rPr>
            </w:pPr>
            <w:r>
              <w:rPr>
                <w:sz w:val="4"/>
                <w:szCs w:val="4"/>
              </w:rPr>
            </w:r>
          </w:p>
        </w:tc>
        <w:tc>
          <w:tcPr>
            <w:tcW w:w="2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6"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673" w:type="dxa"/>
            <w:gridSpan w:val="6"/>
            <w:tcBorders/>
            <w:shd w:fill="auto" w:val="clear"/>
          </w:tcPr>
          <w:p>
            <w:pPr>
              <w:pStyle w:val="TableContents"/>
              <w:spacing w:before="0" w:after="283"/>
              <w:rPr>
                <w:sz w:val="4"/>
                <w:szCs w:val="4"/>
              </w:rPr>
            </w:pPr>
            <w:r>
              <w:rPr>
                <w:sz w:val="4"/>
                <w:szCs w:val="4"/>
              </w:rPr>
            </w:r>
          </w:p>
        </w:tc>
      </w:tr>
      <w:tr>
        <w:trPr/>
        <w:tc>
          <w:tcPr>
            <w:tcW w:w="6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123,820 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technology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31,788 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161,136 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143,576 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 presented separately below)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55,946 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18,703 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166,424 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157,144 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(15,188)</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before 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(20,775)</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r>
      <w:tr>
        <w:trPr/>
        <w:tc>
          <w:tcPr>
            <w:tcW w:w="69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r>
      <w:tr>
        <w:trPr/>
        <w:tc>
          <w:tcPr>
            <w:tcW w:w="69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r>
      <w:tr>
        <w:trPr/>
        <w:tc>
          <w:tcPr>
            <w:tcW w:w="69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r>
      <w:tr>
        <w:trPr/>
        <w:tc>
          <w:tcPr>
            <w:tcW w:w="69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weighted-average shares of common stock outstanding used in computing net loss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24"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190,042,673 </w:t>
            </w:r>
          </w:p>
        </w:tc>
        <w:tc>
          <w:tcPr>
            <w:tcW w:w="13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195,432,404 </w:t>
            </w:r>
          </w:p>
        </w:tc>
        <w:tc>
          <w:tcPr>
            <w:tcW w:w="160"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829945"/>
                <wp:effectExtent l="0" t="0" r="0" b="0"/>
                <wp:wrapNone/>
                <wp:docPr id="7" name="Frame7"/>
                <a:graphic xmlns:a="http://schemas.openxmlformats.org/drawingml/2006/main">
                  <a:graphicData uri="http://schemas.microsoft.com/office/word/2010/wordprocessingShape">
                    <wps:wsp>
                      <wps:cNvSpPr txBox="1"/>
                      <wps:spPr>
                        <a:xfrm>
                          <a:off x="0" y="0"/>
                          <a:ext cx="6692265" cy="82994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jc w:val="both"/>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jc w:val="both"/>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EverCommerce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Convertible Preferred Stock and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539" w:type="dxa"/>
        <w:jc w:val="left"/>
        <w:tblInd w:w="0" w:type="dxa"/>
        <w:tblCellMar>
          <w:top w:w="28" w:type="dxa"/>
          <w:left w:w="28" w:type="dxa"/>
          <w:bottom w:w="28" w:type="dxa"/>
          <w:right w:w="28" w:type="dxa"/>
        </w:tblCellMar>
      </w:tblPr>
      <w:tblGrid>
        <w:gridCol w:w="806"/>
        <w:gridCol w:w="708"/>
        <w:gridCol w:w="709"/>
        <w:gridCol w:w="210"/>
        <w:gridCol w:w="210"/>
        <w:gridCol w:w="211"/>
        <w:gridCol w:w="239"/>
        <w:gridCol w:w="440"/>
        <w:gridCol w:w="118"/>
        <w:gridCol w:w="368"/>
        <w:gridCol w:w="368"/>
        <w:gridCol w:w="211"/>
        <w:gridCol w:w="293"/>
        <w:gridCol w:w="352"/>
        <w:gridCol w:w="127"/>
        <w:gridCol w:w="203"/>
        <w:gridCol w:w="903"/>
        <w:gridCol w:w="113"/>
        <w:gridCol w:w="208"/>
        <w:gridCol w:w="803"/>
        <w:gridCol w:w="118"/>
        <w:gridCol w:w="285"/>
        <w:gridCol w:w="964"/>
        <w:gridCol w:w="160"/>
        <w:gridCol w:w="253"/>
        <w:gridCol w:w="953"/>
        <w:gridCol w:w="206"/>
      </w:tblGrid>
      <w:tr>
        <w:trPr/>
        <w:tc>
          <w:tcPr>
            <w:tcW w:w="80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Preferred Stock</w:t>
            </w:r>
          </w:p>
        </w:tc>
        <w:tc>
          <w:tcPr>
            <w:tcW w:w="1719"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121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 Capital</w:t>
            </w:r>
          </w:p>
        </w:tc>
        <w:tc>
          <w:tcPr>
            <w:tcW w:w="112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140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w:t>
              <w:br/>
              <w:t>Comprehensive</w:t>
              <w:br/>
              <w:t>Loss</w:t>
            </w:r>
          </w:p>
        </w:tc>
        <w:tc>
          <w:tcPr>
            <w:tcW w:w="1412"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 Equity</w:t>
            </w:r>
          </w:p>
        </w:tc>
      </w:tr>
      <w:tr>
        <w:trPr/>
        <w:tc>
          <w:tcPr>
            <w:tcW w:w="22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219" w:type="dxa"/>
            <w:gridSpan w:val="3"/>
            <w:vMerge w:val="continue"/>
            <w:tcBorders/>
            <w:shd w:fill="auto" w:val="clear"/>
            <w:tcMar>
              <w:top w:w="0" w:type="dxa"/>
              <w:left w:w="0" w:type="dxa"/>
              <w:bottom w:w="0" w:type="dxa"/>
              <w:right w:w="0" w:type="dxa"/>
            </w:tcMar>
            <w:vAlign w:val="center"/>
          </w:tcPr>
          <w:p>
            <w:pPr>
              <w:pStyle w:val="Normal"/>
              <w:rPr/>
            </w:pPr>
            <w:r>
              <w:rPr/>
            </w:r>
          </w:p>
        </w:tc>
        <w:tc>
          <w:tcPr>
            <w:tcW w:w="1129" w:type="dxa"/>
            <w:gridSpan w:val="3"/>
            <w:vMerge w:val="continue"/>
            <w:tcBorders/>
            <w:shd w:fill="auto" w:val="clear"/>
            <w:tcMar>
              <w:top w:w="0" w:type="dxa"/>
              <w:left w:w="0" w:type="dxa"/>
              <w:bottom w:w="0" w:type="dxa"/>
              <w:right w:w="0" w:type="dxa"/>
            </w:tcMar>
            <w:vAlign w:val="center"/>
          </w:tcPr>
          <w:p>
            <w:pPr>
              <w:pStyle w:val="Normal"/>
              <w:rPr/>
            </w:pPr>
            <w:r>
              <w:rPr/>
            </w:r>
          </w:p>
        </w:tc>
        <w:tc>
          <w:tcPr>
            <w:tcW w:w="1409" w:type="dxa"/>
            <w:gridSpan w:val="3"/>
            <w:vMerge w:val="continue"/>
            <w:tcBorders/>
            <w:shd w:fill="auto" w:val="clear"/>
            <w:tcMar>
              <w:top w:w="0" w:type="dxa"/>
              <w:left w:w="0" w:type="dxa"/>
              <w:bottom w:w="0" w:type="dxa"/>
              <w:right w:w="0" w:type="dxa"/>
            </w:tcMar>
            <w:vAlign w:val="center"/>
          </w:tcPr>
          <w:p>
            <w:pPr>
              <w:pStyle w:val="Normal"/>
              <w:rPr/>
            </w:pPr>
            <w:r>
              <w:rPr/>
            </w:r>
          </w:p>
        </w:tc>
        <w:tc>
          <w:tcPr>
            <w:tcW w:w="141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2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4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191,447 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1,489,935 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(573,046)</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(10,198)</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906,693 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ind w:left="0" w:right="0" w:hanging="90"/>
              <w:rPr>
                <w:sz w:val="4"/>
                <w:szCs w:val="4"/>
              </w:rPr>
            </w:pPr>
            <w:r>
              <w:rPr>
                <w:sz w:val="4"/>
                <w:szCs w:val="4"/>
              </w:rPr>
            </w:r>
          </w:p>
        </w:tc>
      </w:tr>
      <w:tr>
        <w:trPr/>
        <w:tc>
          <w:tcPr>
            <w:tcW w:w="22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upon vesting of restricted stock units</w:t>
            </w:r>
          </w:p>
        </w:tc>
        <w:tc>
          <w:tcPr>
            <w:tcW w:w="4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2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7,514 </w:t>
            </w:r>
          </w:p>
        </w:tc>
        <w:tc>
          <w:tcPr>
            <w:tcW w:w="206"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2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 exercises</w:t>
            </w:r>
          </w:p>
        </w:tc>
        <w:tc>
          <w:tcPr>
            <w:tcW w:w="4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206"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2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w:t>
            </w:r>
          </w:p>
        </w:tc>
        <w:tc>
          <w:tcPr>
            <w:tcW w:w="4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(29,643)</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(29,643)</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3"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90"/>
              <w:jc w:val="left"/>
              <w:rPr/>
            </w:pPr>
            <w:r>
              <w:rPr>
                <w:rFonts w:ascii="Times New Roman;sans-serif" w:hAnsi="Times New Roman;sans-serif"/>
                <w:b w:val="false"/>
                <w:color w:val="000000"/>
                <w:sz w:val="18"/>
              </w:rPr>
              <w:t xml:space="preserve">Adoption of ASC 326, </w:t>
            </w:r>
            <w:r>
              <w:rPr>
                <w:rFonts w:ascii="Times New Roman;sans-serif" w:hAnsi="Times New Roman;sans-serif"/>
                <w:b w:val="false"/>
                <w:i/>
                <w:color w:val="000000"/>
                <w:sz w:val="18"/>
              </w:rPr>
              <w:t>Current Expected Credit Losses</w:t>
            </w:r>
          </w:p>
        </w:tc>
        <w:tc>
          <w:tcPr>
            <w:tcW w:w="4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w:t>
            </w:r>
          </w:p>
        </w:tc>
        <w:tc>
          <w:tcPr>
            <w:tcW w:w="206"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2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losses, net</w:t>
            </w:r>
          </w:p>
        </w:tc>
        <w:tc>
          <w:tcPr>
            <w:tcW w:w="4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206"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2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(20,775)</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(20,775)</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188,774 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1,468,415 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(595,130)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(10,297)</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862,990 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r>
        <w:trPr/>
        <w:tc>
          <w:tcPr>
            <w:tcW w:w="2223"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539" w:type="dxa"/>
        <w:jc w:val="center"/>
        <w:tblInd w:w="0" w:type="dxa"/>
        <w:tblCellMar>
          <w:top w:w="28" w:type="dxa"/>
          <w:left w:w="28" w:type="dxa"/>
          <w:bottom w:w="28" w:type="dxa"/>
          <w:right w:w="28" w:type="dxa"/>
        </w:tblCellMar>
      </w:tblPr>
      <w:tblGrid>
        <w:gridCol w:w="635"/>
        <w:gridCol w:w="558"/>
        <w:gridCol w:w="560"/>
        <w:gridCol w:w="225"/>
        <w:gridCol w:w="225"/>
        <w:gridCol w:w="226"/>
        <w:gridCol w:w="271"/>
        <w:gridCol w:w="441"/>
        <w:gridCol w:w="118"/>
        <w:gridCol w:w="413"/>
        <w:gridCol w:w="413"/>
        <w:gridCol w:w="226"/>
        <w:gridCol w:w="326"/>
        <w:gridCol w:w="357"/>
        <w:gridCol w:w="123"/>
        <w:gridCol w:w="215"/>
        <w:gridCol w:w="996"/>
        <w:gridCol w:w="111"/>
        <w:gridCol w:w="211"/>
        <w:gridCol w:w="897"/>
        <w:gridCol w:w="109"/>
        <w:gridCol w:w="316"/>
        <w:gridCol w:w="946"/>
        <w:gridCol w:w="164"/>
        <w:gridCol w:w="256"/>
        <w:gridCol w:w="1006"/>
        <w:gridCol w:w="195"/>
      </w:tblGrid>
      <w:tr>
        <w:trPr/>
        <w:tc>
          <w:tcPr>
            <w:tcW w:w="635"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Preferred Stock</w:t>
            </w:r>
          </w:p>
        </w:tc>
        <w:tc>
          <w:tcPr>
            <w:tcW w:w="1858"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1322"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 Capital</w:t>
            </w:r>
          </w:p>
        </w:tc>
        <w:tc>
          <w:tcPr>
            <w:tcW w:w="121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142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Income</w:t>
            </w:r>
          </w:p>
        </w:tc>
        <w:tc>
          <w:tcPr>
            <w:tcW w:w="145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Stockholders’ Equity</w:t>
            </w:r>
          </w:p>
        </w:tc>
      </w:tr>
      <w:tr>
        <w:trPr/>
        <w:tc>
          <w:tcPr>
            <w:tcW w:w="1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8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1322" w:type="dxa"/>
            <w:gridSpan w:val="3"/>
            <w:vMerge w:val="continue"/>
            <w:tcBorders/>
            <w:shd w:fill="auto" w:val="clear"/>
            <w:tcMar>
              <w:top w:w="0" w:type="dxa"/>
              <w:left w:w="0" w:type="dxa"/>
              <w:bottom w:w="0" w:type="dxa"/>
              <w:right w:w="0" w:type="dxa"/>
            </w:tcMar>
            <w:vAlign w:val="center"/>
          </w:tcPr>
          <w:p>
            <w:pPr>
              <w:pStyle w:val="Normal"/>
              <w:rPr/>
            </w:pPr>
            <w:r>
              <w:rPr/>
            </w:r>
          </w:p>
        </w:tc>
        <w:tc>
          <w:tcPr>
            <w:tcW w:w="1217" w:type="dxa"/>
            <w:gridSpan w:val="3"/>
            <w:vMerge w:val="continue"/>
            <w:tcBorders/>
            <w:shd w:fill="auto" w:val="clear"/>
            <w:tcMar>
              <w:top w:w="0" w:type="dxa"/>
              <w:left w:w="0" w:type="dxa"/>
              <w:bottom w:w="0" w:type="dxa"/>
              <w:right w:w="0" w:type="dxa"/>
            </w:tcMar>
            <w:vAlign w:val="center"/>
          </w:tcPr>
          <w:p>
            <w:pPr>
              <w:pStyle w:val="Normal"/>
              <w:rPr/>
            </w:pPr>
            <w:r>
              <w:rPr/>
            </w:r>
          </w:p>
        </w:tc>
        <w:tc>
          <w:tcPr>
            <w:tcW w:w="1426" w:type="dxa"/>
            <w:gridSpan w:val="3"/>
            <w:vMerge w:val="continue"/>
            <w:tcBorders/>
            <w:shd w:fill="auto" w:val="clear"/>
            <w:tcMar>
              <w:top w:w="0" w:type="dxa"/>
              <w:left w:w="0" w:type="dxa"/>
              <w:bottom w:w="0" w:type="dxa"/>
              <w:right w:w="0" w:type="dxa"/>
            </w:tcMar>
            <w:vAlign w:val="center"/>
          </w:tcPr>
          <w:p>
            <w:pPr>
              <w:pStyle w:val="Normal"/>
              <w:rPr/>
            </w:pPr>
            <w:r>
              <w:rPr/>
            </w:r>
          </w:p>
        </w:tc>
        <w:tc>
          <w:tcPr>
            <w:tcW w:w="145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45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195,384 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1,500,643 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985,648 </w:t>
            </w:r>
          </w:p>
        </w:tc>
        <w:tc>
          <w:tcPr>
            <w:tcW w:w="195"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45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6,135 </w:t>
            </w:r>
          </w:p>
        </w:tc>
        <w:tc>
          <w:tcPr>
            <w:tcW w:w="195"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w:t>
            </w:r>
          </w:p>
        </w:tc>
        <w:tc>
          <w:tcPr>
            <w:tcW w:w="45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95"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losses, net</w:t>
            </w:r>
          </w:p>
        </w:tc>
        <w:tc>
          <w:tcPr>
            <w:tcW w:w="45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95"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5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4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195,510 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1,507,501 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978,533 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1753"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806"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807085"/>
                <wp:effectExtent l="0" t="0" r="0" b="0"/>
                <wp:wrapNone/>
                <wp:docPr id="8" name="Frame8"/>
                <a:graphic xmlns:a="http://schemas.openxmlformats.org/drawingml/2006/main">
                  <a:graphicData uri="http://schemas.microsoft.com/office/word/2010/wordprocessingShape">
                    <wps:wsp>
                      <wps:cNvSpPr txBox="1"/>
                      <wps:spPr>
                        <a:xfrm>
                          <a:off x="0" y="0"/>
                          <a:ext cx="6692265" cy="807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EverCommerce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069" w:type="dxa"/>
        <w:jc w:val="left"/>
        <w:tblInd w:w="0" w:type="dxa"/>
        <w:tblCellMar>
          <w:top w:w="28" w:type="dxa"/>
          <w:left w:w="28" w:type="dxa"/>
          <w:bottom w:w="28" w:type="dxa"/>
          <w:right w:w="28" w:type="dxa"/>
        </w:tblCellMar>
      </w:tblPr>
      <w:tblGrid>
        <w:gridCol w:w="2327"/>
        <w:gridCol w:w="2047"/>
        <w:gridCol w:w="2061"/>
        <w:gridCol w:w="211"/>
        <w:gridCol w:w="796"/>
        <w:gridCol w:w="109"/>
        <w:gridCol w:w="109"/>
        <w:gridCol w:w="109"/>
        <w:gridCol w:w="109"/>
        <w:gridCol w:w="211"/>
        <w:gridCol w:w="826"/>
        <w:gridCol w:w="154"/>
      </w:tblGrid>
      <w:tr>
        <w:trPr/>
        <w:tc>
          <w:tcPr>
            <w:tcW w:w="2327" w:type="dxa"/>
            <w:tcBorders/>
            <w:shd w:fill="auto" w:val="clear"/>
            <w:vAlign w:val="center"/>
          </w:tcPr>
          <w:p>
            <w:pPr>
              <w:pStyle w:val="TableContents"/>
              <w:spacing w:before="0" w:after="283"/>
              <w:rPr>
                <w:sz w:val="4"/>
                <w:szCs w:val="4"/>
              </w:rPr>
            </w:pPr>
            <w:r>
              <w:rPr>
                <w:sz w:val="4"/>
                <w:szCs w:val="4"/>
              </w:rPr>
            </w:r>
          </w:p>
        </w:tc>
        <w:tc>
          <w:tcPr>
            <w:tcW w:w="2047" w:type="dxa"/>
            <w:tcBorders/>
            <w:shd w:fill="auto" w:val="clear"/>
            <w:vAlign w:val="center"/>
          </w:tcPr>
          <w:p>
            <w:pPr>
              <w:pStyle w:val="TableContents"/>
              <w:spacing w:before="0" w:after="283"/>
              <w:rPr>
                <w:sz w:val="4"/>
                <w:szCs w:val="4"/>
              </w:rPr>
            </w:pPr>
            <w:r>
              <w:rPr>
                <w:sz w:val="4"/>
                <w:szCs w:val="4"/>
              </w:rPr>
            </w:r>
          </w:p>
        </w:tc>
        <w:tc>
          <w:tcPr>
            <w:tcW w:w="20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non-cash interest</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items</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used in investing activities: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software costs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used in financing activities: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debt</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retirement of common stock</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 on cash</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97,559 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807085"/>
                <wp:effectExtent l="0" t="0" r="0" b="0"/>
                <wp:wrapNone/>
                <wp:docPr id="9" name="Frame9"/>
                <a:graphic xmlns:a="http://schemas.openxmlformats.org/drawingml/2006/main">
                  <a:graphicData uri="http://schemas.microsoft.com/office/word/2010/wordprocessingShape">
                    <wps:wsp>
                      <wps:cNvSpPr txBox="1"/>
                      <wps:spPr>
                        <a:xfrm>
                          <a:off x="0" y="0"/>
                          <a:ext cx="6692265" cy="807085"/>
                        </a:xfrm>
                        <a:prstGeom prst="rect"/>
                      </wps:spPr>
                      <wps:txb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tbl>
      <w:tblPr>
        <w:tblW w:w="4769" w:type="dxa"/>
        <w:jc w:val="center"/>
        <w:tblInd w:w="0" w:type="dxa"/>
        <w:tblCellMar>
          <w:top w:w="28" w:type="dxa"/>
          <w:left w:w="28" w:type="dxa"/>
          <w:bottom w:w="28" w:type="dxa"/>
          <w:right w:w="28" w:type="dxa"/>
        </w:tblCellMar>
      </w:tblPr>
      <w:tblGrid>
        <w:gridCol w:w="1526"/>
        <w:gridCol w:w="1340"/>
        <w:gridCol w:w="1903"/>
      </w:tblGrid>
      <w:tr>
        <w:trPr/>
        <w:tc>
          <w:tcPr>
            <w:tcW w:w="1526"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bl>
    <w:p>
      <w:pPr>
        <w:pStyle w:val="TextBody"/>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Note 1. Nature of the Business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EverCommerce Inc. and subsidiaries (the “Company” or “EverCommerce”) is a leading provider of integrated software-as-a-service (“SaaS”) solutions or services for service-based small- and medium-sized businesses (“service SMBs”). Our platform spans across the full lifecycle of interactions between consumers and service professionals with vertical-specific applications. Today, the Company serves more than 685,000 customers across three core verticals: Home Services; Health Services; and Fitness &amp; Wellness Services. Within the core verticals, customers operate within numerous micro-verticals, ranging from home service professionals, such as construction contractors and home maintenance technicians, to physician practices and therapists in the Health Services industry, to personal trainers and salon owners in the Fitness &amp; Wellness sectors. The platform provides vertically-tailored SaaS solutions that address service SMBs’ increasingly nuanced demands, as well as highly complementary solutions that complete end-to-end offerings, allowing service SMBs and EverCommerce to succeed in the market, and provide end consumers more convenient service experiences. The Company is headquartered in Denver, Colorado, and has operations across the United States, Canada, Jordan, United Kingdom, Australia and New Zealand.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for the year ended December 31, 2022 and the related notes (“Annual Report on Form 10-K”). The December 31, 2022 condensed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unaudited condensed consolidated financial statements. All intercompany accounts and transactions have been eliminated in consolidation. There have been no significant changes in accounting policies during the three months ended March 31, 2023 from those disclosed in the annual consolidated financial statements for the year ended December 31, 2022 and the related notes.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results for the three months ended March 31, 2023 are not necessarily indicative of the results expected for the full year ending December 31, 2023.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unaudited condensed consolidated financial statements in conformity with GAAP requires management to make estimates and assumptions that affect certain amounts reported in the unaudited condensed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estimates reflected in the consolidated financial statements include revenue recognition, allowance for doubtful accounts, valuation allowances with respect to deferred tax assets, assumptions underlying the fair value used in the calculation of stock-based compensation, valuation of intangible assets and goodwill and useful lives of tangible and intangible assets, among others.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emerging growth company (“EGC”), the Jumpstart Our Business Startups Act (“JOBS Act”) allows the Company to delay adoption of new or revised accounting pronouncements applicable to public companies until such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10"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tbl>
      <w:tblPr>
        <w:tblW w:w="4769" w:type="dxa"/>
        <w:jc w:val="center"/>
        <w:tblInd w:w="0" w:type="dxa"/>
        <w:tblCellMar>
          <w:top w:w="28" w:type="dxa"/>
          <w:left w:w="28" w:type="dxa"/>
          <w:bottom w:w="28" w:type="dxa"/>
          <w:right w:w="28" w:type="dxa"/>
        </w:tblCellMar>
      </w:tblPr>
      <w:tblGrid>
        <w:gridCol w:w="1526"/>
        <w:gridCol w:w="1340"/>
        <w:gridCol w:w="1903"/>
      </w:tblGrid>
      <w:tr>
        <w:trPr/>
        <w:tc>
          <w:tcPr>
            <w:tcW w:w="1526"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bl>
    <w:p>
      <w:pPr>
        <w:pStyle w:val="TextBody"/>
        <w:spacing w:lineRule="auto" w:line="288" w:before="240" w:after="283"/>
        <w:jc w:val="both"/>
        <w:rPr/>
      </w:pPr>
      <w:r>
        <w:rPr>
          <w:rFonts w:ascii="Times New Roman;sans-serif" w:hAnsi="Times New Roman;sans-serif"/>
          <w:b w:val="false"/>
          <w:color w:val="000000"/>
          <w:sz w:val="20"/>
        </w:rPr>
        <w:t xml:space="preserve">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 pronouncements as of public company effective dates. The adoption dates are discussed below to reflect this election within the </w:t>
      </w:r>
      <w:r>
        <w:rPr>
          <w:color w:val="000000"/>
        </w:rPr>
        <w:t>“</w:t>
      </w:r>
      <w:r>
        <w:rPr>
          <w:rFonts w:ascii="Times New Roman;sans-serif" w:hAnsi="Times New Roman;sans-serif"/>
          <w:b w:val="false"/>
          <w:i/>
          <w:color w:val="000000"/>
          <w:sz w:val="20"/>
        </w:rPr>
        <w:t>Recently Issued Accounting Pronouncements”</w:t>
      </w:r>
      <w:r>
        <w:rPr>
          <w:color w:val="000000"/>
        </w:rPr>
        <w:t xml:space="preserve"> </w:t>
      </w:r>
      <w:r>
        <w:rPr>
          <w:rFonts w:ascii="Times New Roman;sans-serif" w:hAnsi="Times New Roman;sans-serif"/>
          <w:b w:val="false"/>
          <w:color w:val="000000"/>
          <w:sz w:val="20"/>
        </w:rPr>
        <w:t>section.</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issued and adopted</w:t>
      </w:r>
    </w:p>
    <w:p>
      <w:pPr>
        <w:pStyle w:val="TextBody"/>
        <w:spacing w:lineRule="auto" w:line="288" w:before="240" w:after="283"/>
        <w:jc w:val="both"/>
        <w:rPr/>
      </w:pPr>
      <w:r>
        <w:rPr>
          <w:rFonts w:ascii="Times New Roman;sans-serif" w:hAnsi="Times New Roman;sans-serif"/>
          <w:b w:val="false"/>
          <w:color w:val="000000"/>
          <w:sz w:val="20"/>
        </w:rPr>
        <w:t xml:space="preserve">In June 2016, the FASB issued ASU No. 2016-13, </w:t>
      </w:r>
      <w:r>
        <w:rPr>
          <w:rFonts w:ascii="Times New Roman;sans-serif" w:hAnsi="Times New Roman;sans-serif"/>
          <w:b w:val="false"/>
          <w:i/>
          <w:color w:val="000000"/>
          <w:sz w:val="20"/>
        </w:rPr>
        <w:t xml:space="preserve">Financial Instruments-Credit Losses (Topic 326); Measurement of Credit Losses on Financial Instruments, </w:t>
      </w:r>
      <w:r>
        <w:rPr>
          <w:rFonts w:ascii="Times New Roman;sans-serif" w:hAnsi="Times New Roman;sans-serif"/>
          <w:b w:val="false"/>
          <w:color w:val="000000"/>
          <w:sz w:val="20"/>
        </w:rPr>
        <w:t>which requires the measurement and recognition of expected credit losses for financial assets held at amortized cost, which includes the Company’s accounts receivable and contract assets. This updated standard is effective for annual reporting periods beginning after December 15, 2022. The Company adopted this ASU for the year ending December 31, 2023 and it did not have a material impact on the financial statements.</w:t>
      </w:r>
    </w:p>
    <w:p>
      <w:pPr>
        <w:pStyle w:val="TextBody"/>
        <w:spacing w:lineRule="auto" w:line="288" w:before="240" w:after="283"/>
        <w:jc w:val="both"/>
        <w:rPr/>
      </w:pPr>
      <w:r>
        <w:rPr>
          <w:rFonts w:ascii="Times New Roman;sans-serif" w:hAnsi="Times New Roman;sans-serif"/>
          <w:b w:val="false"/>
          <w:color w:val="000000"/>
          <w:sz w:val="20"/>
        </w:rPr>
        <w:t xml:space="preserve">In October 2021, the FASB issued ASU No. 2021-08, </w:t>
      </w:r>
      <w:r>
        <w:rPr>
          <w:rFonts w:ascii="Times New Roman;sans-serif" w:hAnsi="Times New Roman;sans-serif"/>
          <w:b w:val="false"/>
          <w:i/>
          <w:color w:val="000000"/>
          <w:sz w:val="20"/>
        </w:rPr>
        <w:t>Accounting for Contract Assets and Contract Liabilities from Contracts with Customers</w:t>
      </w:r>
      <w:r>
        <w:rPr>
          <w:rFonts w:ascii="Times New Roman;sans-serif" w:hAnsi="Times New Roman;sans-serif"/>
          <w:b w:val="false"/>
          <w:color w:val="000000"/>
          <w:sz w:val="20"/>
        </w:rPr>
        <w:t>, which amends the guidance in ASC 805 to require that an acquirer recognize and measure contract assets and contract liabilities acquired in a business combination in accordance with Topic 606. FASB’s objective in issuing the ASU is to improve the accounting for acquired revenue contracts with customers in a business combination by addressing diversity and inconsistency related to both the recognition of an acquired contract liability and payment terms’ effects on subsequent revenue recognized by the acquirer. This updated standard is effective for annual reporting periods beginning after December 15, 2022. The Company adopted this ASU for the year ending December 31, 2023 and it had no impact on the financial statements, but will have an impact on any future acquisitions.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Revenue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disaggregation of our revenue from contracts with customers by revenue recognition pattern and geographical market:</w:t>
      </w:r>
    </w:p>
    <w:tbl>
      <w:tblPr>
        <w:tblW w:w="8245" w:type="dxa"/>
        <w:jc w:val="left"/>
        <w:tblInd w:w="0" w:type="dxa"/>
        <w:tblCellMar>
          <w:top w:w="28" w:type="dxa"/>
          <w:left w:w="28" w:type="dxa"/>
          <w:bottom w:w="28" w:type="dxa"/>
          <w:right w:w="28" w:type="dxa"/>
        </w:tblCellMar>
      </w:tblPr>
      <w:tblGrid>
        <w:gridCol w:w="1700"/>
        <w:gridCol w:w="1493"/>
        <w:gridCol w:w="1502"/>
        <w:gridCol w:w="109"/>
        <w:gridCol w:w="109"/>
        <w:gridCol w:w="145"/>
        <w:gridCol w:w="145"/>
        <w:gridCol w:w="280"/>
        <w:gridCol w:w="1099"/>
        <w:gridCol w:w="145"/>
        <w:gridCol w:w="109"/>
        <w:gridCol w:w="109"/>
        <w:gridCol w:w="109"/>
        <w:gridCol w:w="211"/>
        <w:gridCol w:w="826"/>
        <w:gridCol w:w="154"/>
      </w:tblGrid>
      <w:tr>
        <w:trPr/>
        <w:tc>
          <w:tcPr>
            <w:tcW w:w="1700"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4"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5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304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pattern of recognition (timing of transfer of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 in time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14,738 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time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146,398 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161,136 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geographical market: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5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148,965 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12,171 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161,136 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1"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tbl>
      <w:tblPr>
        <w:tblW w:w="4769" w:type="dxa"/>
        <w:jc w:val="center"/>
        <w:tblInd w:w="0" w:type="dxa"/>
        <w:tblCellMar>
          <w:top w:w="28" w:type="dxa"/>
          <w:left w:w="28" w:type="dxa"/>
          <w:bottom w:w="28" w:type="dxa"/>
          <w:right w:w="28" w:type="dxa"/>
        </w:tblCellMar>
      </w:tblPr>
      <w:tblGrid>
        <w:gridCol w:w="1526"/>
        <w:gridCol w:w="1340"/>
        <w:gridCol w:w="1903"/>
      </w:tblGrid>
      <w:tr>
        <w:trPr/>
        <w:tc>
          <w:tcPr>
            <w:tcW w:w="1526"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bl>
    <w:p>
      <w:pPr>
        <w:pStyle w:val="TextBody"/>
        <w:spacing w:lineRule="auto" w:line="288" w:before="0" w:after="0"/>
        <w:jc w:val="both"/>
        <w:rPr/>
      </w:pPr>
      <w:r>
        <w:rPr>
          <w:rFonts w:ascii="Times New Roman;sans-serif" w:hAnsi="Times New Roman;sans-serif"/>
          <w:b/>
          <w:color w:val="000000"/>
          <w:sz w:val="20"/>
        </w:rPr>
        <w:t>Contract Balances</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contracts from customers as of:</w:t>
      </w:r>
    </w:p>
    <w:tbl>
      <w:tblPr>
        <w:tblW w:w="5042" w:type="dxa"/>
        <w:jc w:val="left"/>
        <w:tblInd w:w="0" w:type="dxa"/>
        <w:tblCellMar>
          <w:top w:w="28" w:type="dxa"/>
          <w:left w:w="28" w:type="dxa"/>
          <w:bottom w:w="28" w:type="dxa"/>
          <w:right w:w="28" w:type="dxa"/>
        </w:tblCellMar>
      </w:tblPr>
      <w:tblGrid>
        <w:gridCol w:w="857"/>
        <w:gridCol w:w="754"/>
        <w:gridCol w:w="758"/>
        <w:gridCol w:w="211"/>
        <w:gridCol w:w="721"/>
        <w:gridCol w:w="109"/>
        <w:gridCol w:w="109"/>
        <w:gridCol w:w="109"/>
        <w:gridCol w:w="109"/>
        <w:gridCol w:w="253"/>
        <w:gridCol w:w="867"/>
        <w:gridCol w:w="185"/>
      </w:tblGrid>
      <w:tr>
        <w:trPr/>
        <w:tc>
          <w:tcPr>
            <w:tcW w:w="857"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revenue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Accounts receivable, net: </w:t>
      </w:r>
      <w:r>
        <w:rPr>
          <w:rFonts w:ascii="Times New Roman;sans-serif" w:hAnsi="Times New Roman;sans-serif"/>
          <w:b w:val="false"/>
          <w:color w:val="000000"/>
          <w:sz w:val="20"/>
        </w:rPr>
        <w:t xml:space="preserve">Accounts receivable, net of allowance for expected credit losses, represent rights to consideration in exchange for products or services that have been transferred by us, when payment is unconditional and only the passage of time is required before payment is due.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Contract assets: </w:t>
      </w:r>
      <w:r>
        <w:rPr>
          <w:rFonts w:ascii="Times New Roman;sans-serif" w:hAnsi="Times New Roman;sans-serif"/>
          <w:b w:val="false"/>
          <w:color w:val="000000"/>
          <w:sz w:val="20"/>
        </w:rPr>
        <w:t xml:space="preserve">Contract assets represent rights to consideration in exchange for products or services that have been transferred (i.e., the performance obligation or portion of the performance obligation has been satisfied), but payment is conditional on something other than the passage of time. These amounts typically relate to contracts that include on-premise licenses and professional services where the right to payment is not present until completion of the contract or achievement of specified milestones and the fair value of products or services transferred exceed this constraint.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Contract liabilities</w:t>
      </w:r>
      <w:r>
        <w:rPr>
          <w:rFonts w:ascii="Times New Roman;sans-serif" w:hAnsi="Times New Roman;sans-serif"/>
          <w:b w:val="false"/>
          <w:color w:val="000000"/>
          <w:sz w:val="20"/>
        </w:rPr>
        <w:t xml:space="preserve">: Contract liabilities represent our obligation to transfer products or services to a customer for which consideration has been received in advance of the satisfaction of performance obligations. Short-term contract liabilities are included within deferred revenue on the consolidated balance sheets. Long-term contract liabilities are included within long-term deferred revenue on the consolidated balance sheets. Revenue recognized from the contract liability balance at December 31, 2022 was $16.0 million for the three months ended March 31, 2023.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Customer deposits</w:t>
      </w:r>
      <w:r>
        <w:rPr>
          <w:rFonts w:ascii="Times New Roman;sans-serif" w:hAnsi="Times New Roman;sans-serif"/>
          <w:b w:val="false"/>
          <w:color w:val="000000"/>
          <w:sz w:val="20"/>
        </w:rPr>
        <w:t>: Customer deposits relate to payments received in advance for contracts, which allow the customer to terminate a contract and receive a pro rata refund for the unused portion of payments received to date. In these arrangements, we have concluded there are no enforceable rights and obligations during the period in which the option to cancel is exercisable by the customer and therefore the consideration received is recorded as a customer deposit liability.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Remaining Performance Obligations</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Variable consideration accounted for under the variable consideration allocation exception associated with unsatisfied performance obligations or an unsatisfied promise that forms part of a single performance obligation under application of the series guidance have been excluded. Remaining performance obligations generally relate to those which are stand-ready in nature, as found within the subscription and marketing technology solutions revenue streams. The aggregate amount of transaction consideration allocated to remaining performance obligations as of March 31, 2023, was $20.5 million, which is comprised of contracts where the contract term under ASC 606 is in excess of one year. The Company expects to recognize approximately 60% of its remaining performance obligations as revenue within the next year,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2"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tbl>
      <w:tblPr>
        <w:tblW w:w="4769" w:type="dxa"/>
        <w:jc w:val="center"/>
        <w:tblInd w:w="0" w:type="dxa"/>
        <w:tblCellMar>
          <w:top w:w="28" w:type="dxa"/>
          <w:left w:w="28" w:type="dxa"/>
          <w:bottom w:w="28" w:type="dxa"/>
          <w:right w:w="28" w:type="dxa"/>
        </w:tblCellMar>
      </w:tblPr>
      <w:tblGrid>
        <w:gridCol w:w="1526"/>
        <w:gridCol w:w="1340"/>
        <w:gridCol w:w="1903"/>
      </w:tblGrid>
      <w:tr>
        <w:trPr/>
        <w:tc>
          <w:tcPr>
            <w:tcW w:w="1526"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28% of its remaining performance obligations as revenue the subsequent year, 9% of its remaining performance obligations as revenue in the third year, and the remainder during the two year period thereafter.</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Cost to Obtain and Fulfill a Contract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incurs certain costs to obtain contracts, principally sales and third-party commissions, which the Company capitalizes when the liability has been incurred if they are (i) incremental costs of obtaining a contract, (ii) expected to be recovered and (iii) have an expected amortization period that is greater than one year (as the Company has elected the practical expedient to expense any costs to obtain a contract when the liability is incurred if the amortization period of such costs would be one year or less).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resulting from costs to obtain contracts are included within prepaid expenses and other current assets for short-term balances and other non-current assets for long-term balances on the Company’s consolidated balance sheets. The costs to obtain contracts are amortized over five years, which corresponds with the useful life of the related capitalized software. Short-term assets were $7.1 million and $6.6 million at March 31, 2023 and December 31, 2022, respectively, and long-term assets were $15.8 million and $15.1 million at March 31, 2023 and December 31, 2022, respectively. The Company recorded amortization expense within sales and marketing on the condensed consolidated statements of operations and comprehensive loss of $1.3 million and $0.9 million for the three months ended March 31, 2023 and 2022, respectively. The Company recorded amortization expense within cost of revenues on the condensed consolidated statements of operations and comprehensive loss of $0.5 million and $0.4 million for the three months ended March 31, 2023 and 2022, respectively.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has concluded that there are no other material costs incurred in fulfillment of customer contracts that are not accounted for under other GAAP, which meet the capitalization criteria under ASC 606 and FASB ASC Topic 340-40, </w:t>
      </w:r>
      <w:r>
        <w:rPr>
          <w:rFonts w:ascii="Times New Roman;sans-serif" w:hAnsi="Times New Roman;sans-serif"/>
          <w:b w:val="false"/>
          <w:i/>
          <w:color w:val="000000"/>
          <w:sz w:val="20"/>
        </w:rPr>
        <w:t>Accounting for Other Assets and Deferred Costs</w:t>
      </w:r>
      <w:r>
        <w:rPr>
          <w:color w:val="000000"/>
        </w:rPr>
        <w:t xml:space="preserve"> </w:t>
      </w:r>
      <w:r>
        <w:rPr>
          <w:rFonts w:ascii="Times New Roman;sans-serif" w:hAnsi="Times New Roman;sans-serif"/>
          <w:b w:val="false"/>
          <w:color w:val="000000"/>
          <w:sz w:val="20"/>
        </w:rPr>
        <w:t>(“ASC 340-40”).</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Goodwill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activity consisted of the following for the three months ended March 31, 2023 (in thousands):</w:t>
      </w:r>
    </w:p>
    <w:tbl>
      <w:tblPr>
        <w:tblW w:w="5255" w:type="dxa"/>
        <w:jc w:val="left"/>
        <w:tblInd w:w="0" w:type="dxa"/>
        <w:tblCellMar>
          <w:top w:w="28" w:type="dxa"/>
          <w:left w:w="28" w:type="dxa"/>
          <w:bottom w:w="28" w:type="dxa"/>
          <w:right w:w="28" w:type="dxa"/>
        </w:tblCellMar>
      </w:tblPr>
      <w:tblGrid>
        <w:gridCol w:w="1473"/>
        <w:gridCol w:w="1294"/>
        <w:gridCol w:w="1297"/>
        <w:gridCol w:w="211"/>
        <w:gridCol w:w="826"/>
        <w:gridCol w:w="154"/>
      </w:tblGrid>
      <w:tr>
        <w:trPr/>
        <w:tc>
          <w:tcPr>
            <w:tcW w:w="1473"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913,774 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w:t>
      </w:r>
    </w:p>
    <w:tbl>
      <w:tblPr>
        <w:tblW w:w="7976" w:type="dxa"/>
        <w:jc w:val="left"/>
        <w:tblInd w:w="0" w:type="dxa"/>
        <w:tblCellMar>
          <w:top w:w="28" w:type="dxa"/>
          <w:left w:w="28" w:type="dxa"/>
          <w:bottom w:w="28" w:type="dxa"/>
          <w:right w:w="28" w:type="dxa"/>
        </w:tblCellMar>
      </w:tblPr>
      <w:tblGrid>
        <w:gridCol w:w="787"/>
        <w:gridCol w:w="692"/>
        <w:gridCol w:w="695"/>
        <w:gridCol w:w="314"/>
        <w:gridCol w:w="314"/>
        <w:gridCol w:w="316"/>
        <w:gridCol w:w="109"/>
        <w:gridCol w:w="109"/>
        <w:gridCol w:w="109"/>
        <w:gridCol w:w="265"/>
        <w:gridCol w:w="1038"/>
        <w:gridCol w:w="137"/>
        <w:gridCol w:w="109"/>
        <w:gridCol w:w="109"/>
        <w:gridCol w:w="109"/>
        <w:gridCol w:w="229"/>
        <w:gridCol w:w="898"/>
        <w:gridCol w:w="119"/>
        <w:gridCol w:w="109"/>
        <w:gridCol w:w="109"/>
        <w:gridCol w:w="109"/>
        <w:gridCol w:w="211"/>
        <w:gridCol w:w="826"/>
        <w:gridCol w:w="154"/>
      </w:tblGrid>
      <w:tr>
        <w:trPr/>
        <w:tc>
          <w:tcPr>
            <w:tcW w:w="7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2"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Useful</w:t>
              <w:br/>
              <w:t>Life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Book</w:t>
              <w:br/>
              <w:t>Value</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44"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3-20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605,984 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283,122 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944"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2-12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105,812 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944"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3-10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944"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752,339 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369,560 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3"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tbl>
      <w:tblPr>
        <w:tblW w:w="4769" w:type="dxa"/>
        <w:jc w:val="left"/>
        <w:tblInd w:w="0" w:type="dxa"/>
        <w:tblCellMar>
          <w:top w:w="28" w:type="dxa"/>
          <w:left w:w="28" w:type="dxa"/>
          <w:bottom w:w="28" w:type="dxa"/>
          <w:right w:w="28" w:type="dxa"/>
        </w:tblCellMar>
      </w:tblPr>
      <w:tblGrid>
        <w:gridCol w:w="1526"/>
        <w:gridCol w:w="1340"/>
        <w:gridCol w:w="1903"/>
      </w:tblGrid>
      <w:tr>
        <w:trPr/>
        <w:tc>
          <w:tcPr>
            <w:tcW w:w="1526"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bl>
    <w:tbl>
      <w:tblPr>
        <w:tblW w:w="7976" w:type="dxa"/>
        <w:jc w:val="left"/>
        <w:tblInd w:w="0" w:type="dxa"/>
        <w:tblCellMar>
          <w:top w:w="28" w:type="dxa"/>
          <w:left w:w="28" w:type="dxa"/>
          <w:bottom w:w="28" w:type="dxa"/>
          <w:right w:w="28" w:type="dxa"/>
        </w:tblCellMar>
      </w:tblPr>
      <w:tblGrid>
        <w:gridCol w:w="787"/>
        <w:gridCol w:w="692"/>
        <w:gridCol w:w="695"/>
        <w:gridCol w:w="314"/>
        <w:gridCol w:w="314"/>
        <w:gridCol w:w="316"/>
        <w:gridCol w:w="109"/>
        <w:gridCol w:w="109"/>
        <w:gridCol w:w="109"/>
        <w:gridCol w:w="265"/>
        <w:gridCol w:w="1038"/>
        <w:gridCol w:w="137"/>
        <w:gridCol w:w="109"/>
        <w:gridCol w:w="109"/>
        <w:gridCol w:w="109"/>
        <w:gridCol w:w="229"/>
        <w:gridCol w:w="898"/>
        <w:gridCol w:w="119"/>
        <w:gridCol w:w="109"/>
        <w:gridCol w:w="109"/>
        <w:gridCol w:w="109"/>
        <w:gridCol w:w="211"/>
        <w:gridCol w:w="826"/>
        <w:gridCol w:w="154"/>
      </w:tblGrid>
      <w:tr>
        <w:trPr/>
        <w:tc>
          <w:tcPr>
            <w:tcW w:w="7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2"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Useful</w:t>
              <w:br/>
              <w:t>Life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Book</w:t>
              <w:br/>
              <w:t>Value</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44"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3-20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605,753 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265,342 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944"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2-12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944"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3-10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944"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752,052 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346,332 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$23.2 million and $25.2 million for the three months ended March 31, 2023 and 2022, respectively.</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Property and Equipment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as of:</w:t>
      </w:r>
    </w:p>
    <w:tbl>
      <w:tblPr>
        <w:tblW w:w="5583" w:type="dxa"/>
        <w:jc w:val="left"/>
        <w:tblInd w:w="0" w:type="dxa"/>
        <w:tblCellMar>
          <w:top w:w="28" w:type="dxa"/>
          <w:left w:w="28" w:type="dxa"/>
          <w:bottom w:w="28" w:type="dxa"/>
          <w:right w:w="28" w:type="dxa"/>
        </w:tblCellMar>
      </w:tblPr>
      <w:tblGrid>
        <w:gridCol w:w="1054"/>
        <w:gridCol w:w="925"/>
        <w:gridCol w:w="931"/>
        <w:gridCol w:w="211"/>
        <w:gridCol w:w="721"/>
        <w:gridCol w:w="109"/>
        <w:gridCol w:w="109"/>
        <w:gridCol w:w="109"/>
        <w:gridCol w:w="109"/>
        <w:gridCol w:w="253"/>
        <w:gridCol w:w="867"/>
        <w:gridCol w:w="185"/>
      </w:tblGrid>
      <w:tr>
        <w:trPr/>
        <w:tc>
          <w:tcPr>
            <w:tcW w:w="1054"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11,941 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(12,908)</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$1.0 million for each of the three months ended March 31, 2023 and 2022.</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Capitalized Software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software consisted of the following as of:</w:t>
      </w:r>
    </w:p>
    <w:tbl>
      <w:tblPr>
        <w:tblW w:w="5373" w:type="dxa"/>
        <w:jc w:val="left"/>
        <w:tblInd w:w="0" w:type="dxa"/>
        <w:tblCellMar>
          <w:top w:w="28" w:type="dxa"/>
          <w:left w:w="28" w:type="dxa"/>
          <w:bottom w:w="28" w:type="dxa"/>
          <w:right w:w="28" w:type="dxa"/>
        </w:tblCellMar>
      </w:tblPr>
      <w:tblGrid>
        <w:gridCol w:w="978"/>
        <w:gridCol w:w="858"/>
        <w:gridCol w:w="864"/>
        <w:gridCol w:w="211"/>
        <w:gridCol w:w="721"/>
        <w:gridCol w:w="109"/>
        <w:gridCol w:w="109"/>
        <w:gridCol w:w="109"/>
        <w:gridCol w:w="109"/>
        <w:gridCol w:w="253"/>
        <w:gridCol w:w="867"/>
        <w:gridCol w:w="185"/>
      </w:tblGrid>
      <w:tr>
        <w:trPr/>
        <w:tc>
          <w:tcPr>
            <w:tcW w:w="978"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(13,318)</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was $1.8 million and $1.2 million for the three months ended March 31, 2023 and 2022, respectively. During the ordinary course of business, the Company may determine that certain capitalized features of its software will no longer be used either internally or to deliver value to its customers. During the three months ended March 31, 2023 the Company recorded a charge to general and administrative on the accompanying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4"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tbl>
      <w:tblPr>
        <w:tblW w:w="4769" w:type="dxa"/>
        <w:jc w:val="left"/>
        <w:tblInd w:w="0" w:type="dxa"/>
        <w:tblCellMar>
          <w:top w:w="28" w:type="dxa"/>
          <w:left w:w="28" w:type="dxa"/>
          <w:bottom w:w="28" w:type="dxa"/>
          <w:right w:w="28" w:type="dxa"/>
        </w:tblCellMar>
      </w:tblPr>
      <w:tblGrid>
        <w:gridCol w:w="1526"/>
        <w:gridCol w:w="1340"/>
        <w:gridCol w:w="1903"/>
      </w:tblGrid>
      <w:tr>
        <w:trPr/>
        <w:tc>
          <w:tcPr>
            <w:tcW w:w="1526"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loss for $0.3 million, related to capitalized features no longer expected to be used.</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The Company leases real estate from unrelated parties under operating lease agreements that have initial terms ranging from one year to 11 years. Some leases include one or more options to renew, generally at our sole discretion, of</w:t>
      </w:r>
      <w:r>
        <w:rPr>
          <w:color w:val="000000"/>
          <w:highlight w:val="white"/>
        </w:rPr>
        <w:t xml:space="preserve"> </w:t>
      </w:r>
      <w:r>
        <w:rPr>
          <w:rFonts w:ascii="Times New Roman;sans-serif" w:hAnsi="Times New Roman;sans-serif"/>
          <w:b w:val="false"/>
          <w:color w:val="000000"/>
          <w:sz w:val="20"/>
          <w:highlight w:val="white"/>
        </w:rPr>
        <w:t xml:space="preserve">five </w:t>
      </w:r>
      <w:r>
        <w:rPr>
          <w:rFonts w:ascii="Times New Roman;sans-serif" w:hAnsi="Times New Roman;sans-serif"/>
          <w:b w:val="false"/>
          <w:color w:val="000000"/>
          <w:sz w:val="20"/>
        </w:rPr>
        <w:t xml:space="preserve">additional years each.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p>
      <w:pPr>
        <w:pStyle w:val="TextBody"/>
        <w:spacing w:before="0" w:after="0"/>
        <w:jc w:val="both"/>
        <w:rPr/>
      </w:pPr>
      <w:r>
        <w:rPr/>
      </w:r>
    </w:p>
    <w:tbl>
      <w:tblPr>
        <w:tblW w:w="4043" w:type="dxa"/>
        <w:jc w:val="left"/>
        <w:tblInd w:w="0" w:type="dxa"/>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54"/>
      </w:tblGrid>
      <w:tr>
        <w:trPr/>
        <w:tc>
          <w:tcPr>
            <w:tcW w:w="65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is as follows:</w:t>
      </w:r>
    </w:p>
    <w:p>
      <w:pPr>
        <w:pStyle w:val="TextBody"/>
        <w:spacing w:before="0" w:after="0"/>
        <w:rPr/>
      </w:pPr>
      <w:r>
        <w:rPr/>
      </w:r>
    </w:p>
    <w:tbl>
      <w:tblPr>
        <w:tblW w:w="7824" w:type="dxa"/>
        <w:jc w:val="left"/>
        <w:tblInd w:w="0" w:type="dxa"/>
        <w:tblCellMar>
          <w:top w:w="28" w:type="dxa"/>
          <w:left w:w="28" w:type="dxa"/>
          <w:bottom w:w="28" w:type="dxa"/>
          <w:right w:w="28" w:type="dxa"/>
        </w:tblCellMar>
      </w:tblPr>
      <w:tblGrid>
        <w:gridCol w:w="2023"/>
        <w:gridCol w:w="1774"/>
        <w:gridCol w:w="1783"/>
        <w:gridCol w:w="211"/>
        <w:gridCol w:w="616"/>
        <w:gridCol w:w="109"/>
        <w:gridCol w:w="109"/>
        <w:gridCol w:w="109"/>
        <w:gridCol w:w="109"/>
        <w:gridCol w:w="211"/>
        <w:gridCol w:w="616"/>
        <w:gridCol w:w="154"/>
      </w:tblGrid>
      <w:tr>
        <w:trPr/>
        <w:tc>
          <w:tcPr>
            <w:tcW w:w="2023" w:type="dxa"/>
            <w:tcBorders/>
            <w:shd w:fill="auto" w:val="clear"/>
            <w:vAlign w:val="center"/>
          </w:tcPr>
          <w:p>
            <w:pPr>
              <w:pStyle w:val="TableContents"/>
              <w:spacing w:before="0" w:after="283"/>
              <w:rPr>
                <w:sz w:val="4"/>
                <w:szCs w:val="4"/>
              </w:rPr>
            </w:pPr>
            <w:r>
              <w:rPr>
                <w:sz w:val="4"/>
                <w:szCs w:val="4"/>
              </w:rPr>
            </w:r>
          </w:p>
        </w:tc>
        <w:tc>
          <w:tcPr>
            <w:tcW w:w="1774"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5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measurement of lease liabilities: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 payments on operating leases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 obligations: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included in other non-current assets, accrued expenses and other and other non-current liabilities on the consolidated balance sheet, related to leases is as follows:</w:t>
      </w:r>
    </w:p>
    <w:p>
      <w:pPr>
        <w:pStyle w:val="TextBody"/>
        <w:spacing w:before="0" w:after="0"/>
        <w:rPr/>
      </w:pPr>
      <w:r>
        <w:rPr/>
      </w:r>
    </w:p>
    <w:tbl>
      <w:tblPr>
        <w:tblW w:w="5747" w:type="dxa"/>
        <w:jc w:val="left"/>
        <w:tblInd w:w="0" w:type="dxa"/>
        <w:tblCellMar>
          <w:top w:w="28" w:type="dxa"/>
          <w:left w:w="28" w:type="dxa"/>
          <w:bottom w:w="28" w:type="dxa"/>
          <w:right w:w="28" w:type="dxa"/>
        </w:tblCellMar>
      </w:tblPr>
      <w:tblGrid>
        <w:gridCol w:w="1113"/>
        <w:gridCol w:w="978"/>
        <w:gridCol w:w="983"/>
        <w:gridCol w:w="211"/>
        <w:gridCol w:w="721"/>
        <w:gridCol w:w="109"/>
        <w:gridCol w:w="109"/>
        <w:gridCol w:w="109"/>
        <w:gridCol w:w="109"/>
        <w:gridCol w:w="253"/>
        <w:gridCol w:w="867"/>
        <w:gridCol w:w="185"/>
      </w:tblGrid>
      <w:tr>
        <w:trPr/>
        <w:tc>
          <w:tcPr>
            <w:tcW w:w="1113"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At March 31, 2023 and December 31, 2022, the weighted average remaining lease term for operating leases was</w:t>
      </w:r>
      <w:r>
        <w:rPr>
          <w:color w:val="000000"/>
          <w:highlight w:val="white"/>
        </w:rPr>
        <w:t xml:space="preserve"> </w:t>
      </w:r>
      <w:r>
        <w:rPr>
          <w:rFonts w:ascii="Times New Roman;sans-serif" w:hAnsi="Times New Roman;sans-serif"/>
          <w:b w:val="false"/>
          <w:color w:val="000000"/>
          <w:sz w:val="20"/>
          <w:highlight w:val="white"/>
        </w:rPr>
        <w:t xml:space="preserve">6.19 years and 6.34 years, respectively, </w:t>
      </w:r>
      <w:r>
        <w:rPr>
          <w:rFonts w:ascii="Times New Roman;sans-serif" w:hAnsi="Times New Roman;sans-serif"/>
          <w:b w:val="false"/>
          <w:color w:val="000000"/>
          <w:sz w:val="20"/>
        </w:rPr>
        <w:t>and the weighted average discount rate w</w:t>
      </w:r>
      <w:r>
        <w:rPr>
          <w:rFonts w:ascii="Times New Roman;sans-serif" w:hAnsi="Times New Roman;sans-serif"/>
          <w:b w:val="false"/>
          <w:color w:val="000000"/>
          <w:sz w:val="20"/>
          <w:highlight w:val="white"/>
        </w:rPr>
        <w:t>as 4.8%.</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5"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tbl>
      <w:tblPr>
        <w:tblW w:w="4769" w:type="dxa"/>
        <w:jc w:val="left"/>
        <w:tblInd w:w="0" w:type="dxa"/>
        <w:tblCellMar>
          <w:top w:w="28" w:type="dxa"/>
          <w:left w:w="28" w:type="dxa"/>
          <w:bottom w:w="28" w:type="dxa"/>
          <w:right w:w="28" w:type="dxa"/>
        </w:tblCellMar>
      </w:tblPr>
      <w:tblGrid>
        <w:gridCol w:w="1526"/>
        <w:gridCol w:w="1340"/>
        <w:gridCol w:w="1903"/>
      </w:tblGrid>
      <w:tr>
        <w:trPr/>
        <w:tc>
          <w:tcPr>
            <w:tcW w:w="1526"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bl>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Future undiscounted cash flows for each of the next five years and thereafter and reconciliation to the lease liabilities recognized on the balance sheet as of March 31, 2023 is as follows (in thousands):</w:t>
      </w:r>
    </w:p>
    <w:p>
      <w:pPr>
        <w:pStyle w:val="TextBody"/>
        <w:spacing w:before="0" w:after="0"/>
        <w:jc w:val="both"/>
        <w:rPr/>
      </w:pPr>
      <w:r>
        <w:rPr/>
      </w:r>
    </w:p>
    <w:tbl>
      <w:tblPr>
        <w:tblW w:w="4251" w:type="dxa"/>
        <w:jc w:val="left"/>
        <w:tblInd w:w="0" w:type="dxa"/>
        <w:tblCellMar>
          <w:top w:w="28" w:type="dxa"/>
          <w:left w:w="28" w:type="dxa"/>
          <w:bottom w:w="28" w:type="dxa"/>
          <w:right w:w="28" w:type="dxa"/>
        </w:tblCellMar>
      </w:tblPr>
      <w:tblGrid>
        <w:gridCol w:w="1146"/>
        <w:gridCol w:w="1006"/>
        <w:gridCol w:w="1013"/>
        <w:gridCol w:w="211"/>
        <w:gridCol w:w="721"/>
        <w:gridCol w:w="154"/>
      </w:tblGrid>
      <w:tr>
        <w:trPr/>
        <w:tc>
          <w:tcPr>
            <w:tcW w:w="1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 ended December 31, </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year)</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present value of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Long-Term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w:t>
      </w:r>
    </w:p>
    <w:tbl>
      <w:tblPr>
        <w:tblW w:w="10539" w:type="dxa"/>
        <w:jc w:val="left"/>
        <w:tblInd w:w="0" w:type="dxa"/>
        <w:tblCellMar>
          <w:top w:w="28" w:type="dxa"/>
          <w:left w:w="28" w:type="dxa"/>
          <w:bottom w:w="28" w:type="dxa"/>
          <w:right w:w="28" w:type="dxa"/>
        </w:tblCellMar>
      </w:tblPr>
      <w:tblGrid>
        <w:gridCol w:w="2890"/>
        <w:gridCol w:w="2465"/>
        <w:gridCol w:w="2483"/>
        <w:gridCol w:w="211"/>
        <w:gridCol w:w="826"/>
        <w:gridCol w:w="109"/>
        <w:gridCol w:w="109"/>
        <w:gridCol w:w="109"/>
        <w:gridCol w:w="109"/>
        <w:gridCol w:w="217"/>
        <w:gridCol w:w="851"/>
        <w:gridCol w:w="160"/>
      </w:tblGrid>
      <w:tr>
        <w:trPr/>
        <w:tc>
          <w:tcPr>
            <w:tcW w:w="2890" w:type="dxa"/>
            <w:tcBorders/>
            <w:shd w:fill="auto" w:val="clear"/>
            <w:vAlign w:val="center"/>
          </w:tcPr>
          <w:p>
            <w:pPr>
              <w:pStyle w:val="TableContents"/>
              <w:spacing w:before="0" w:after="283"/>
              <w:rPr>
                <w:sz w:val="4"/>
                <w:szCs w:val="4"/>
              </w:rPr>
            </w:pPr>
            <w:r>
              <w:rPr>
                <w:sz w:val="4"/>
                <w:szCs w:val="4"/>
              </w:rPr>
            </w:r>
          </w:p>
        </w:tc>
        <w:tc>
          <w:tcPr>
            <w:tcW w:w="2465" w:type="dxa"/>
            <w:tcBorders/>
            <w:shd w:fill="auto" w:val="clear"/>
            <w:vAlign w:val="center"/>
          </w:tcPr>
          <w:p>
            <w:pPr>
              <w:pStyle w:val="TableContents"/>
              <w:spacing w:before="0" w:after="283"/>
              <w:rPr>
                <w:sz w:val="4"/>
                <w:szCs w:val="4"/>
              </w:rPr>
            </w:pPr>
            <w:r>
              <w:rPr>
                <w:sz w:val="4"/>
                <w:szCs w:val="4"/>
              </w:rPr>
            </w:r>
          </w:p>
        </w:tc>
        <w:tc>
          <w:tcPr>
            <w:tcW w:w="24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7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8"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color w:val="000000"/>
              </w:rPr>
              <w:t> </w:t>
            </w:r>
            <w:r>
              <w:rPr>
                <w:rFonts w:ascii="Times New Roman;sans-serif" w:hAnsi="Times New Roman;sans-serif"/>
                <w:b w:val="false"/>
                <w:color w:val="000000"/>
                <w:sz w:val="20"/>
              </w:rPr>
              <w:t>Term notes with interest payable monthly, interest rate at Adjusted LIBOR or Alternative Base Rate, plus an applicable mar</w:t>
            </w:r>
            <w:r>
              <w:rPr>
                <w:rFonts w:ascii="Times New Roman;sans-serif" w:hAnsi="Times New Roman;sans-serif"/>
                <w:b w:val="false"/>
                <w:color w:val="000000"/>
                <w:sz w:val="20"/>
                <w:highlight w:val="cyan"/>
              </w:rPr>
              <w:t xml:space="preserve">gin of 3.25% </w:t>
            </w:r>
            <w:r>
              <w:rPr>
                <w:rFonts w:ascii="Times New Roman;sans-serif" w:hAnsi="Times New Roman;sans-serif"/>
                <w:b w:val="false"/>
                <w:color w:val="000000"/>
                <w:sz w:val="20"/>
              </w:rPr>
              <w:t>(7.88%</w:t>
            </w:r>
            <w:r>
              <w:rPr>
                <w:color w:val="000000"/>
                <w:highlight w:val="cyan"/>
              </w:rPr>
              <w:t xml:space="preserve"> </w:t>
            </w:r>
            <w:r>
              <w:rPr>
                <w:rFonts w:ascii="Times New Roman;sans-serif" w:hAnsi="Times New Roman;sans-serif"/>
                <w:b w:val="false"/>
                <w:color w:val="000000"/>
                <w:sz w:val="20"/>
                <w:highlight w:val="cyan"/>
              </w:rPr>
              <w:t xml:space="preserve">at </w:t>
            </w:r>
            <w:r>
              <w:rPr>
                <w:rFonts w:ascii="Times New Roman;sans-serif" w:hAnsi="Times New Roman;sans-serif"/>
                <w:b w:val="false"/>
                <w:color w:val="000000"/>
                <w:sz w:val="20"/>
              </w:rPr>
              <w:t>March 31, 2023) quarterly principal payments of 0.25% of original principal balance with balloon payment due July 2028</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543,125 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8"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Revolver with interest payable monthly, interest rate at Adjusted LIBOR or Alternative Base Rate, plus an applicable margin of 3.25%</w:t>
            </w:r>
            <w:r>
              <w:rPr>
                <w:color w:val="000000"/>
                <w:highlight w:val="white"/>
              </w:rPr>
              <w:t xml:space="preserve"> </w:t>
            </w:r>
            <w:r>
              <w:rPr>
                <w:rFonts w:ascii="Times New Roman;sans-serif" w:hAnsi="Times New Roman;sans-serif"/>
                <w:b w:val="false"/>
                <w:color w:val="000000"/>
                <w:sz w:val="20"/>
                <w:highlight w:val="white"/>
              </w:rPr>
              <w:t>(</w:t>
            </w:r>
            <w:r>
              <w:rPr>
                <w:rFonts w:ascii="Times New Roman;sans-serif" w:hAnsi="Times New Roman;sans-serif"/>
                <w:b w:val="false"/>
                <w:color w:val="000000"/>
                <w:sz w:val="20"/>
              </w:rPr>
              <w:t>8.09%</w:t>
            </w:r>
            <w:r>
              <w:rPr>
                <w:color w:val="000000"/>
                <w:highlight w:val="white"/>
              </w:rPr>
              <w:t xml:space="preserve"> </w:t>
            </w:r>
            <w:r>
              <w:rPr>
                <w:rFonts w:ascii="Times New Roman;sans-serif" w:hAnsi="Times New Roman;sans-serif"/>
                <w:b w:val="false"/>
                <w:color w:val="000000"/>
                <w:sz w:val="20"/>
                <w:highlight w:val="white"/>
              </w:rPr>
              <w:t xml:space="preserve">at </w:t>
            </w:r>
            <w:r>
              <w:rPr>
                <w:rFonts w:ascii="Times New Roman;sans-serif" w:hAnsi="Times New Roman;sans-serif"/>
                <w:b w:val="false"/>
                <w:color w:val="000000"/>
                <w:sz w:val="20"/>
              </w:rPr>
              <w:t>March 31, 2023), and outstanding balance due July 2026</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debt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543,125 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on long-term debt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on long-term debt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536,446 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3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530,946 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Company agreed to two term loans for an aggregate principal amount of $550.0 million (“Term Loans”), a revolver with a capacity of $190.0 million (“Revolver”) and a sub-limit of the Revolver available for letters of credit up to an aggregate face amount of $20.0 million. These debt arrangements are collectively referred to herein as the (“Credit Facilities”).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fair value of long-term debt based on trading prices for its debt if available. As of March 31, 2023, the Company obtained trading prices for the term notes outstanding. However, as such trading prices require significant unobservable inputs to the pricing model, such instruments are classified as Level 2. If no such trading prices are available, the Company determines the fair value of long-term debt using discounted cash flows, applying current interest rates and current credit spreads, based on its own credit risk. The fair value amounts were approximately $535.0 million and $531.6 million as of March 31, 2023 and December 31, 2022, respectively.</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6"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tbl>
      <w:tblPr>
        <w:tblW w:w="4769" w:type="dxa"/>
        <w:jc w:val="left"/>
        <w:tblInd w:w="0" w:type="dxa"/>
        <w:tblCellMar>
          <w:top w:w="28" w:type="dxa"/>
          <w:left w:w="28" w:type="dxa"/>
          <w:bottom w:w="28" w:type="dxa"/>
          <w:right w:w="28" w:type="dxa"/>
        </w:tblCellMar>
      </w:tblPr>
      <w:tblGrid>
        <w:gridCol w:w="1526"/>
        <w:gridCol w:w="1340"/>
        <w:gridCol w:w="1903"/>
      </w:tblGrid>
      <w:tr>
        <w:trPr/>
        <w:tc>
          <w:tcPr>
            <w:tcW w:w="1526"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October 31, 2022, the Company entered into an interest rate swap agreement in connection with the Company’s Credit Facilities for a notional amount of $200.0 million to convert a portion of the Term Loans from a floating rate to a fixed rate. The swap agreement has a term of five years with a fixed rate in the agreement of 4.2295%. Additionally, effective March 31, 2023, the Company entered into a second interest rate swap agreement in connection with the Company’s Credit Facilities for a notional amount of $100.0 million to convert a portion of the Term Loans from a floating rate to a fixed rate. This swap agreement has a term of approximately 4.5 years with a fixed rate in the agreement of 3.9690% (the “Swap Agreements”).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Swap Agreements are accounted for as derivatives whereby the fair value of the contracts are reported in other non-current assets or other non-current liabilities on the consolidated balance sheet, and gains and losses resulting from changes in the fair value are reported in interest and other expense, net, in the statement of operations and comprehensive loss. As of March 31, 2023 the fair value of the Swap Agreements was a liability of $7.1 million and reported in other non-current liabilities on the condensed consolidated balance sheet.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Credit Facilities are subject to certain financial and nonfinancial covenants and are secured by substantially all assets of the Company. As of March 31, 2023, the Company was in compliance with all of its covenants.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Aggregate maturities of the Company’s debt for the years ending December 31 are as follows as of March 31, 2023 (in thousands):</w:t>
      </w:r>
    </w:p>
    <w:tbl>
      <w:tblPr>
        <w:tblW w:w="5330" w:type="dxa"/>
        <w:jc w:val="left"/>
        <w:tblInd w:w="0" w:type="dxa"/>
        <w:tblCellMar>
          <w:top w:w="28" w:type="dxa"/>
          <w:left w:w="28" w:type="dxa"/>
          <w:bottom w:w="28" w:type="dxa"/>
          <w:right w:w="28" w:type="dxa"/>
        </w:tblCellMar>
      </w:tblPr>
      <w:tblGrid>
        <w:gridCol w:w="1502"/>
        <w:gridCol w:w="1315"/>
        <w:gridCol w:w="1322"/>
        <w:gridCol w:w="211"/>
        <w:gridCol w:w="826"/>
        <w:gridCol w:w="154"/>
      </w:tblGrid>
      <w:tr>
        <w:trPr/>
        <w:tc>
          <w:tcPr>
            <w:tcW w:w="1502"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year)</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aggregate maturities of the Company’s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Equity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6, 2021, the Company filed an Amended and Restated Certificate of Incorporation with the Secretary of State of the State of Delaware to authorize the issuance up to 2,050,000,000 shares, par value $0.00001 per share, consisting of 2,000,000,000 shares of common stock and 50,000,000 shares of preferred stock.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On June 14, 2022, our Board of Directors approved a stock repurchase program (the “Repurchase Program”) wi</w:t>
      </w:r>
      <w:r>
        <w:rPr>
          <w:rFonts w:ascii="Times New Roman;sans-serif" w:hAnsi="Times New Roman;sans-serif"/>
          <w:b w:val="false"/>
          <w:color w:val="000000"/>
          <w:sz w:val="20"/>
          <w:highlight w:val="white"/>
        </w:rPr>
        <w:t xml:space="preserve">th authorization to purchase up to $50.0 million in shares of the Company’s common stock through the expiration of the program on December 21, 2022. Repurchases under the program may be made in the open market, in privately negotiated transactions or otherwise, with the amount and timing of repurchases to be determined at the Company’s discretion, depending on market conditions and corporate needs. This program does not obligate the Company to acquire any particular amount of common stock and may be modified, suspended or terminated at any time at the discretion of the Board of Directors. The Company expects to fund repurchases with existing cash on hand. </w:t>
      </w:r>
      <w:r>
        <w:rPr>
          <w:rFonts w:ascii="Times New Roman;sans-serif" w:hAnsi="Times New Roman;sans-serif"/>
          <w:b w:val="false"/>
          <w:color w:val="000000"/>
          <w:sz w:val="20"/>
        </w:rPr>
        <w:t>On November 7, 2022, our Board of Directors approved an expansion of the Repurchase Program with authorization to purchase up to an additional $50.0 million in shares of the Company’s common stock ($100.0 million total) and an extension to the expiration of the Repurchase Program through December 31, 2023.</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7"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tbl>
      <w:tblPr>
        <w:tblW w:w="4769" w:type="dxa"/>
        <w:jc w:val="left"/>
        <w:tblInd w:w="0" w:type="dxa"/>
        <w:tblCellMar>
          <w:top w:w="28" w:type="dxa"/>
          <w:left w:w="28" w:type="dxa"/>
          <w:bottom w:w="28" w:type="dxa"/>
          <w:right w:w="28" w:type="dxa"/>
        </w:tblCellMar>
      </w:tblPr>
      <w:tblGrid>
        <w:gridCol w:w="1526"/>
        <w:gridCol w:w="1340"/>
        <w:gridCol w:w="1903"/>
      </w:tblGrid>
      <w:tr>
        <w:trPr/>
        <w:tc>
          <w:tcPr>
            <w:tcW w:w="1526"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bl>
    <w:p>
      <w:pPr>
        <w:pStyle w:val="TextBody"/>
        <w:spacing w:lineRule="auto" w:line="288" w:before="0" w:after="0"/>
        <w:jc w:val="both"/>
        <w:rPr/>
      </w:pPr>
      <w:r>
        <w:rPr>
          <w:rFonts w:ascii="Times New Roman;sans-serif" w:hAnsi="Times New Roman;sans-serif"/>
          <w:b w:val="false"/>
          <w:color w:val="000000"/>
          <w:sz w:val="20"/>
          <w:highlight w:val="white"/>
        </w:rPr>
        <w:t>The Company repurchased and retired 3.1 million shares of common stock for $29.6 million, including transaction fees, d</w:t>
      </w:r>
      <w:r>
        <w:rPr>
          <w:rFonts w:ascii="Times New Roman;sans-serif" w:hAnsi="Times New Roman;sans-serif"/>
          <w:b w:val="false"/>
          <w:color w:val="000000"/>
          <w:sz w:val="20"/>
        </w:rPr>
        <w:t>uring the three months ended March 31, 2023. As of March 31, 2023, $27.6 million remains available under the Repurchase Program.</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Stock-Based Compensation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In connection with the IPO, the Company’s board of directors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of directors, provided that no more than 22,000,000 shares may be issued upon the exercise of incentive stock options. Based on the Company’s outstanding shares of common stock as of December 31, 2022, as of January 1, 2023 the number of shares reserved for issuance under the 2021 Plan increased by 5.7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the Company’s board of directors adopted the 2021 Employee Stock Purchase Plan (the “ESPP”). For more information on the ESPP, refer to Note 12 in the Annual Report on Form 10-K.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restricted stock unit (“RSU”) and stock option activity for the three months ended March 31, 2023:</w:t>
      </w:r>
    </w:p>
    <w:tbl>
      <w:tblPr>
        <w:tblW w:w="5066" w:type="dxa"/>
        <w:jc w:val="left"/>
        <w:tblInd w:w="0" w:type="dxa"/>
        <w:tblCellMar>
          <w:top w:w="28" w:type="dxa"/>
          <w:left w:w="28" w:type="dxa"/>
          <w:bottom w:w="28" w:type="dxa"/>
          <w:right w:w="28" w:type="dxa"/>
        </w:tblCellMar>
      </w:tblPr>
      <w:tblGrid>
        <w:gridCol w:w="1043"/>
        <w:gridCol w:w="915"/>
        <w:gridCol w:w="921"/>
        <w:gridCol w:w="308"/>
        <w:gridCol w:w="308"/>
        <w:gridCol w:w="186"/>
        <w:gridCol w:w="109"/>
        <w:gridCol w:w="109"/>
        <w:gridCol w:w="109"/>
        <w:gridCol w:w="360"/>
        <w:gridCol w:w="361"/>
        <w:gridCol w:w="337"/>
      </w:tblGrid>
      <w:tr>
        <w:trPr/>
        <w:tc>
          <w:tcPr>
            <w:tcW w:w="1043"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Options</w:t>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2023</w:t>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16,937 </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or exercised</w:t>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or forfeited</w:t>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2023</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16,756 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total unrecognized compensation expense was $40.9 million and $18.1 million related to outstanding restricted stock units and outstanding stock options, respectively.</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8"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tbl>
      <w:tblPr>
        <w:tblW w:w="4769" w:type="dxa"/>
        <w:jc w:val="left"/>
        <w:tblInd w:w="0" w:type="dxa"/>
        <w:tblCellMar>
          <w:top w:w="28" w:type="dxa"/>
          <w:left w:w="28" w:type="dxa"/>
          <w:bottom w:w="28" w:type="dxa"/>
          <w:right w:w="28" w:type="dxa"/>
        </w:tblCellMar>
      </w:tblPr>
      <w:tblGrid>
        <w:gridCol w:w="1526"/>
        <w:gridCol w:w="1340"/>
        <w:gridCol w:w="1903"/>
      </w:tblGrid>
      <w:tr>
        <w:trPr/>
        <w:tc>
          <w:tcPr>
            <w:tcW w:w="1526"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was classified in the unaudited condensed consolidated statements of operations and comprehensive loss as follows:</w:t>
      </w:r>
    </w:p>
    <w:tbl>
      <w:tblPr>
        <w:tblW w:w="6790" w:type="dxa"/>
        <w:jc w:val="left"/>
        <w:tblInd w:w="0" w:type="dxa"/>
        <w:tblCellMar>
          <w:top w:w="28" w:type="dxa"/>
          <w:left w:w="28" w:type="dxa"/>
          <w:bottom w:w="28" w:type="dxa"/>
          <w:right w:w="28" w:type="dxa"/>
        </w:tblCellMar>
      </w:tblPr>
      <w:tblGrid>
        <w:gridCol w:w="1246"/>
        <w:gridCol w:w="1100"/>
        <w:gridCol w:w="1104"/>
        <w:gridCol w:w="109"/>
        <w:gridCol w:w="109"/>
        <w:gridCol w:w="171"/>
        <w:gridCol w:w="171"/>
        <w:gridCol w:w="332"/>
        <w:gridCol w:w="969"/>
        <w:gridCol w:w="171"/>
        <w:gridCol w:w="109"/>
        <w:gridCol w:w="109"/>
        <w:gridCol w:w="109"/>
        <w:gridCol w:w="211"/>
        <w:gridCol w:w="616"/>
        <w:gridCol w:w="154"/>
      </w:tblGrid>
      <w:tr>
        <w:trPr/>
        <w:tc>
          <w:tcPr>
            <w:tcW w:w="1246"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4"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4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78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Net Loss Per Share Attributable to Common Stockholders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net loss per share for the Company’s common stock as of:</w:t>
      </w:r>
    </w:p>
    <w:tbl>
      <w:tblPr>
        <w:tblW w:w="10539" w:type="dxa"/>
        <w:jc w:val="left"/>
        <w:tblInd w:w="0" w:type="dxa"/>
        <w:tblCellMar>
          <w:top w:w="28" w:type="dxa"/>
          <w:left w:w="28" w:type="dxa"/>
          <w:bottom w:w="28" w:type="dxa"/>
          <w:right w:w="28" w:type="dxa"/>
        </w:tblCellMar>
      </w:tblPr>
      <w:tblGrid>
        <w:gridCol w:w="2500"/>
        <w:gridCol w:w="1957"/>
        <w:gridCol w:w="1963"/>
        <w:gridCol w:w="109"/>
        <w:gridCol w:w="109"/>
        <w:gridCol w:w="129"/>
        <w:gridCol w:w="129"/>
        <w:gridCol w:w="409"/>
        <w:gridCol w:w="1171"/>
        <w:gridCol w:w="161"/>
        <w:gridCol w:w="132"/>
        <w:gridCol w:w="132"/>
        <w:gridCol w:w="132"/>
        <w:gridCol w:w="301"/>
        <w:gridCol w:w="1013"/>
        <w:gridCol w:w="192"/>
      </w:tblGrid>
      <w:tr>
        <w:trPr/>
        <w:tc>
          <w:tcPr>
            <w:tcW w:w="2500" w:type="dxa"/>
            <w:tcBorders/>
            <w:shd w:fill="auto" w:val="clear"/>
            <w:vAlign w:val="center"/>
          </w:tcPr>
          <w:p>
            <w:pPr>
              <w:pStyle w:val="TableContents"/>
              <w:spacing w:before="0" w:after="283"/>
              <w:rPr>
                <w:sz w:val="4"/>
                <w:szCs w:val="4"/>
              </w:rPr>
            </w:pPr>
            <w:r>
              <w:rPr>
                <w:sz w:val="4"/>
                <w:szCs w:val="4"/>
              </w:rPr>
            </w:r>
          </w:p>
        </w:tc>
        <w:tc>
          <w:tcPr>
            <w:tcW w:w="1957" w:type="dxa"/>
            <w:tcBorders/>
            <w:shd w:fill="auto" w:val="clear"/>
            <w:vAlign w:val="center"/>
          </w:tcPr>
          <w:p>
            <w:pPr>
              <w:pStyle w:val="TableContents"/>
              <w:spacing w:before="0" w:after="283"/>
              <w:rPr>
                <w:sz w:val="4"/>
                <w:szCs w:val="4"/>
              </w:rPr>
            </w:pPr>
            <w:r>
              <w:rPr>
                <w:sz w:val="4"/>
                <w:szCs w:val="4"/>
              </w:rPr>
            </w:r>
          </w:p>
        </w:tc>
        <w:tc>
          <w:tcPr>
            <w:tcW w:w="19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6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9"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902" w:type="dxa"/>
            <w:gridSpan w:val="6"/>
            <w:tcBorders/>
            <w:shd w:fill="auto" w:val="clear"/>
          </w:tcPr>
          <w:p>
            <w:pPr>
              <w:pStyle w:val="TableContents"/>
              <w:spacing w:before="0" w:after="283"/>
              <w:rPr>
                <w:sz w:val="4"/>
                <w:szCs w:val="4"/>
              </w:rPr>
            </w:pPr>
            <w:r>
              <w:rPr>
                <w:sz w:val="4"/>
                <w:szCs w:val="4"/>
              </w:rPr>
            </w:r>
          </w:p>
        </w:tc>
      </w:tr>
      <w:tr>
        <w:trPr/>
        <w:tc>
          <w:tcPr>
            <w:tcW w:w="6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64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c>
      </w:tr>
      <w:tr>
        <w:trPr/>
        <w:tc>
          <w:tcPr>
            <w:tcW w:w="6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741"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r>
      <w:tr>
        <w:trPr/>
        <w:tc>
          <w:tcPr>
            <w:tcW w:w="64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741"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r>
      <w:tr>
        <w:trPr/>
        <w:tc>
          <w:tcPr>
            <w:tcW w:w="64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741"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r>
      <w:tr>
        <w:trPr/>
        <w:tc>
          <w:tcPr>
            <w:tcW w:w="64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741"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r>
      <w:tr>
        <w:trPr/>
        <w:tc>
          <w:tcPr>
            <w:tcW w:w="64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741"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r>
      <w:tr>
        <w:trPr/>
        <w:tc>
          <w:tcPr>
            <w:tcW w:w="64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741"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basic and diluted EPS – net loss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(20,775)</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and diluted EPS – weighted-average shares of common stock outstanding used in computing net loss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190,042,673 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195,432,404 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7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40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61"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92"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potentially dilutive common stock equivalents have been excluded from the computation of diluted net loss per share attributable to common stockholders for the periods presented due to their anti-dilutive effect as of:</w:t>
      </w:r>
    </w:p>
    <w:tbl>
      <w:tblPr>
        <w:tblW w:w="8511" w:type="dxa"/>
        <w:jc w:val="left"/>
        <w:tblInd w:w="0" w:type="dxa"/>
        <w:tblCellMar>
          <w:top w:w="28" w:type="dxa"/>
          <w:left w:w="28" w:type="dxa"/>
          <w:bottom w:w="28" w:type="dxa"/>
          <w:right w:w="28" w:type="dxa"/>
        </w:tblCellMar>
      </w:tblPr>
      <w:tblGrid>
        <w:gridCol w:w="2033"/>
        <w:gridCol w:w="1783"/>
        <w:gridCol w:w="1793"/>
        <w:gridCol w:w="540"/>
        <w:gridCol w:w="541"/>
        <w:gridCol w:w="176"/>
        <w:gridCol w:w="109"/>
        <w:gridCol w:w="109"/>
        <w:gridCol w:w="109"/>
        <w:gridCol w:w="540"/>
        <w:gridCol w:w="541"/>
        <w:gridCol w:w="237"/>
      </w:tblGrid>
      <w:tr>
        <w:trPr/>
        <w:tc>
          <w:tcPr>
            <w:tcW w:w="2033"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179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5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to purchase common stock and unvested RSUs</w:t>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21,245,514 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19,690,100 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8" w:type="dxa"/>
            <w:gridSpan w:val="3"/>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outstanding potential common stock</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21,245,514 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19,690,100 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Fair Value of Financial Instruments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9"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tbl>
      <w:tblPr>
        <w:tblW w:w="4769" w:type="dxa"/>
        <w:jc w:val="left"/>
        <w:tblInd w:w="0" w:type="dxa"/>
        <w:tblCellMar>
          <w:top w:w="28" w:type="dxa"/>
          <w:left w:w="28" w:type="dxa"/>
          <w:bottom w:w="28" w:type="dxa"/>
          <w:right w:w="28" w:type="dxa"/>
        </w:tblCellMar>
      </w:tblPr>
      <w:tblGrid>
        <w:gridCol w:w="1526"/>
        <w:gridCol w:w="1340"/>
        <w:gridCol w:w="1903"/>
      </w:tblGrid>
      <w:tr>
        <w:trPr/>
        <w:tc>
          <w:tcPr>
            <w:tcW w:w="1526"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 significantly affect estimated fair value.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Level 1:</w:t>
      </w:r>
      <w:r>
        <w:rPr>
          <w:color w:val="000000"/>
        </w:rPr>
        <w:t xml:space="preserve"> </w:t>
      </w:r>
      <w:r>
        <w:rPr>
          <w:rFonts w:ascii="Times New Roman;sans-serif" w:hAnsi="Times New Roman;sans-serif"/>
          <w:b w:val="false"/>
          <w:color w:val="000000"/>
          <w:sz w:val="20"/>
        </w:rPr>
        <w:t xml:space="preserve">Valuations based on quoted prices in active markets for identical assets or liabilities that an entity has the ability to access.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Level 2:</w:t>
      </w:r>
      <w:r>
        <w:rPr>
          <w:color w:val="000000"/>
        </w:rPr>
        <w:t xml:space="preserve"> </w:t>
      </w:r>
      <w:r>
        <w:rPr>
          <w:rFonts w:ascii="Times New Roman;sans-serif" w:hAnsi="Times New Roman;sans-serif"/>
          <w:b w:val="false"/>
          <w:color w:val="000000"/>
          <w:sz w:val="20"/>
        </w:rPr>
        <w:t>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 The Company has no assets or liabilities valued with Level 2 inputs.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Level 3:</w:t>
      </w:r>
      <w:r>
        <w:rPr>
          <w:color w:val="000000"/>
        </w:rPr>
        <w:t xml:space="preserve"> </w:t>
      </w:r>
      <w:r>
        <w:rPr>
          <w:rFonts w:ascii="Times New Roman;sans-serif" w:hAnsi="Times New Roman;sans-serif"/>
          <w:b w:val="false"/>
          <w:color w:val="000000"/>
          <w:sz w:val="20"/>
        </w:rPr>
        <w:t xml:space="preserve">Valuations based on inputs that are supported by little or no market activity and that are significant to the fair value of the assets or liabilities.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cash and cash equivalents, accounts receivable, contract assets and accounts payable approximate their fair value because of the short-term nature of these instruments.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fair value measurement levels during the three months ended March 31, 2023 or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financial assets and liabilities measured at fair value on a recurring basis as of:</w:t>
      </w:r>
    </w:p>
    <w:tbl>
      <w:tblPr>
        <w:tblW w:w="8974" w:type="dxa"/>
        <w:jc w:val="left"/>
        <w:tblInd w:w="0" w:type="dxa"/>
        <w:tblCellMar>
          <w:top w:w="28" w:type="dxa"/>
          <w:left w:w="28" w:type="dxa"/>
          <w:bottom w:w="28" w:type="dxa"/>
          <w:right w:w="28" w:type="dxa"/>
        </w:tblCellMar>
      </w:tblPr>
      <w:tblGrid>
        <w:gridCol w:w="574"/>
        <w:gridCol w:w="505"/>
        <w:gridCol w:w="511"/>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616"/>
        <w:gridCol w:w="109"/>
        <w:gridCol w:w="109"/>
        <w:gridCol w:w="109"/>
        <w:gridCol w:w="109"/>
        <w:gridCol w:w="741"/>
        <w:gridCol w:w="741"/>
        <w:gridCol w:w="1052"/>
      </w:tblGrid>
      <w:tr>
        <w:trPr/>
        <w:tc>
          <w:tcPr>
            <w:tcW w:w="574"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3"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Classification</w:t>
            </w:r>
          </w:p>
        </w:tc>
      </w:tr>
      <w:tr>
        <w:trPr/>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r>
      <w:tr>
        <w:trPr/>
        <w:tc>
          <w:tcPr>
            <w:tcW w:w="15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Liability:</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r>
    </w:tbl>
    <w:tbl>
      <w:tblPr>
        <w:tblW w:w="8899" w:type="dxa"/>
        <w:jc w:val="left"/>
        <w:tblInd w:w="0" w:type="dxa"/>
        <w:tblCellMar>
          <w:top w:w="28" w:type="dxa"/>
          <w:left w:w="28" w:type="dxa"/>
          <w:bottom w:w="28" w:type="dxa"/>
          <w:right w:w="28" w:type="dxa"/>
        </w:tblCellMar>
      </w:tblPr>
      <w:tblGrid>
        <w:gridCol w:w="547"/>
        <w:gridCol w:w="481"/>
        <w:gridCol w:w="487"/>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616"/>
        <w:gridCol w:w="109"/>
        <w:gridCol w:w="109"/>
        <w:gridCol w:w="109"/>
        <w:gridCol w:w="109"/>
        <w:gridCol w:w="741"/>
        <w:gridCol w:w="741"/>
        <w:gridCol w:w="1052"/>
      </w:tblGrid>
      <w:tr>
        <w:trPr/>
        <w:tc>
          <w:tcPr>
            <w:tcW w:w="547"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3"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Classification</w:t>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Liability:</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r>
    </w:tbl>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Income Taxes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in interim periods is based on our estimated annual effective tax rate. We record cumulative adjustments in the quarter in which a change in the estimated annual effective rate is determined.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20"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tbl>
      <w:tblPr>
        <w:tblW w:w="4769" w:type="dxa"/>
        <w:jc w:val="left"/>
        <w:tblInd w:w="0" w:type="dxa"/>
        <w:tblCellMar>
          <w:top w:w="28" w:type="dxa"/>
          <w:left w:w="28" w:type="dxa"/>
          <w:bottom w:w="28" w:type="dxa"/>
          <w:right w:w="28" w:type="dxa"/>
        </w:tblCellMar>
      </w:tblPr>
      <w:tblGrid>
        <w:gridCol w:w="1526"/>
        <w:gridCol w:w="1340"/>
        <w:gridCol w:w="1903"/>
      </w:tblGrid>
      <w:tr>
        <w:trPr/>
        <w:tc>
          <w:tcPr>
            <w:tcW w:w="1526"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EverCommerce Inc.</w:t>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benefit (expense) was ($0.3 million) and $5.7 million for the three months ended March 31, 2023 and 2022, respectively. Our effective income tax rate was (1.5%) and 30.1% for the three months ended March 31, 2023 and 2022, respectively.</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in the effective income tax rate for the three months ended March 31, 2023 as compared to the corresponding period in 2022 was primarily driven by discrete items, including a California law change and an intercompany intellectual property sale, in the three months ended March 31, 2022.</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15. Commitments and Contingencies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non-cancelable contractual purchase obligations incurred in the normal course of business to help deliver our services and products and provide support to our customers. These contracts with vendors primarily relate to software service, targeted mail costs, third party fulfillment costs and software hosting. Unrecognized future minimum payments due under these agreements are as follows (in thousands):</w:t>
      </w:r>
    </w:p>
    <w:tbl>
      <w:tblPr>
        <w:tblW w:w="4160" w:type="dxa"/>
        <w:jc w:val="left"/>
        <w:tblInd w:w="0" w:type="dxa"/>
        <w:tblCellMar>
          <w:top w:w="28" w:type="dxa"/>
          <w:left w:w="28" w:type="dxa"/>
          <w:bottom w:w="28" w:type="dxa"/>
          <w:right w:w="28" w:type="dxa"/>
        </w:tblCellMar>
      </w:tblPr>
      <w:tblGrid>
        <w:gridCol w:w="1113"/>
        <w:gridCol w:w="977"/>
        <w:gridCol w:w="984"/>
        <w:gridCol w:w="211"/>
        <w:gridCol w:w="721"/>
        <w:gridCol w:w="154"/>
      </w:tblGrid>
      <w:tr>
        <w:trPr/>
        <w:tc>
          <w:tcPr>
            <w:tcW w:w="1113"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year)</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payments due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or operating results.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the applicability of nexus in jurisdictions in which the Company sells products and services. As of March 31, 2023 and December 31, 2022, the Company recorded a liability in the amount of $11.1 million and $11.2 million, respectively, within current liabilities and other long-term liabilities as a provision for sales and use, gross receipts and goods and services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16. Geographic Areas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long-lived assets by geographic area as of:</w:t>
      </w:r>
    </w:p>
    <w:tbl>
      <w:tblPr>
        <w:tblW w:w="3872" w:type="dxa"/>
        <w:jc w:val="left"/>
        <w:tblInd w:w="0" w:type="dxa"/>
        <w:tblCellMar>
          <w:top w:w="28" w:type="dxa"/>
          <w:left w:w="28" w:type="dxa"/>
          <w:bottom w:w="28" w:type="dxa"/>
          <w:right w:w="28" w:type="dxa"/>
        </w:tblCellMar>
      </w:tblPr>
      <w:tblGrid>
        <w:gridCol w:w="435"/>
        <w:gridCol w:w="381"/>
        <w:gridCol w:w="383"/>
        <w:gridCol w:w="211"/>
        <w:gridCol w:w="721"/>
        <w:gridCol w:w="109"/>
        <w:gridCol w:w="109"/>
        <w:gridCol w:w="109"/>
        <w:gridCol w:w="109"/>
        <w:gridCol w:w="253"/>
        <w:gridCol w:w="867"/>
        <w:gridCol w:w="185"/>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1"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requires otherwise, references in this Quarterly Report on Form 10-Q to "EverCommerce," the “Company,” “we,” “us” and “our” refer to EverCommerce Inc. and its consolidated subsidiaries.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Annual Report on Form 10-K for the year ended December 31, 2022 (the “Annual Report on Form 10-K”) filed with the Securities and Exchange Commission (“SEC”) on March 16, 2023. Additionally, our historical results are not necessarily indicative of the results that may be expected for any period in the future.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Today, we serve more than 685,000 customers across three core verticals: Home Services; Health Services; and Fitness &amp; Wellness Services. Within our core verticals, our customers operate within numerous micro-verticals, ranging from home service professionals, such as home improvement contractors and home maintenance technicians, to physician practices and therapists within Health Services, to personal trainers and salon owners within Fitness &amp; Wellness. Our platform provides vertically-tailored SaaS solutions that address service SMBs’ increasingly specialized demands, as well as highly complementary solutions that complete end-to-end offerings, allowing service SMBs and EverCommerce to succeed in the market, and provide end consumers more convenient service experiences.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end-to-end solutions. These solutions focus on addressing how service SMBs market their services, streamline operations and retain and engage their customers. </w:t>
      </w:r>
    </w:p>
    <w:p>
      <w:pPr>
        <w:pStyle w:val="TextBody"/>
        <w:spacing w:before="0" w:after="0"/>
        <w:jc w:val="both"/>
        <w:rPr/>
      </w:pPr>
      <w:r>
        <w:rPr/>
      </w:r>
    </w:p>
    <w:p>
      <w:pPr>
        <w:pStyle w:val="TextBody"/>
        <w:spacing w:lineRule="auto" w:line="288" w:before="0" w:after="0"/>
        <w:ind w:left="0" w:right="0" w:hanging="180"/>
        <w:jc w:val="both"/>
        <w:rPr/>
      </w:pPr>
      <w:r>
        <w:rPr>
          <w:color w:val="000000"/>
        </w:rPr>
        <w:t>•</w:t>
      </w:r>
      <w:r>
        <w:rPr>
          <w:rFonts w:ascii="Times New Roman;sans-serif" w:hAnsi="Times New Roman;sans-serif"/>
          <w:b/>
          <w:i/>
          <w:color w:val="000000"/>
          <w:sz w:val="20"/>
        </w:rPr>
        <w:t xml:space="preserve">Business Management Software: </w:t>
      </w:r>
      <w:r>
        <w:rPr>
          <w:rFonts w:ascii="Times New Roman;sans-serif" w:hAnsi="Times New Roman;sans-serif"/>
          <w:b w:val="false"/>
          <w:color w:val="000000"/>
          <w:sz w:val="20"/>
        </w:rPr>
        <w:t xml:space="preserve">Our vertically-tailored Business Management Software is the system of action at the center of a service business’s 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 </w:t>
      </w:r>
    </w:p>
    <w:p>
      <w:pPr>
        <w:pStyle w:val="TextBody"/>
        <w:spacing w:before="0" w:after="0"/>
        <w:ind w:left="0" w:right="0" w:firstLine="180"/>
        <w:jc w:val="both"/>
        <w:rPr/>
      </w:pPr>
      <w:r>
        <w:rPr/>
      </w:r>
    </w:p>
    <w:p>
      <w:pPr>
        <w:pStyle w:val="TextBody"/>
        <w:spacing w:lineRule="auto" w:line="288" w:before="0" w:after="0"/>
        <w:ind w:left="0" w:right="0" w:hanging="180"/>
        <w:jc w:val="both"/>
        <w:rPr/>
      </w:pPr>
      <w:r>
        <w:rPr>
          <w:color w:val="000000"/>
        </w:rPr>
        <w:t>•</w:t>
      </w:r>
      <w:r>
        <w:rPr>
          <w:rFonts w:ascii="Times New Roman;sans-serif" w:hAnsi="Times New Roman;sans-serif"/>
          <w:b/>
          <w:i/>
          <w:color w:val="000000"/>
          <w:sz w:val="20"/>
        </w:rPr>
        <w:t xml:space="preserve">Billing &amp; Payment Solutions: </w:t>
      </w:r>
      <w:r>
        <w:rPr>
          <w:rFonts w:ascii="Times New Roman;sans-serif" w:hAnsi="Times New Roman;sans-serif"/>
          <w:b w:val="false"/>
          <w:color w:val="000000"/>
          <w:sz w:val="20"/>
        </w:rPr>
        <w:t xml:space="preserve">Our Billing &amp; Payment Solutions provide integrated payments, billing and invoicing automation and business intelligence and analytics. Our omni-channel payments capabilities include point-of-sale,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 </w:t>
      </w:r>
    </w:p>
    <w:p>
      <w:pPr>
        <w:pStyle w:val="TextBody"/>
        <w:spacing w:before="0" w:after="0"/>
        <w:ind w:left="0" w:right="0" w:firstLine="180"/>
        <w:jc w:val="both"/>
        <w:rPr/>
      </w:pPr>
      <w:r>
        <w:rPr/>
      </w:r>
    </w:p>
    <w:p>
      <w:pPr>
        <w:pStyle w:val="TextBody"/>
        <w:spacing w:lineRule="auto" w:line="288" w:before="0" w:after="0"/>
        <w:ind w:left="0" w:right="0" w:hanging="180"/>
        <w:jc w:val="both"/>
        <w:rPr/>
      </w:pPr>
      <w:r>
        <w:rPr>
          <w:color w:val="000000"/>
        </w:rPr>
        <w:t>•</w:t>
      </w:r>
      <w:r>
        <w:rPr>
          <w:rFonts w:ascii="Times New Roman;sans-serif" w:hAnsi="Times New Roman;sans-serif"/>
          <w:b/>
          <w:i/>
          <w:color w:val="000000"/>
          <w:sz w:val="20"/>
        </w:rPr>
        <w:t xml:space="preserve">Customer Experience Solutions: </w:t>
      </w:r>
      <w:r>
        <w:rPr>
          <w:rFonts w:ascii="Times New Roman;sans-serif" w:hAnsi="Times New Roman;sans-serif"/>
          <w:b w:val="false"/>
          <w:color w:val="000000"/>
          <w:sz w:val="20"/>
        </w:rPr>
        <w:t xml:space="preserve">Our Customer Experience Solutions modernize how businesses engage and interact with customers by leveraging 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the customer (“VoC”) insights and manage the customer experience lifecycle.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2"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applications include: customer health scoring, customer support systems, real-time alerts, NPS-based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pStyle w:val="TextBody"/>
        <w:spacing w:before="0" w:after="0"/>
        <w:ind w:left="0" w:right="0" w:firstLine="180"/>
        <w:jc w:val="both"/>
        <w:rPr/>
      </w:pPr>
      <w:r>
        <w:rPr/>
      </w:r>
    </w:p>
    <w:p>
      <w:pPr>
        <w:pStyle w:val="TextBody"/>
        <w:spacing w:lineRule="auto" w:line="288" w:before="0" w:after="0"/>
        <w:ind w:left="0" w:right="0" w:hanging="180"/>
        <w:jc w:val="both"/>
        <w:rPr/>
      </w:pPr>
      <w:r>
        <w:rPr>
          <w:color w:val="000000"/>
        </w:rPr>
        <w:t>•</w:t>
      </w:r>
      <w:r>
        <w:rPr>
          <w:rFonts w:ascii="Times New Roman;sans-serif" w:hAnsi="Times New Roman;sans-serif"/>
          <w:b/>
          <w:i/>
          <w:color w:val="000000"/>
          <w:sz w:val="20"/>
        </w:rPr>
        <w:t xml:space="preserve">Marketing Technology Solutions: </w:t>
      </w:r>
      <w:r>
        <w:rPr>
          <w:rFonts w:ascii="Times New Roman;sans-serif" w:hAnsi="Times New Roman;sans-serif"/>
          <w:b w:val="false"/>
          <w:color w:val="000000"/>
          <w:sz w:val="20"/>
        </w:rPr>
        <w:t>Our Marketing Technology Solutions work with our Customer Experience Solutions to help customers build their businesses by invigorating marketing operations and improving return on investment across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(“SEO”), paid search and display advertising, social media and blog automation, call tracking, review monitoring and marketplace lead generation, among others.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go to market with suites of solutions that are aligned to our three core verticals: (i) the EverPro suite of solutions in Home Services; (ii) the EverHealth suite of solutions within Health Services; and (iii) the EverWell suite of solutions in Fitness &amp; Wellness Services.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power the full scope of our customers’ businesses. This results in a self-reinforcing flywheel effect, enabling us to drive value for our customers and, in turn, improve customer stickiness, increase our market share and fuel our growth.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three types of revenue: (i) Subscription and Transaction Fees, which are primarily recurring revenue streams, (ii) Marketing Technology Solutions, which includes both recurring and re-occurring revenue streams and (iii) Other revenue which consists primarily of one-time revenue streams. Our recurring revenue generally consists of monthly, quarterly and annual software and maintenance subscriptions, transaction revenue associated with integrated payments and billing solutions and monthly contracts for Marketing Technology Solutions. Additionally, our re-occurring revenue includes revenue related to the sale of marketing campaigns and lead generation under contractual arrangements with customers.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Our business benefits from attractive unit economics. Approximately 95% of our revenue in the three months ended March 31, 2023 and 2022 was recurring or re-occurring, and we maintained an annualized net revenue retention rate of approximately 100%</w:t>
      </w:r>
      <w:r>
        <w:rPr>
          <w:color w:val="000000"/>
        </w:rPr>
        <w:t xml:space="preserve"> </w:t>
      </w:r>
      <w:r>
        <w:rPr>
          <w:rFonts w:ascii="Times New Roman;sans-serif" w:hAnsi="Times New Roman;sans-serif"/>
          <w:b w:val="false"/>
          <w:color w:val="000000"/>
          <w:sz w:val="20"/>
        </w:rPr>
        <w:t xml:space="preserve">for the quarter ended March 31, 2023.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our monthly net pro forma revenue retention rate for a particular month as the recurring or re-occurring revenue gained/lost from existing customers, less the recurring or re-occurring revenue lost from cancelled customers, as a percentage of total recurring or re-occurring revenue 12 months prior, divided by 12. For existing customers, we consider customers that existed 11 or more months prior to the current month and that do not have an end date (i.e., cancelled relationship) on or after the first day of the current month. For example, the recurring or re-occurring revenue gained/lost from existing customers in November 2022 is the difference between the recurring or re-occurring revenue generated in November 2022 and the same such revenue generated in November 2021, for customers with a start date prior to December 1, 2021 and no end date or cancelled relationship on or after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3"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November 1, 2022. For cancelled customers, we examine customers that cancelled their relationships on or after the first day of the month that is 12 months prior to the current month and before the first day of the current month. For example, the recurring or reoccurring revenue lost from cancelled customers in November 2022 is the difference between the recurring or re-occurring revenue generated in November 2022 and the same such revenue generated in November 2021, for customers that cancelled on or after November 1, 2021 and before November 1, 2022. Net pro forma revenue retention is calculated as if acquisitions that were closed during the prior period presented were closed on the first day of such period presented. Our calculation of net pro forma revenue retention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acquire companies to deepen our competitive moats in existing verticals, and enter new verticals and geographies. We have acquired 52 companies since our inception. We have an established framework for identification, execution, integration, and onboarding of targets, which leverages our significant acquisition experience and utilizes internal criteria for evaluating acquisition candidates and prospective businesses. We have developed and refined our internal criteria over time with our acquisitions, which has helped us to more readily identify attractive and complementary targets that can be efficiently onboarded. These acquired solutions can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Impact of Macroeconomic Climate</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macroeconomic climate continues to see pressure from global developments such as the COVID-19 pandemic, rising inflation, the strengthened US Dollar, rising interest rates and supply chain disruptions. These developments may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For more information regarding the potential impact of the COVID-19 pandemic on our business, refer to Part I. Item 1A. </w:t>
      </w:r>
      <w:r>
        <w:rPr>
          <w:color w:val="000000"/>
        </w:rPr>
        <w:t>“</w:t>
      </w:r>
      <w:r>
        <w:rPr>
          <w:rFonts w:ascii="Times New Roman;sans-serif" w:hAnsi="Times New Roman;sans-serif"/>
          <w:b w:val="false"/>
          <w:i/>
          <w:color w:val="000000"/>
          <w:sz w:val="20"/>
        </w:rPr>
        <w:t xml:space="preserve">Risk Factors—Risks Related to our Business—The COVID-19 pandemic has impacted, and a future pandemic, epidemic or outbreak of an infectious disease could impact, our business, financial condition and results of operations, as well as the business or operations of third parties with whom we conduct business” </w:t>
      </w:r>
      <w:r>
        <w:rPr>
          <w:rFonts w:ascii="Times New Roman;sans-serif" w:hAnsi="Times New Roman;sans-serif"/>
          <w:b w:val="false"/>
          <w:color w:val="000000"/>
          <w:sz w:val="20"/>
        </w:rPr>
        <w:t>in our Annual Report on Form 10-K.</w:t>
      </w:r>
    </w:p>
    <w:p>
      <w:pPr>
        <w:pStyle w:val="TextBody"/>
        <w:spacing w:before="0" w:after="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performance and future success depends on a number of factors that present significant opportunities for us but also pose risks and challenges. For discussion of these factors, please see “Key Factors Affecting Our Performance” in the Management’s Discussion and Analysis section of our Annual Report on Form 10-K.</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4"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Key Business and Financial Metrics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results and measures of performance determined in accordance with Generally Accepted Accounting Principals (“GAAP”), we believe the following key business and non-GAAP financial measures are useful in evaluating and comparing our financial and operational performance over multiple periods, identifying trends affecting our business, formulating business plans and making strategic decisions.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 Forma Revenue Growth Rate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 Forma Revenue Growth Rate is a key performance measure that our management uses to assess our consolidated operating performance over time. Management also uses this metric for planning and forecasting purposes.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year-over-year Pro Forma Revenue Growth Rate is calculated as though all acquisitions closed as of the end of the latest period were closed as of the first day of the prior year period presented. In calculating Pro Forma Revenue Growth Rate, we add the revenue from acquisitions for the reporting periods prior to the date of acquisition (including estimated purchase accounting adjustments) to our results of operations, and then calculate our revenue growth rate between the two reported periods. As a result, Pro Forma Revenue Growth Rate includes pro forma revenue from businesses acquired during the period, including revenue generated during periods when we did not yet own the acquired businesses. In including such pre-acquisition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This metric is particularly useful to management due to the number of acquired entities.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 Forma Revenue Growth rate was 12.2% for the three months ended March 31, 2023, reflective of the underlying growth in our business including new customers and providing more solutions to existing customers.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Adjusted Gross Profit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Gross Profit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Adjusted Gross Profit as gross profit (as defined below) adjusted to exclude depreciation and amortization allocated to cost of revenues. Adjusted Gross Profit should be viewed as a measure of operating performance that is a supplement to, and not a substitute for, operating income or loss, net earnings or loss and other GAAP measures of income (loss) or profitability. The following table presents a reconciliation of gross profit, the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most directly comparable financial measure calculated in accordance with GAAP, to Adjusted Gross Profit on a consolidated basis.</w:t>
      </w:r>
    </w:p>
    <w:tbl>
      <w:tblPr>
        <w:tblW w:w="6367" w:type="dxa"/>
        <w:jc w:val="left"/>
        <w:tblInd w:w="0" w:type="dxa"/>
        <w:tblCellMar>
          <w:top w:w="28" w:type="dxa"/>
          <w:left w:w="28" w:type="dxa"/>
          <w:bottom w:w="28" w:type="dxa"/>
          <w:right w:w="28" w:type="dxa"/>
        </w:tblCellMar>
      </w:tblPr>
      <w:tblGrid>
        <w:gridCol w:w="941"/>
        <w:gridCol w:w="823"/>
        <w:gridCol w:w="831"/>
        <w:gridCol w:w="109"/>
        <w:gridCol w:w="109"/>
        <w:gridCol w:w="145"/>
        <w:gridCol w:w="145"/>
        <w:gridCol w:w="280"/>
        <w:gridCol w:w="1099"/>
        <w:gridCol w:w="145"/>
        <w:gridCol w:w="109"/>
        <w:gridCol w:w="109"/>
        <w:gridCol w:w="109"/>
        <w:gridCol w:w="211"/>
        <w:gridCol w:w="721"/>
        <w:gridCol w:w="109"/>
        <w:gridCol w:w="109"/>
        <w:gridCol w:w="109"/>
        <w:gridCol w:w="154"/>
      </w:tblGrid>
      <w:tr>
        <w:trPr/>
        <w:tc>
          <w:tcPr>
            <w:tcW w:w="941"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4"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5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9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Gross profit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99,281 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(1)Gross profit is calculated as total revenues less cost of revenues (exclusive of depreciation and amortization), amortization of developed technology, amortization of capitalized software and depreciation expense (allocated to cost of revenues).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(2)For the three months ended March 31, 2023, gross profit represents total revenues of $161.1 million less cost of revenues (exclusive of depreciation and amortization) of $55.9 million, amortization of developed technology of $3.8 million, amortization of capitalized software of $1.8 million and depreciation expense (allocated to cost of revenues) of $0.3 million.</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(3)For the three months ended March 31, 2022, gross profit represents total revenues of $143.6 million less cost of revenues (exclusive of depreciation and amortization) of $50.7 million, amortization of developed technology of $4.2 million, amortization of capitalized software of $1.1 million and depreciation expense (allocated to cost of revenues) of $0.3 million.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loss to Adjusted EBITDA, helps investors make comparisons between our company and other companies that may have different capital structures, different tax rates and/or different forms of employee compensation.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used by our management team as an additional measure of our performance for purposes of business decision-making, including managing expenditures, and evaluating potential acquisitions. Period-to-period comparisons of Adjusted EBITDA help our management identify additional trends in our financial results that may not be shown solely by period-to-period comparisons of net income or income from continuing operations. In addition, we may use Adjusted EBITDA in the incentive compensation programs applicable to some of our employees. Our Management recognizes that Adjusted EBITDA has inherent limitations because of the excluded items, and may not be directly comparable to similarly titled metrics used by other companies.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Adjusted EBITDA as net loss adjusted to exclude interest and other expense, net, income tax expense (benefit), depreciation and amortization, other amortization, acquisition related costs, stock-based compensation, and other non-recurring costs. Other amortization includes amortization for capitalized contract acquisition costs. Acquisition related costs are specific deal-related costs such as legal fees, financial and tax due diligence, consulting and escrow fees. Other non-recurring costs are expenses such as system implementation costs and severance related to planned restructuring activities. Acquisition related costs and other non-recurring costs are excluded as they are not representative of our underlying operating performance. Adjusted EBITDA should be viewed as a measure of operating performance that is a supplement to, and not a substitute for, operating income or loss, net earnings or loss and other GAAP measures of income (loss). The following table presents a reconciliation of net loss, the most directly comparable financial measure calculated in accordance with GAAP, to Adjusted EBITDA on a consolidated basis.</w:t>
      </w:r>
    </w:p>
    <w:tbl>
      <w:tblPr>
        <w:tblW w:w="6519" w:type="dxa"/>
        <w:jc w:val="left"/>
        <w:tblInd w:w="0" w:type="dxa"/>
        <w:tblCellMar>
          <w:top w:w="28" w:type="dxa"/>
          <w:left w:w="28" w:type="dxa"/>
          <w:bottom w:w="28" w:type="dxa"/>
          <w:right w:w="28" w:type="dxa"/>
        </w:tblCellMar>
      </w:tblPr>
      <w:tblGrid>
        <w:gridCol w:w="1084"/>
        <w:gridCol w:w="946"/>
        <w:gridCol w:w="969"/>
        <w:gridCol w:w="109"/>
        <w:gridCol w:w="109"/>
        <w:gridCol w:w="148"/>
        <w:gridCol w:w="148"/>
        <w:gridCol w:w="287"/>
        <w:gridCol w:w="1083"/>
        <w:gridCol w:w="148"/>
        <w:gridCol w:w="109"/>
        <w:gridCol w:w="109"/>
        <w:gridCol w:w="109"/>
        <w:gridCol w:w="211"/>
        <w:gridCol w:w="796"/>
        <w:gridCol w:w="154"/>
      </w:tblGrid>
      <w:tr>
        <w:trPr/>
        <w:tc>
          <w:tcPr>
            <w:tcW w:w="1084"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4"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488" w:type="dxa"/>
            <w:gridSpan w:val="6"/>
            <w:tcBorders/>
            <w:shd w:fill="auto" w:val="clea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5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00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(20,775)</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to exclude the following: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15,188 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25,950 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27,391 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Description of Certain Components of Financial Data</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We derive our revenue from three primary sources which are described in detail below: (i) Subscription and Transaction Fees, which are primarily recurring revenue streams, (ii) Marketing Technology Solutions, which includes both recurring and re-occurring revenue streams and (iii) Other revenue, which consists primarily of the sale of distinct professional services and hardware. Our revenue recognition policies are discussed in more detail under </w:t>
      </w:r>
      <w:r>
        <w:rPr>
          <w:color w:val="000000"/>
        </w:rPr>
        <w:t>“</w:t>
      </w:r>
      <w:r>
        <w:rPr>
          <w:rFonts w:ascii="Times New Roman;sans-serif" w:hAnsi="Times New Roman;sans-serif"/>
          <w:b w:val="false"/>
          <w:i/>
          <w:color w:val="000000"/>
          <w:sz w:val="20"/>
        </w:rPr>
        <w:t>Critical Accounting Policies and Significant Judgments and Estimates.”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Subscription and Transaction Fees</w:t>
      </w:r>
      <w:r>
        <w:rPr>
          <w:rFonts w:ascii="Times New Roman;sans-serif" w:hAnsi="Times New Roman;sans-serif"/>
          <w:b w:val="false"/>
          <w:color w:val="000000"/>
          <w:sz w:val="20"/>
        </w:rPr>
        <w:t xml:space="preserve">: Revenue includes (i) recurring monthly, quarterly and annual SaaS subscriptions and software license and maintenance fees from the sale of our Business Management, Customer Experience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Marketing Technology Solutions:</w:t>
      </w:r>
      <w:r>
        <w:rPr>
          <w:color w:val="000000"/>
        </w:rPr>
        <w:t xml:space="preserve"> </w:t>
      </w:r>
      <w:r>
        <w:rPr>
          <w:rFonts w:ascii="Times New Roman;sans-serif" w:hAnsi="Times New Roman;sans-serif"/>
          <w:b w:val="false"/>
          <w:color w:val="000000"/>
          <w:sz w:val="20"/>
        </w:rPr>
        <w:t xml:space="preserve">Revenue includes (i) recurring revenues for managing digital advertising programs on behalf of our customers including website hosting, search engine management and optimization, social media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and blog automation and (ii) re-occurring fees paid by service professionals for consumer leads generated by our various platforms.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Other</w:t>
      </w:r>
      <w:r>
        <w:rPr>
          <w:rFonts w:ascii="Times New Roman;sans-serif" w:hAnsi="Times New Roman;sans-serif"/>
          <w:b w:val="false"/>
          <w:color w:val="000000"/>
          <w:sz w:val="20"/>
        </w:rPr>
        <w:t xml:space="preserve">: Revenue includes (i) consulting, implementation, training and other professional services; (ii) website development; (iii) revenue from various business development partnerships; (iv) event income and (v) hardware sales related to our business management or payment software solutions.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 party fulfillment costs and software hosting expenses.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expect that cost of revenue as a percentage of revenue will fluctuate from period to period based on a variety of factors, including the mix of revenue between Subscription and Transaction Fees and Marketing Technology Solutions, labor costs, third-party expenses and acquisitions. In particular, Marketing Technology Solutions revenue generally has a higher cost of revenue as a percentage of revenue than our Subscription and Transaction Fee revenue. For the three months ended March 31, 2023, revenue from Subscription and Transaction Fees</w:t>
      </w:r>
      <w:r>
        <w:rPr>
          <w:color w:val="000000"/>
        </w:rPr>
        <w:t xml:space="preserve"> </w:t>
      </w:r>
      <w:r>
        <w:rPr>
          <w:rFonts w:ascii="Times New Roman;sans-serif" w:hAnsi="Times New Roman;sans-serif"/>
          <w:b w:val="false"/>
          <w:color w:val="000000"/>
          <w:sz w:val="20"/>
        </w:rPr>
        <w:t>increased 14.6%</w:t>
      </w:r>
      <w:r>
        <w:rPr>
          <w:color w:val="000000"/>
        </w:rPr>
        <w:t xml:space="preserve"> </w:t>
      </w:r>
      <w:r>
        <w:rPr>
          <w:rFonts w:ascii="Times New Roman;sans-serif" w:hAnsi="Times New Roman;sans-serif"/>
          <w:b w:val="false"/>
          <w:color w:val="000000"/>
          <w:sz w:val="20"/>
        </w:rPr>
        <w:t xml:space="preserve">compared to the three months ended March 31, 2022 whereas Marketing Technology Solutions revenue increased 6.3%. To the extent our Marketing Technology Solutions revenue grows at a faster rate, whether by acquisition or otherwise, than our Subscription and Transaction Fees revenue, it could negatively impact our cost of revenues as a percentage of revenue.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consists primarily of employee costs for our sales and marketing personnel, including salaries, benefits, bonuses, stock 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in absolute dollars and may increase as a percentage of revenue for the foreseeable future as we continue to increase investments to support our growth.</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Product Development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remain generally consistent as a percentage of revenue for the foreseeable future as we continue to dedicate substantial resources to develop, improve and expand the functionality of our solutions.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other general corporate expenses. We expect general and administrative expense to increase on an absolute dollar basis for the foreseeable future as we continue to increase investments to support our growth and due to increased costs as a result of being a public company. As we are able to further scale our operations in the future, we would expect that general and administrative expenses would decrease as a percentage of revenue.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primarily relate to intangible assets, property and equipment and capitalized software.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and Other Expense, net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 primarily consists of interest expense on long-term debt, net of interest income. It also includes amortization expense of financing costs and discounts, as well as realized and unrealized gains and losses.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 Benefit (Expense)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We account for income taxes in accordance with ASC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ASC 740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benefit (expense)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key components of our results of operations for the periods presented. The period-to-period comparisons of our historical results are not necessarily indicative of the results that may be expected in the future. We operate as a single reportable segment to reflect the way our chief operating decision maker (“CODM”) reviews and assesses the performance of our business. For additional information concerning our accounting policies, see Note 2 to our consolidated financial statements included in our Annual Report on Form 10-K.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tbl>
      <w:tblPr>
        <w:tblW w:w="10539" w:type="dxa"/>
        <w:jc w:val="left"/>
        <w:tblInd w:w="0" w:type="dxa"/>
        <w:tblCellMar>
          <w:top w:w="28" w:type="dxa"/>
          <w:left w:w="28" w:type="dxa"/>
          <w:bottom w:w="28" w:type="dxa"/>
          <w:right w:w="28" w:type="dxa"/>
        </w:tblCellMar>
      </w:tblPr>
      <w:tblGrid>
        <w:gridCol w:w="2543"/>
        <w:gridCol w:w="2229"/>
        <w:gridCol w:w="2254"/>
        <w:gridCol w:w="109"/>
        <w:gridCol w:w="109"/>
        <w:gridCol w:w="141"/>
        <w:gridCol w:w="141"/>
        <w:gridCol w:w="274"/>
        <w:gridCol w:w="1075"/>
        <w:gridCol w:w="141"/>
        <w:gridCol w:w="109"/>
        <w:gridCol w:w="109"/>
        <w:gridCol w:w="109"/>
        <w:gridCol w:w="211"/>
        <w:gridCol w:w="826"/>
        <w:gridCol w:w="159"/>
      </w:tblGrid>
      <w:tr>
        <w:trPr/>
        <w:tc>
          <w:tcPr>
            <w:tcW w:w="2543" w:type="dxa"/>
            <w:tcBorders/>
            <w:shd w:fill="auto" w:val="clear"/>
            <w:vAlign w:val="center"/>
          </w:tcPr>
          <w:p>
            <w:pPr>
              <w:pStyle w:val="TableContents"/>
              <w:spacing w:before="0" w:after="283"/>
              <w:rPr>
                <w:sz w:val="4"/>
                <w:szCs w:val="4"/>
              </w:rPr>
            </w:pPr>
            <w:r>
              <w:rPr>
                <w:sz w:val="4"/>
                <w:szCs w:val="4"/>
              </w:rPr>
            </w:r>
          </w:p>
        </w:tc>
        <w:tc>
          <w:tcPr>
            <w:tcW w:w="2229" w:type="dxa"/>
            <w:tcBorders/>
            <w:shd w:fill="auto" w:val="clear"/>
            <w:vAlign w:val="center"/>
          </w:tcPr>
          <w:p>
            <w:pPr>
              <w:pStyle w:val="TableContents"/>
              <w:spacing w:before="0" w:after="283"/>
              <w:rPr>
                <w:sz w:val="4"/>
                <w:szCs w:val="4"/>
              </w:rPr>
            </w:pPr>
            <w:r>
              <w:rPr>
                <w:sz w:val="4"/>
                <w:szCs w:val="4"/>
              </w:rPr>
            </w:r>
          </w:p>
        </w:tc>
        <w:tc>
          <w:tcPr>
            <w:tcW w:w="22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0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2"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523" w:type="dxa"/>
            <w:gridSpan w:val="6"/>
            <w:tcBorders/>
            <w:shd w:fill="auto" w:val="clear"/>
          </w:tcPr>
          <w:p>
            <w:pPr>
              <w:pStyle w:val="TableContents"/>
              <w:spacing w:before="0" w:after="283"/>
              <w:rPr>
                <w:sz w:val="4"/>
                <w:szCs w:val="4"/>
              </w:rPr>
            </w:pPr>
            <w:r>
              <w:rPr>
                <w:sz w:val="4"/>
                <w:szCs w:val="4"/>
              </w:rPr>
            </w:r>
          </w:p>
        </w:tc>
      </w:tr>
      <w:tr>
        <w:trPr/>
        <w:tc>
          <w:tcPr>
            <w:tcW w:w="70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0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30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7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123,820 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108,001 </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technology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31,788 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161,136 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143,576 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 xml:space="preserve">Cost of revenues </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(exclusive of depreciation and amortization presented separately below)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55,946 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Sales and marketing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30,899 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Product development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18,703 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 xml:space="preserve">General and administrative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34,926 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31,226 </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25,950 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166,424 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157,144 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(15,188)</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before 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(20,775)</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stock-based compensation expense as follows:</w:t>
      </w:r>
    </w:p>
    <w:tbl>
      <w:tblPr>
        <w:tblW w:w="6790" w:type="dxa"/>
        <w:jc w:val="left"/>
        <w:tblInd w:w="0" w:type="dxa"/>
        <w:tblCellMar>
          <w:top w:w="28" w:type="dxa"/>
          <w:left w:w="28" w:type="dxa"/>
          <w:bottom w:w="28" w:type="dxa"/>
          <w:right w:w="28" w:type="dxa"/>
        </w:tblCellMar>
      </w:tblPr>
      <w:tblGrid>
        <w:gridCol w:w="1246"/>
        <w:gridCol w:w="1100"/>
        <w:gridCol w:w="1104"/>
        <w:gridCol w:w="109"/>
        <w:gridCol w:w="109"/>
        <w:gridCol w:w="171"/>
        <w:gridCol w:w="171"/>
        <w:gridCol w:w="332"/>
        <w:gridCol w:w="969"/>
        <w:gridCol w:w="171"/>
        <w:gridCol w:w="109"/>
        <w:gridCol w:w="109"/>
        <w:gridCol w:w="109"/>
        <w:gridCol w:w="211"/>
        <w:gridCol w:w="616"/>
        <w:gridCol w:w="154"/>
      </w:tblGrid>
      <w:tr>
        <w:trPr/>
        <w:tc>
          <w:tcPr>
            <w:tcW w:w="1246"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4"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4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78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Revenues</w:t>
      </w:r>
    </w:p>
    <w:tbl>
      <w:tblPr>
        <w:tblW w:w="7945" w:type="dxa"/>
        <w:jc w:val="left"/>
        <w:tblInd w:w="0" w:type="dxa"/>
        <w:tblCellMar>
          <w:top w:w="28" w:type="dxa"/>
          <w:left w:w="28" w:type="dxa"/>
          <w:bottom w:w="28" w:type="dxa"/>
          <w:right w:w="28" w:type="dxa"/>
        </w:tblCellMar>
      </w:tblPr>
      <w:tblGrid>
        <w:gridCol w:w="1014"/>
        <w:gridCol w:w="890"/>
        <w:gridCol w:w="90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316"/>
      </w:tblGrid>
      <w:tr>
        <w:trPr/>
        <w:tc>
          <w:tcPr>
            <w:tcW w:w="1014"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technology solutions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Revenues increased $17.6 million or 12.2% for the three months ended March 31, 2023, as compared to the corresponding period in 2022.</w:t>
      </w:r>
      <w:r>
        <w:rPr>
          <w:color w:val="000000"/>
        </w:rPr>
        <w:t xml:space="preserve"> </w:t>
      </w:r>
      <w:r>
        <w:rPr>
          <w:rFonts w:ascii="Times New Roman;sans-serif" w:hAnsi="Times New Roman;sans-serif"/>
          <w:b w:val="false"/>
          <w:color w:val="000000"/>
          <w:sz w:val="20"/>
        </w:rPr>
        <w:t>The increase was partly driven by a $9.0 million increase from software &amp; subscription revenues due to an expansion in our number of customers and certain price increases across our portfolio. Additionally there was a $7.0 million increase due to higher transaction volumes processed through our payments platforms.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 of Revenues</w:t>
      </w:r>
    </w:p>
    <w:tbl>
      <w:tblPr>
        <w:tblW w:w="10539" w:type="dxa"/>
        <w:jc w:val="left"/>
        <w:tblInd w:w="0" w:type="dxa"/>
        <w:tblCellMar>
          <w:top w:w="28" w:type="dxa"/>
          <w:left w:w="28" w:type="dxa"/>
          <w:bottom w:w="28" w:type="dxa"/>
          <w:right w:w="28" w:type="dxa"/>
        </w:tblCellMar>
      </w:tblPr>
      <w:tblGrid>
        <w:gridCol w:w="1953"/>
        <w:gridCol w:w="1715"/>
        <w:gridCol w:w="1720"/>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317"/>
      </w:tblGrid>
      <w:tr>
        <w:trPr/>
        <w:tc>
          <w:tcPr>
            <w:tcW w:w="1953" w:type="dxa"/>
            <w:tcBorders/>
            <w:shd w:fill="auto" w:val="clear"/>
            <w:vAlign w:val="center"/>
          </w:tcPr>
          <w:p>
            <w:pPr>
              <w:pStyle w:val="TableContents"/>
              <w:spacing w:before="0" w:after="283"/>
              <w:rPr>
                <w:sz w:val="4"/>
                <w:szCs w:val="4"/>
              </w:rPr>
            </w:pPr>
            <w:r>
              <w:rPr>
                <w:sz w:val="4"/>
                <w:szCs w:val="4"/>
              </w:rPr>
            </w:r>
          </w:p>
        </w:tc>
        <w:tc>
          <w:tcPr>
            <w:tcW w:w="1715"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53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73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53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2" w:space="0" w:color="FFFFFF"/>
              <w:bottom w:val="single" w:sz="2"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bottom w:val="single" w:sz="2"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82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53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515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r>
      <w:tr>
        <w:trPr/>
        <w:tc>
          <w:tcPr>
            <w:tcW w:w="53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 presented separately below)</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1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Percentage of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Cost of revenues increased by $5.2 million or 10.2% for the three months ended March 31, 2023, as compared to the corresponding period in 2022. This increase was primarily comprised of</w:t>
      </w:r>
      <w:r>
        <w:rPr>
          <w:color w:val="000000"/>
        </w:rPr>
        <w:t xml:space="preserve"> </w:t>
      </w:r>
      <w:r>
        <w:rPr>
          <w:rFonts w:ascii="Times New Roman;sans-serif" w:hAnsi="Times New Roman;sans-serif"/>
          <w:b w:val="false"/>
          <w:color w:val="000000"/>
          <w:sz w:val="20"/>
        </w:rPr>
        <w:t>an additional $1.3 million of lead generation expense, $1.0 million of promotional spend, $0.9 million of personnel and compensation expense, $0.9 million of email and SMS expense and $0.7 million of campaign mail expense, partially offset by a $1.3 million decrease in media spend. As a percentage of revenue, cost of revenues was 34.7% and 35.3% for the three months ended March 31, 2023 and 2022, respectively.</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6920" w:type="dxa"/>
        <w:jc w:val="left"/>
        <w:tblInd w:w="0" w:type="dxa"/>
        <w:tblCellMar>
          <w:top w:w="28" w:type="dxa"/>
          <w:left w:w="28" w:type="dxa"/>
          <w:bottom w:w="28" w:type="dxa"/>
          <w:right w:w="28" w:type="dxa"/>
        </w:tblCellMar>
      </w:tblPr>
      <w:tblGrid>
        <w:gridCol w:w="732"/>
        <w:gridCol w:w="644"/>
        <w:gridCol w:w="649"/>
        <w:gridCol w:w="211"/>
        <w:gridCol w:w="721"/>
        <w:gridCol w:w="271"/>
        <w:gridCol w:w="109"/>
        <w:gridCol w:w="109"/>
        <w:gridCol w:w="109"/>
        <w:gridCol w:w="211"/>
        <w:gridCol w:w="721"/>
        <w:gridCol w:w="271"/>
        <w:gridCol w:w="109"/>
        <w:gridCol w:w="109"/>
        <w:gridCol w:w="109"/>
        <w:gridCol w:w="211"/>
        <w:gridCol w:w="466"/>
        <w:gridCol w:w="109"/>
        <w:gridCol w:w="109"/>
        <w:gridCol w:w="109"/>
        <w:gridCol w:w="109"/>
        <w:gridCol w:w="203"/>
        <w:gridCol w:w="203"/>
        <w:gridCol w:w="316"/>
      </w:tblGrid>
      <w:tr>
        <w:trPr/>
        <w:tc>
          <w:tcPr>
            <w:tcW w:w="732"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73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89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Percentage of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by $0.8 million or 2.5% for the three months ended March 31, 2023, as compared to the corresponding period in 2022. The increase was relatively consistent as a percentage of revenue, sales and marketing was 19.2% and 21.0% for the three months ended March 31, 2023 and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Product Development</w:t>
      </w:r>
    </w:p>
    <w:tbl>
      <w:tblPr>
        <w:tblW w:w="7070" w:type="dxa"/>
        <w:jc w:val="left"/>
        <w:tblInd w:w="0" w:type="dxa"/>
        <w:tblCellMar>
          <w:top w:w="28" w:type="dxa"/>
          <w:left w:w="28" w:type="dxa"/>
          <w:bottom w:w="28" w:type="dxa"/>
          <w:right w:w="28" w:type="dxa"/>
        </w:tblCellMar>
      </w:tblPr>
      <w:tblGrid>
        <w:gridCol w:w="734"/>
        <w:gridCol w:w="644"/>
        <w:gridCol w:w="647"/>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03"/>
        <w:gridCol w:w="203"/>
        <w:gridCol w:w="316"/>
      </w:tblGrid>
      <w:tr>
        <w:trPr/>
        <w:tc>
          <w:tcPr>
            <w:tcW w:w="73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73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504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Percentage of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Product development expenses</w:t>
      </w:r>
      <w:r>
        <w:rPr>
          <w:color w:val="000000"/>
        </w:rPr>
        <w:t xml:space="preserve"> </w:t>
      </w:r>
      <w:r>
        <w:rPr>
          <w:rFonts w:ascii="Times New Roman;sans-serif" w:hAnsi="Times New Roman;sans-serif"/>
          <w:b w:val="false"/>
          <w:color w:val="000000"/>
          <w:sz w:val="20"/>
        </w:rPr>
        <w:t>increased by $1.1 million or 6.0% for the three months ended March 31, 2023, as compared to the corresponding period in 2022. This increase was a result of continued investment in our technology and teams to support our various solutions as well as centralized security operations, information technology and cloud engineering, with an additional $0.6 million of software and tools expense, $0.2 million of consulting expense and $0.1 million of personnel expenses. As a percentage of revenue, product development expenses were 11.6% and 12.3% for the three months ended March 31, 2023 and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459" w:type="dxa"/>
        <w:jc w:val="left"/>
        <w:tblInd w:w="0" w:type="dxa"/>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316"/>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73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515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Percentage of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General and administrative expenses</w:t>
      </w:r>
      <w:r>
        <w:rPr>
          <w:color w:val="000000"/>
        </w:rPr>
        <w:t xml:space="preserve"> </w:t>
      </w:r>
      <w:r>
        <w:rPr>
          <w:rFonts w:ascii="Times New Roman;sans-serif" w:hAnsi="Times New Roman;sans-serif"/>
          <w:b w:val="false"/>
          <w:color w:val="000000"/>
          <w:sz w:val="20"/>
        </w:rPr>
        <w:t>increased by $3.7 million or 11.8% for the three months ended March 31, 2023, as compared to the corresponding period in 2022. This increase was primarily driven by</w:t>
      </w:r>
      <w:r>
        <w:rPr>
          <w:color w:val="000000"/>
        </w:rPr>
        <w:t xml:space="preserve"> </w:t>
      </w:r>
      <w:r>
        <w:rPr>
          <w:rFonts w:ascii="Times New Roman;sans-serif" w:hAnsi="Times New Roman;sans-serif"/>
          <w:b w:val="false"/>
          <w:color w:val="000000"/>
          <w:sz w:val="20"/>
        </w:rPr>
        <w:t>an additional $1.4 million of personnel and compensation expense and $1.1 million of stock-based compensation expenses.</w:t>
      </w:r>
      <w:r>
        <w:rPr>
          <w:color w:val="000000"/>
        </w:rPr>
        <w:t xml:space="preserve"> </w:t>
      </w:r>
      <w:r>
        <w:rPr>
          <w:rFonts w:ascii="Times New Roman;sans-serif" w:hAnsi="Times New Roman;sans-serif"/>
          <w:b w:val="false"/>
          <w:color w:val="000000"/>
          <w:sz w:val="20"/>
        </w:rPr>
        <w:t>As a percentage of revenue, general and administrative expenses were 21.7% for both the three months ended March 31, 2023 and 2022.</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tbl>
      <w:tblPr>
        <w:tblW w:w="7788" w:type="dxa"/>
        <w:jc w:val="left"/>
        <w:tblInd w:w="0" w:type="dxa"/>
        <w:tblCellMar>
          <w:top w:w="28" w:type="dxa"/>
          <w:left w:w="28" w:type="dxa"/>
          <w:bottom w:w="28" w:type="dxa"/>
          <w:right w:w="28" w:type="dxa"/>
        </w:tblCellMar>
      </w:tblPr>
      <w:tblGrid>
        <w:gridCol w:w="939"/>
        <w:gridCol w:w="826"/>
        <w:gridCol w:w="829"/>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39"/>
        <w:gridCol w:w="241"/>
        <w:gridCol w:w="316"/>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73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519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Percentage of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decreased by $1.4 million or 5.3% for the three months ended March 31, 2023, as compared to the corresponding period in 2022. This decrease was primarily driven by a decrease of $2.1 million in intangible assets’ amortization, partially offset by $0.7 million of additional capitalized software amortization. As a percentage of revenue, depreciation and amortization expenses were 16.1% and 19.1% for the three months ended March 31, 2023 and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and Other Expense, net</w:t>
      </w:r>
    </w:p>
    <w:tbl>
      <w:tblPr>
        <w:tblW w:w="7729" w:type="dxa"/>
        <w:jc w:val="left"/>
        <w:tblInd w:w="0" w:type="dxa"/>
        <w:tblCellMar>
          <w:top w:w="28" w:type="dxa"/>
          <w:left w:w="28" w:type="dxa"/>
          <w:bottom w:w="28" w:type="dxa"/>
          <w:right w:w="28" w:type="dxa"/>
        </w:tblCellMar>
      </w:tblPr>
      <w:tblGrid>
        <w:gridCol w:w="934"/>
        <w:gridCol w:w="821"/>
        <w:gridCol w:w="824"/>
        <w:gridCol w:w="211"/>
        <w:gridCol w:w="721"/>
        <w:gridCol w:w="271"/>
        <w:gridCol w:w="109"/>
        <w:gridCol w:w="109"/>
        <w:gridCol w:w="109"/>
        <w:gridCol w:w="211"/>
        <w:gridCol w:w="616"/>
        <w:gridCol w:w="271"/>
        <w:gridCol w:w="109"/>
        <w:gridCol w:w="109"/>
        <w:gridCol w:w="109"/>
        <w:gridCol w:w="211"/>
        <w:gridCol w:w="616"/>
        <w:gridCol w:w="109"/>
        <w:gridCol w:w="109"/>
        <w:gridCol w:w="109"/>
        <w:gridCol w:w="109"/>
        <w:gridCol w:w="308"/>
        <w:gridCol w:w="308"/>
        <w:gridCol w:w="316"/>
      </w:tblGrid>
      <w:tr>
        <w:trPr/>
        <w:tc>
          <w:tcPr>
            <w:tcW w:w="934"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62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515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r>
      <w:tr>
        <w:trPr/>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Percentage of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Interest and other expense, net, increased by $9.7 million or 177.3% for the three months ended March 31, 2023, as compared to the corresponding period in 2022. The</w:t>
      </w:r>
      <w:r>
        <w:rPr>
          <w:color w:val="000000"/>
        </w:rPr>
        <w:t xml:space="preserve"> </w:t>
      </w:r>
      <w:r>
        <w:rPr>
          <w:rFonts w:ascii="Times New Roman;sans-serif" w:hAnsi="Times New Roman;sans-serif"/>
          <w:b w:val="false"/>
          <w:color w:val="000000"/>
          <w:sz w:val="20"/>
        </w:rPr>
        <w:t>increase was primarily due a higher effective interest rate and the loss on the interest rate swaps recorded in the first quarter of 2023. As a percentage of revenue, interest and other expense were 9.4% and 3.8% for the three months ended March 31, 2023 and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 Benefit (Expense)</w:t>
      </w:r>
    </w:p>
    <w:tbl>
      <w:tblPr>
        <w:tblW w:w="7685" w:type="dxa"/>
        <w:jc w:val="left"/>
        <w:tblInd w:w="0" w:type="dxa"/>
        <w:tblCellMar>
          <w:top w:w="28" w:type="dxa"/>
          <w:left w:w="28" w:type="dxa"/>
          <w:bottom w:w="28" w:type="dxa"/>
          <w:right w:w="28" w:type="dxa"/>
        </w:tblCellMar>
      </w:tblPr>
      <w:tblGrid>
        <w:gridCol w:w="889"/>
        <w:gridCol w:w="784"/>
        <w:gridCol w:w="787"/>
        <w:gridCol w:w="211"/>
        <w:gridCol w:w="541"/>
        <w:gridCol w:w="331"/>
        <w:gridCol w:w="109"/>
        <w:gridCol w:w="109"/>
        <w:gridCol w:w="109"/>
        <w:gridCol w:w="211"/>
        <w:gridCol w:w="616"/>
        <w:gridCol w:w="271"/>
        <w:gridCol w:w="109"/>
        <w:gridCol w:w="109"/>
        <w:gridCol w:w="109"/>
        <w:gridCol w:w="211"/>
        <w:gridCol w:w="691"/>
        <w:gridCol w:w="109"/>
        <w:gridCol w:w="109"/>
        <w:gridCol w:w="109"/>
        <w:gridCol w:w="109"/>
        <w:gridCol w:w="338"/>
        <w:gridCol w:w="338"/>
        <w:gridCol w:w="376"/>
      </w:tblGrid>
      <w:tr>
        <w:trPr/>
        <w:tc>
          <w:tcPr>
            <w:tcW w:w="88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50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522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37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Percentage of revenues</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Income tax benefit (expense) changed</w:t>
      </w:r>
      <w:r>
        <w:rPr>
          <w:color w:val="000000"/>
        </w:rPr>
        <w:t xml:space="preserve"> </w:t>
      </w:r>
      <w:r>
        <w:rPr>
          <w:rFonts w:ascii="Times New Roman;sans-serif" w:hAnsi="Times New Roman;sans-serif"/>
          <w:b w:val="false"/>
          <w:color w:val="000000"/>
          <w:sz w:val="20"/>
        </w:rPr>
        <w:t>by $6.0 million or 105.2% for the three months ended March 31, 2023, as compared to the corresponding period in 2022. The change was primarily driven by discrete items, including a California law change and an intercompany intellectual property sale, in the three months ended March 31, 2022.</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3"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our primary sources of liquidity have been net cash provided by operating activities, proceeds from equity issuances and proceeds from long-term debt.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use of liquidity has been acquisitions of businesses. For a description of our recent acquisitions, see Note 3 in our Annual Report on Form 10-K. Absent significant deterioration of market conditions, we expect that working capital requirements, capital expenditures, acquisitions, the Company’s Repurchase Program (defined below), debt servicing and lease obligations will be our principal needs for liquidity going forward.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As of March 31, 2023, we had cash, cash equivalents and restricted cash of $73.3 million, $190.0 million of available borrowing capacity under our Revolver (as defined below) and $541.8 million outstanding under our Term Loans (as defined below).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We expect to consummate acquisitions of complementary businesses in the future that could require us to seek additional equity or debt financing. Market and macroeconomic conditions may, from time to time, impact our ability to raise capital. If we are unable to raise additional funds when desired, our business, financial condition and results of operations could be adversely affected. See Part II, Item 1A.“</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cash flow data for the periods indicated therein:</w:t>
      </w:r>
    </w:p>
    <w:tbl>
      <w:tblPr>
        <w:tblW w:w="8093" w:type="dxa"/>
        <w:jc w:val="left"/>
        <w:tblInd w:w="0" w:type="dxa"/>
        <w:tblCellMar>
          <w:top w:w="28" w:type="dxa"/>
          <w:left w:w="28" w:type="dxa"/>
          <w:bottom w:w="28" w:type="dxa"/>
          <w:right w:w="28" w:type="dxa"/>
        </w:tblCellMar>
      </w:tblPr>
      <w:tblGrid>
        <w:gridCol w:w="2014"/>
        <w:gridCol w:w="1773"/>
        <w:gridCol w:w="1777"/>
        <w:gridCol w:w="211"/>
        <w:gridCol w:w="796"/>
        <w:gridCol w:w="109"/>
        <w:gridCol w:w="109"/>
        <w:gridCol w:w="109"/>
        <w:gridCol w:w="109"/>
        <w:gridCol w:w="211"/>
        <w:gridCol w:w="721"/>
        <w:gridCol w:w="154"/>
      </w:tblGrid>
      <w:tr>
        <w:trPr/>
        <w:tc>
          <w:tcPr>
            <w:tcW w:w="2014" w:type="dxa"/>
            <w:tcBorders/>
            <w:shd w:fill="auto" w:val="clear"/>
            <w:vAlign w:val="center"/>
          </w:tcPr>
          <w:p>
            <w:pPr>
              <w:pStyle w:val="TableContents"/>
              <w:spacing w:before="0" w:after="283"/>
              <w:rPr>
                <w:sz w:val="4"/>
                <w:szCs w:val="4"/>
              </w:rPr>
            </w:pPr>
            <w:r>
              <w:rPr>
                <w:sz w:val="4"/>
                <w:szCs w:val="4"/>
              </w:rPr>
            </w:r>
          </w:p>
        </w:tc>
        <w:tc>
          <w:tcPr>
            <w:tcW w:w="1773" w:type="dxa"/>
            <w:tcBorders/>
            <w:shd w:fill="auto" w:val="clear"/>
            <w:vAlign w:val="center"/>
          </w:tcPr>
          <w:p>
            <w:pPr>
              <w:pStyle w:val="TableContents"/>
              <w:spacing w:before="0" w:after="283"/>
              <w:rPr>
                <w:sz w:val="4"/>
                <w:szCs w:val="4"/>
              </w:rPr>
            </w:pPr>
            <w:r>
              <w:rPr>
                <w:sz w:val="4"/>
                <w:szCs w:val="4"/>
              </w:rPr>
            </w:r>
          </w:p>
        </w:tc>
        <w:tc>
          <w:tcPr>
            <w:tcW w:w="17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52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5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5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 on cash</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 from Operating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$12.7 million for the three months ended March 31, 2023, compared to $12.9 million for the three months ended March 31, 2022. Changes in net cash provided by operating activities result primarily from cash received from net sales within our subscription and transaction fees and marketing technology solutions. Other drivers of the changes in net cash provided by operating activities include payments for personnel expenses for our employees, costs related to delivering our services and products, partner commissions, advertising and interest on our long-term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cash provided for the three months ended March 31, 2023 compared to the three months ended March 31, 2022 was primarily due to higher interest payments of $5.5 million, higher investments made to support the growth of our business including personnel expenses of $2.5 million, costs directly related to the delivery of our services and products of $4.0 million and $1.9 million for other expenses and the timing of payments offset by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4"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higher cash collections from our subscription and transaction fees and marketing technology solutions of approximately $14.2 million.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 from Investing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net cash used in investing activities was $4.9 million. The cash was used primarily for costs to develop software of $4.4 million. The remainder was used primarily for purchases of property and equipment.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net cash used in investing activities was $4.4 million. The cash was used primarily for costs to develop software of $3.5 million. The remainder was used primarily for purchases of property and equipment.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 from Financing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net cash used in financing activities was $30.4 million. The cash was used primarily for the repurchase and retirement of shares of our common stock of $29.6 million.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net cash used in financing activities was $0.7 million. The cash was used for payments on long-term debt of $1.4 million, partially offset by the exercise of stock options of $0.7 million.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Company entered into a credit agreement providing for two term loans for an aggregate principal amount of $550.0 million (“Term Loans”), a revolver with a capacity of $190.0 million (“Revolver”) and a sub-limit of the Revolver available for letters of credit up to an aggregate face amount of $20.0 million. These debt arrangements are collectively referred to herein as the (“Credit Facilities”).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Facilities are available as ABR or Eurocurrency borrowings. ABR borrowings under the Credit Facilities accrue interest at an alternate base rate plus an applicable rate, and Eurocurrency borrowings accrue interest at an adjusted LIBOR rate plus an applicable rate. The ABR rate represents the greater of the prime rate, Federal Reserve Bank of New York rate plus ½ of 1%, and an adjusted LIBOR rate for a one month interest period plus 1%. The applicable rate for the Term Loans and the Revolver is 3% for Eurocurrency borrowings and 2% for ABR Borrowings, in each case subject to change based on our first lien net leverage ratio.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ABR borrowings, interest payments are due on a quarterly basis on the last business day of each March, June, September and December. With respect to Eurocurrency borrowings, interest payments are due on the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5"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October 31, 2022, the Company entered into an interest rate swap agreement in connection with the Company’s Credit Facilities for a notional amount of $200.0 million to convert a portion of the Term Loans from a floating rate to a fixed rate. The swap agreement has a term of five years with a fixed rate in the agreement of 4.2295%. Additionally, effective March 31, 2023, the Company entered into a second interest rate swap agreement in connection with the Company’s Credit Facilities for a notional amount of $100.0 million to convert a portion of the Term Loans from a floating rate to a fixed rate. This swap agreement has a term of approximately 4.5 years with a fixed rate in the agreement of 3.9690%.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Revolver has a variable commitment fee, which is based on our first lien leverage ratio. We expect the commitment fee to range from 0.25% to 0.375% per annum. We are obligated to pay a fixed fronting fee for letters of credit of 0.125% per annum.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borrowed under the Revolver may be repaid and re-borrowed through maturity of the Revolver in July 2026. The Term Loans mature in July 2028. The Term Loans may be repaid or prepaid but may not be re-borrowed.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$541.8 million outstanding under our Credit Facilities, all of which was related to the Term Loans as no amounts were outstanding under the Revolver. The effective interest rate on the Term Loans was approximately 7.9% for the three months ended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were in compliance with the covenants under the Credit Facilities.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On June 14, 2022, our Board of Directors approved the stock repurchase program (as subsequently amended, the “Repurchase Program”) wi</w:t>
      </w:r>
      <w:r>
        <w:rPr>
          <w:rFonts w:ascii="Times New Roman;sans-serif" w:hAnsi="Times New Roman;sans-serif"/>
          <w:b w:val="false"/>
          <w:color w:val="000000"/>
          <w:sz w:val="20"/>
          <w:highlight w:val="white"/>
        </w:rPr>
        <w:t>th authorization to purchase up to $50.0 million in shares of the Company’s common stock through the expiration of the program on December 21, 2022. Repurchases under the program may be made in the open market, in privately negotiated transactions or otherwise, with the amount and timing of repurchases to be determined at the Company’s discretion, depending on market conditions and corporate needs. This program does not obligate the Company to acquire any particular amount of common stock and may be modified, suspended or terminated at any time at the discretion of the Board of Directors. The Company expects to fund repurchases with existing cash on hand. The Company repurchased and retired</w:t>
      </w:r>
      <w:r>
        <w:rPr>
          <w:color w:val="000000"/>
        </w:rPr>
        <w:t xml:space="preserve"> </w:t>
      </w:r>
      <w:r>
        <w:rPr>
          <w:rFonts w:ascii="Times New Roman;sans-serif" w:hAnsi="Times New Roman;sans-serif"/>
          <w:b w:val="false"/>
          <w:color w:val="000000"/>
          <w:sz w:val="20"/>
        </w:rPr>
        <w:t>3,123,697 shares of common stock for $29.6 million</w:t>
      </w:r>
      <w:r>
        <w:rPr>
          <w:color w:val="000000"/>
          <w:highlight w:val="white"/>
        </w:rPr>
        <w:t xml:space="preserve"> </w:t>
      </w:r>
      <w:r>
        <w:rPr>
          <w:rFonts w:ascii="Times New Roman;sans-serif" w:hAnsi="Times New Roman;sans-serif"/>
          <w:b w:val="false"/>
          <w:color w:val="000000"/>
          <w:sz w:val="20"/>
          <w:highlight w:val="white"/>
        </w:rPr>
        <w:t>d</w:t>
      </w:r>
      <w:r>
        <w:rPr>
          <w:rFonts w:ascii="Times New Roman;sans-serif" w:hAnsi="Times New Roman;sans-serif"/>
          <w:b w:val="false"/>
          <w:color w:val="000000"/>
          <w:sz w:val="20"/>
        </w:rPr>
        <w:t>uring the three months ended March 31, 2023,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7, 2022, our Board of Directors approved an expansion of the Repurchase Program with authorization to purchase up to an additional $50.0 million in shares of the Company’s common stock ($100.0 million total) and an extension to the expiration of the Repurchase Program through December 31, 2023. As of March 31, 2023, $27.6 million remains available under the Repurchase Program.</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contractual obligations as of March 31, 2023 from those disclosed in our Annual Report on Form 10-K.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Notes 8, 9 and 15 in the unaudited condensed consolidated financial statements included in this Quarterly Report on Form 10-Q and notes thereto for a discussion of our operating leases, debt and contractual obligations, respectively.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685"/>
                <wp:effectExtent l="0" t="0" r="0" b="0"/>
                <wp:wrapNone/>
                <wp:docPr id="36" name="Frame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Judgments and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statements are prepared in accordance with GAAP. The preparation of our financial statements in conformity with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are described in Part II Item 7, “Management’s Discussion and Analysis of Financial Condition and Results of Operations—Critical Accounting Policies” in our Annual Report on Form 10-K. During the three months ended March 31, 2023, there were no material changes to our critical accounting policies from those discussed in our Annual Report on Form 10-K.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in the notes to the unaudited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Election Under the Jumpstart Our Business Startups Act of 2012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There have been no material changes to our disclosures regarding market risk as described in our Annual Report on Form 10-K under the heading Part II. Item 7A. </w:t>
      </w:r>
      <w:r>
        <w:rPr>
          <w:color w:val="000000"/>
        </w:rPr>
        <w:t>“</w:t>
      </w:r>
      <w:r>
        <w:rPr>
          <w:rFonts w:ascii="Times New Roman;sans-serif" w:hAnsi="Times New Roman;sans-serif"/>
          <w:b w:val="false"/>
          <w:i/>
          <w:color w:val="000000"/>
          <w:sz w:val="20"/>
        </w:rPr>
        <w:t>Quantitative and Qualitative Disclosures about Market Risk.”</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46685"/>
                <wp:effectExtent l="0" t="0" r="0" b="0"/>
                <wp:wrapNone/>
                <wp:docPr id="37" name="Frame3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evaluation, our principal executive officer and principal financial officer concluded that, as of March 31, 2023, our disclosure controls and procedures were not effective at the reasonable assurance level, due to the material weakness in our internal control over financial reporting as described in Part II, Item 9A</w:t>
      </w:r>
      <w:r>
        <w:rPr>
          <w:rFonts w:ascii="Times New Roman;sans-serif" w:hAnsi="Times New Roman;sans-serif"/>
          <w:b w:val="false"/>
          <w:i/>
          <w:color w:val="000000"/>
          <w:sz w:val="20"/>
        </w:rPr>
        <w:t>. “Controls and Procedures”</w:t>
      </w:r>
      <w:r>
        <w:rPr>
          <w:color w:val="000000"/>
        </w:rPr>
        <w:t xml:space="preserve"> </w:t>
      </w:r>
      <w:r>
        <w:rPr>
          <w:rFonts w:ascii="Times New Roman;sans-serif" w:hAnsi="Times New Roman;sans-serif"/>
          <w:b w:val="false"/>
          <w:color w:val="000000"/>
          <w:sz w:val="20"/>
        </w:rPr>
        <w:t>in our</w:t>
      </w:r>
      <w:r>
        <w:rPr>
          <w:color w:val="000000"/>
        </w:rPr>
        <w:t xml:space="preserve"> </w:t>
      </w:r>
      <w:r>
        <w:rPr>
          <w:rFonts w:ascii="Times New Roman;sans-serif" w:hAnsi="Times New Roman;sans-serif"/>
          <w:b w:val="false"/>
          <w:color w:val="000000"/>
          <w:sz w:val="20"/>
        </w:rPr>
        <w:t xml:space="preserve">Annual Report on Form 10-K for the year ended December 31, 2022.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We continue to work to remediate our material weakness in our internal control over financial reporting as described in Part II, Item 9A</w:t>
      </w:r>
      <w:r>
        <w:rPr>
          <w:rFonts w:ascii="Times New Roman;sans-serif" w:hAnsi="Times New Roman;sans-serif"/>
          <w:b w:val="false"/>
          <w:i/>
          <w:color w:val="000000"/>
          <w:sz w:val="20"/>
        </w:rPr>
        <w:t>. “Controls and Procedures”</w:t>
      </w:r>
      <w:r>
        <w:rPr>
          <w:color w:val="000000"/>
        </w:rPr>
        <w:t xml:space="preserve"> </w:t>
      </w:r>
      <w:r>
        <w:rPr>
          <w:rFonts w:ascii="Times New Roman;sans-serif" w:hAnsi="Times New Roman;sans-serif"/>
          <w:b w:val="false"/>
          <w:color w:val="000000"/>
          <w:sz w:val="20"/>
        </w:rPr>
        <w:t>in our</w:t>
      </w:r>
      <w:r>
        <w:rPr>
          <w:color w:val="000000"/>
        </w:rPr>
        <w:t xml:space="preserve"> </w:t>
      </w:r>
      <w:r>
        <w:rPr>
          <w:rFonts w:ascii="Times New Roman;sans-serif" w:hAnsi="Times New Roman;sans-serif"/>
          <w:b w:val="false"/>
          <w:color w:val="000000"/>
          <w:sz w:val="20"/>
        </w:rPr>
        <w:t>Annual Report on Form 10-K for the year ended December 31, 2022. There were no changes in our internal control over financial reporting (as defined in Rules 13a-15(f) and 15d-15(f) under the Exchange Act) during the quarter ended March 31, 2023 that have materially affected, or are reasonably likely to materially affect, our internal control over financial reporting.</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46685"/>
                <wp:effectExtent l="0" t="0" r="0" b="0"/>
                <wp:wrapNone/>
                <wp:docPr id="38" name="Frame3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jc w:val="both"/>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rPr>
        <w:t>In addition to the information set forth in this Quarterly Report on Form 10-Q, you should carefully consider the risk factors disclosed in Part I.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of our Annual Report on Form 10-K. There have been no material changes to our risk factors from those included in our Annual Report on Form 10-K.</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 Purchases of Equity Securities by the Issuer or Affiliated Purchaser</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During the three months ended March 31, 2023, we repurchased </w:t>
      </w:r>
      <w:r>
        <w:rPr>
          <w:rFonts w:ascii="Times New Roman;sans-serif" w:hAnsi="Times New Roman;sans-serif"/>
          <w:b w:val="false"/>
          <w:color w:val="000000"/>
          <w:sz w:val="20"/>
        </w:rPr>
        <w:t>$29.6 million in</w:t>
      </w:r>
      <w:r>
        <w:rPr>
          <w:color w:val="000000"/>
          <w:highlight w:val="white"/>
        </w:rPr>
        <w:t xml:space="preserve"> </w:t>
      </w:r>
      <w:r>
        <w:rPr>
          <w:rFonts w:ascii="Times New Roman;sans-serif" w:hAnsi="Times New Roman;sans-serif"/>
          <w:b w:val="false"/>
          <w:color w:val="000000"/>
          <w:sz w:val="20"/>
          <w:highlight w:val="white"/>
        </w:rPr>
        <w:t>shares of our common stock under our stock repurchase program, including transaction fees. The stock repurchase activity under our stock repurchase program during the three months ended March 31, 2023 was as follows:</w:t>
      </w:r>
    </w:p>
    <w:tbl>
      <w:tblPr>
        <w:tblW w:w="10539" w:type="dxa"/>
        <w:jc w:val="left"/>
        <w:tblInd w:w="0" w:type="dxa"/>
        <w:tblCellMar>
          <w:top w:w="28" w:type="dxa"/>
          <w:left w:w="28" w:type="dxa"/>
          <w:bottom w:w="28" w:type="dxa"/>
          <w:right w:w="28" w:type="dxa"/>
        </w:tblCellMar>
      </w:tblPr>
      <w:tblGrid>
        <w:gridCol w:w="581"/>
        <w:gridCol w:w="451"/>
        <w:gridCol w:w="454"/>
        <w:gridCol w:w="733"/>
        <w:gridCol w:w="465"/>
        <w:gridCol w:w="467"/>
        <w:gridCol w:w="109"/>
        <w:gridCol w:w="109"/>
        <w:gridCol w:w="109"/>
        <w:gridCol w:w="211"/>
        <w:gridCol w:w="616"/>
        <w:gridCol w:w="109"/>
        <w:gridCol w:w="109"/>
        <w:gridCol w:w="109"/>
        <w:gridCol w:w="109"/>
        <w:gridCol w:w="1056"/>
        <w:gridCol w:w="826"/>
        <w:gridCol w:w="828"/>
        <w:gridCol w:w="109"/>
        <w:gridCol w:w="109"/>
        <w:gridCol w:w="109"/>
        <w:gridCol w:w="535"/>
        <w:gridCol w:w="1829"/>
        <w:gridCol w:w="397"/>
      </w:tblGrid>
      <w:tr>
        <w:trPr/>
        <w:tc>
          <w:tcPr>
            <w:tcW w:w="58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82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1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Average</w:t>
            </w:r>
          </w:p>
          <w:p>
            <w:pPr>
              <w:pStyle w:val="TableContents"/>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price paid</w:t>
            </w:r>
          </w:p>
          <w:p>
            <w:pPr>
              <w:pStyle w:val="TableContents"/>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19"/>
              </w:rPr>
              <w:t xml:space="preserve">Total number of shares purchased as part of publicly announced plans or programs </w:t>
            </w:r>
            <w:r>
              <w:rPr>
                <w:rFonts w:ascii="Times New Roman;sans-serif" w:hAnsi="Times New Roman;sans-serif"/>
                <w:b w:val="false"/>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Approximate dollar value of shares that may yet be purchased under the plans or programs</w:t>
            </w:r>
          </w:p>
        </w:tc>
      </w:tr>
      <w:tr>
        <w:trPr/>
        <w:tc>
          <w:tcPr>
            <w:tcW w:w="1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19"/>
              </w:rPr>
            </w:pPr>
            <w:r>
              <w:rPr>
                <w:rFonts w:ascii="Times New Roman;sans-serif" w:hAnsi="Times New Roman;sans-serif"/>
                <w:b w:val="false"/>
                <w:i/>
                <w:color w:val="000000"/>
                <w:sz w:val="19"/>
              </w:rPr>
              <w:t>(in thousands, except per share and share amounts)</w:t>
            </w:r>
          </w:p>
        </w:tc>
      </w:tr>
      <w:tr>
        <w:trPr/>
        <w:tc>
          <w:tcPr>
            <w:tcW w:w="1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January 1, 2023 - January 31, 2023</w:t>
            </w:r>
          </w:p>
        </w:tc>
        <w:tc>
          <w:tcPr>
            <w:tcW w:w="119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1,157,697 </w:t>
            </w:r>
          </w:p>
        </w:tc>
        <w:tc>
          <w:tcPr>
            <w:tcW w:w="4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1,157,697 </w:t>
            </w:r>
          </w:p>
        </w:tc>
        <w:tc>
          <w:tcPr>
            <w:tcW w:w="8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47,336 </w:t>
            </w:r>
          </w:p>
        </w:tc>
        <w:tc>
          <w:tcPr>
            <w:tcW w:w="3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February 1, 2023 - February 28, 2023</w:t>
            </w:r>
          </w:p>
        </w:tc>
        <w:tc>
          <w:tcPr>
            <w:tcW w:w="11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817,748 </w:t>
            </w:r>
          </w:p>
        </w:tc>
        <w:tc>
          <w:tcPr>
            <w:tcW w:w="4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817,748 </w:t>
            </w:r>
          </w:p>
        </w:tc>
        <w:tc>
          <w:tcPr>
            <w:tcW w:w="8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38,845 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March 1, 2023 - March 31, 2023</w:t>
            </w:r>
          </w:p>
        </w:tc>
        <w:tc>
          <w:tcPr>
            <w:tcW w:w="119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1,148,252 </w:t>
            </w:r>
          </w:p>
        </w:tc>
        <w:tc>
          <w:tcPr>
            <w:tcW w:w="4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1,148,252 </w:t>
            </w:r>
          </w:p>
        </w:tc>
        <w:tc>
          <w:tcPr>
            <w:tcW w:w="8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27,565 </w:t>
            </w:r>
          </w:p>
        </w:tc>
        <w:tc>
          <w:tcPr>
            <w:tcW w:w="3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11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3,123,697 </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3,123,697 </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(1)On June 14, 2022, the Board of Directors of the Company approved the Repurchase Program with authorization to purchase up to $50.0 million in shares of the Company’s common stock through the expiration of the program on December 21, 2022. On November 7, 2022, our Board of Directors approved an expansion of the Repurchase Program with authorization to purchase up to an additional $50.0 million in shares of the Company’s common stock ($100.0 million total) and an extension to the expiration of the Repurchase Program through December 31, 2023. Repurchases under the program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Exchange Act. The Company may also, from time to time, enter into Rule 10b5-1 plans to facilitate repurchases of its shares under this authorization. This program does not obligate the Company to acquire any particular amount of common stock and may be modified, suspended or terminated at any time at the discretion of its board of directors. The Company expects to fund repurchases with existing cash on hand.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46685"/>
                <wp:effectExtent l="0" t="0" r="0" b="0"/>
                <wp:wrapNone/>
                <wp:docPr id="39" name="Frame3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ind w:left="0" w:right="0" w:firstLine="54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46685"/>
                <wp:effectExtent l="0" t="0" r="0" b="0"/>
                <wp:wrapNone/>
                <wp:docPr id="40" name="Frame4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79"/>
        <w:gridCol w:w="246"/>
        <w:gridCol w:w="247"/>
        <w:gridCol w:w="109"/>
        <w:gridCol w:w="109"/>
        <w:gridCol w:w="109"/>
        <w:gridCol w:w="1480"/>
        <w:gridCol w:w="1459"/>
        <w:gridCol w:w="1463"/>
        <w:gridCol w:w="109"/>
        <w:gridCol w:w="109"/>
        <w:gridCol w:w="109"/>
        <w:gridCol w:w="175"/>
        <w:gridCol w:w="175"/>
        <w:gridCol w:w="176"/>
        <w:gridCol w:w="109"/>
        <w:gridCol w:w="109"/>
        <w:gridCol w:w="109"/>
        <w:gridCol w:w="248"/>
        <w:gridCol w:w="228"/>
        <w:gridCol w:w="176"/>
        <w:gridCol w:w="109"/>
        <w:gridCol w:w="109"/>
        <w:gridCol w:w="109"/>
        <w:gridCol w:w="225"/>
        <w:gridCol w:w="225"/>
        <w:gridCol w:w="226"/>
        <w:gridCol w:w="109"/>
        <w:gridCol w:w="109"/>
        <w:gridCol w:w="109"/>
        <w:gridCol w:w="198"/>
        <w:gridCol w:w="198"/>
        <w:gridCol w:w="200"/>
        <w:gridCol w:w="109"/>
        <w:gridCol w:w="109"/>
        <w:gridCol w:w="109"/>
        <w:gridCol w:w="276"/>
        <w:gridCol w:w="276"/>
        <w:gridCol w:w="401"/>
      </w:tblGrid>
      <w:tr>
        <w:trPr/>
        <w:tc>
          <w:tcPr>
            <w:tcW w:w="27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0"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r>
      <w:tr>
        <w:trPr/>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1"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Filed/</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440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Filing</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Furnished</w:t>
              <w:br/>
              <w:t>Herewith</w:t>
            </w:r>
          </w:p>
        </w:tc>
      </w:tr>
      <w:tr>
        <w:trPr/>
        <w:tc>
          <w:tcPr>
            <w:tcW w:w="7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hyperlink r:id="rId2">
              <w:r>
                <w:rPr>
                  <w:rStyle w:val="InternetLink"/>
                  <w:rFonts w:ascii="Times New Roman;sans-serif" w:hAnsi="Times New Roman;sans-serif"/>
                  <w:b w:val="false"/>
                  <w:color w:val="0000FF"/>
                  <w:sz w:val="18"/>
                  <w:u w:val="single"/>
                </w:rPr>
                <w:t>Amended and Restated Certificate of Incorporation of EverCommerce Inc</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001-40575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7/9/2021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2"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hyperlink r:id="rId3">
              <w:r>
                <w:rPr>
                  <w:rStyle w:val="InternetLink"/>
                  <w:rFonts w:ascii="Times New Roman;sans-serif" w:hAnsi="Times New Roman;sans-serif"/>
                  <w:b w:val="false"/>
                  <w:color w:val="0000FF"/>
                  <w:sz w:val="18"/>
                  <w:u w:val="single"/>
                </w:rPr>
                <w:t>Amended and Restated Bylaws of EverCommerce Inc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001-40575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7/9/2021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ex311-certificationofchief.htm">
              <w:r>
                <w:rPr>
                  <w:rStyle w:val="InternetLink"/>
                  <w:rFonts w:ascii="Times New Roman;sans-serif" w:hAnsi="Times New Roman;sans-serif"/>
                  <w:b w:val="false"/>
                  <w:color w:val="0000FF"/>
                  <w:sz w:val="18"/>
                  <w:u w:val="single"/>
                </w:rPr>
                <w:t>Certification of Chief Executive Officer pursuant to Rule 13a-14(a)/15d-14(a)</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2"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ex312-certificationofchief.htm">
              <w:r>
                <w:rPr>
                  <w:rStyle w:val="InternetLink"/>
                  <w:rFonts w:ascii="Times New Roman;sans-serif" w:hAnsi="Times New Roman;sans-serif"/>
                  <w:b w:val="false"/>
                  <w:color w:val="0000FF"/>
                  <w:sz w:val="18"/>
                  <w:u w:val="single"/>
                </w:rPr>
                <w:t>Certification of Chief Financial Officer pursuant to Rule 13a-14(a)/15d-14(a)</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ex321-certificationofchief.htm">
              <w:r>
                <w:rPr>
                  <w:rStyle w:val="InternetLink"/>
                  <w:rFonts w:ascii="Times New Roman;sans-serif" w:hAnsi="Times New Roman;sans-serif"/>
                  <w:b w:val="false"/>
                  <w:color w:val="0000FF"/>
                  <w:sz w:val="18"/>
                  <w:u w:val="single"/>
                </w:rPr>
                <w:t>Certification of Chief Executive Officer pursuant to 18 U.S.C. Section 1350</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2"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hyperlink w:anchor="ex322-certificationofchief.htm">
              <w:r>
                <w:rPr>
                  <w:rStyle w:val="InternetLink"/>
                  <w:rFonts w:ascii="Times New Roman;sans-serif" w:hAnsi="Times New Roman;sans-serif"/>
                  <w:b w:val="false"/>
                  <w:color w:val="0000FF"/>
                  <w:sz w:val="18"/>
                  <w:u w:val="single"/>
                </w:rPr>
                <w:t>Certification of Chief Financial Officer pursuant to 18 U.S.C. Section 1350</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44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440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44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440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44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440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7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440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46685"/>
                <wp:effectExtent l="0" t="0" r="0" b="0"/>
                <wp:wrapNone/>
                <wp:docPr id="41" name="Frame4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jc w:val="both"/>
        <w:rPr/>
      </w:pPr>
      <w:r>
        <w:rPr/>
      </w:r>
    </w:p>
    <w:tbl>
      <w:tblPr>
        <w:tblW w:w="5545" w:type="dxa"/>
        <w:jc w:val="left"/>
        <w:tblInd w:w="0" w:type="dxa"/>
        <w:tblCellMar>
          <w:top w:w="28" w:type="dxa"/>
          <w:left w:w="28" w:type="dxa"/>
          <w:bottom w:w="28" w:type="dxa"/>
          <w:right w:w="28" w:type="dxa"/>
        </w:tblCellMar>
      </w:tblPr>
      <w:tblGrid>
        <w:gridCol w:w="603"/>
        <w:gridCol w:w="528"/>
        <w:gridCol w:w="533"/>
        <w:gridCol w:w="109"/>
        <w:gridCol w:w="109"/>
        <w:gridCol w:w="109"/>
        <w:gridCol w:w="345"/>
        <w:gridCol w:w="345"/>
        <w:gridCol w:w="345"/>
        <w:gridCol w:w="734"/>
        <w:gridCol w:w="734"/>
        <w:gridCol w:w="1051"/>
      </w:tblGrid>
      <w:tr>
        <w:trPr/>
        <w:tc>
          <w:tcPr>
            <w:tcW w:w="60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4" w:type="dxa"/>
            <w:gridSpan w:val="6"/>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EVERCOMMERCE INC.</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Date: 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Remer</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Eric Remer</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Date: 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Marc Thompson</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 Thompson</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i/>
                <w:color w:val="000000"/>
                <w:sz w:val="20"/>
                <w:highlight w:val="white"/>
              </w:rPr>
              <w:t>(</w:t>
            </w:r>
            <w:r>
              <w:rPr>
                <w:rFonts w:ascii="Times New Roman;sans-serif" w:hAnsi="Times New Roman;sans-serif"/>
                <w:b w:val="false"/>
                <w:i/>
                <w:color w:val="000000"/>
                <w:sz w:val="20"/>
              </w:rPr>
              <w:t>Principal Financial Officer</w:t>
            </w:r>
            <w:r>
              <w:rPr>
                <w:rFonts w:ascii="Times New Roman;sans-serif" w:hAnsi="Times New Roman;sans-serif"/>
                <w:b w:val="false"/>
                <w:i/>
                <w:color w:val="000000"/>
                <w:sz w:val="20"/>
                <w:highlight w:val="white"/>
              </w:rPr>
              <w:t>)</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46685"/>
                <wp:effectExtent l="0" t="0" r="0" b="0"/>
                <wp:wrapNone/>
                <wp:docPr id="42" name="Frame4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447.0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spacing w:lineRule="auto" w:line="240" w:before="240" w:after="283"/>
        <w:rPr>
          <w:rFonts w:ascii="Times New Roman;sans-serif" w:hAnsi="Times New Roman;sans-serif"/>
          <w:b w:val="false"/>
          <w:color w:val="000000"/>
          <w:sz w:val="20"/>
        </w:rPr>
      </w:pPr>
      <w:r>
        <w:rPr>
          <w:rFonts w:ascii="Times New Roman;sans-serif" w:hAnsi="Times New Roman;sans-serif"/>
          <w:b w:val="false"/>
          <w:color w:val="000000"/>
          <w:sz w:val="20"/>
        </w:rPr>
        <w:t>I, Eric Remer, certify that:</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EverCommerce Inc.;</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40"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0"/>
        <w:ind w:left="0" w:right="0" w:hanging="490"/>
        <w:rPr/>
      </w:pPr>
      <w:r>
        <w:rPr/>
      </w:r>
    </w:p>
    <w:tbl>
      <w:tblPr>
        <w:tblW w:w="5620" w:type="dxa"/>
        <w:jc w:val="left"/>
        <w:tblInd w:w="0" w:type="dxa"/>
        <w:tblCellMar>
          <w:top w:w="28" w:type="dxa"/>
          <w:left w:w="28" w:type="dxa"/>
          <w:bottom w:w="28" w:type="dxa"/>
          <w:right w:w="28" w:type="dxa"/>
        </w:tblCellMar>
      </w:tblPr>
      <w:tblGrid>
        <w:gridCol w:w="591"/>
        <w:gridCol w:w="520"/>
        <w:gridCol w:w="523"/>
        <w:gridCol w:w="109"/>
        <w:gridCol w:w="109"/>
        <w:gridCol w:w="109"/>
        <w:gridCol w:w="134"/>
        <w:gridCol w:w="134"/>
        <w:gridCol w:w="136"/>
        <w:gridCol w:w="954"/>
        <w:gridCol w:w="954"/>
        <w:gridCol w:w="1347"/>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spacing w:lineRule="auto" w:line="34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Remer</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top w:val="single" w:sz="2"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Eric Remer</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Director</w:t>
            </w:r>
          </w:p>
          <w:p>
            <w:pPr>
              <w:pStyle w:val="TableContents"/>
              <w:spacing w:lineRule="auto" w:line="240" w:before="0" w:after="3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75260"/>
                <wp:effectExtent l="0" t="0" r="0" b="0"/>
                <wp:wrapNone/>
                <wp:docPr id="43" name="Frame4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7.0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Marc Thompson, certify that:</w:t>
      </w:r>
    </w:p>
    <w:p>
      <w:pPr>
        <w:pStyle w:val="TextBody"/>
        <w:spacing w:lineRule="auto" w:line="240"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EverCommerce Inc.;</w:t>
      </w:r>
    </w:p>
    <w:p>
      <w:pPr>
        <w:pStyle w:val="TextBody"/>
        <w:spacing w:lineRule="auto" w:line="240"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40"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40"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40"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0"/>
        <w:ind w:left="0" w:right="0" w:hanging="490"/>
        <w:jc w:val="both"/>
        <w:rPr/>
      </w:pPr>
      <w:r>
        <w:rPr/>
      </w:r>
    </w:p>
    <w:tbl>
      <w:tblPr>
        <w:tblW w:w="4810" w:type="dxa"/>
        <w:jc w:val="left"/>
        <w:tblInd w:w="0" w:type="dxa"/>
        <w:tblCellMar>
          <w:top w:w="28" w:type="dxa"/>
          <w:left w:w="28" w:type="dxa"/>
          <w:bottom w:w="28" w:type="dxa"/>
          <w:right w:w="28" w:type="dxa"/>
        </w:tblCellMar>
      </w:tblPr>
      <w:tblGrid>
        <w:gridCol w:w="591"/>
        <w:gridCol w:w="520"/>
        <w:gridCol w:w="523"/>
        <w:gridCol w:w="109"/>
        <w:gridCol w:w="109"/>
        <w:gridCol w:w="109"/>
        <w:gridCol w:w="134"/>
        <w:gridCol w:w="134"/>
        <w:gridCol w:w="136"/>
        <w:gridCol w:w="716"/>
        <w:gridCol w:w="716"/>
        <w:gridCol w:w="1013"/>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spacing w:lineRule="auto" w:line="34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Thompson</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top w:val="single" w:sz="2"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 Thompson</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color w:val="000000"/>
                <w:sz w:val="20"/>
              </w:rPr>
            </w:pPr>
            <w:r>
              <w:rPr>
                <w:rFonts w:ascii="Times New Roman;sans-serif" w:hAnsi="Times New Roman;sans-serif"/>
                <w:b/>
                <w:color w:val="000000"/>
                <w:sz w:val="20"/>
              </w:rPr>
              <w:t xml:space="preserve">Chief Financial Officer </w:t>
            </w:r>
          </w:p>
          <w:p>
            <w:pPr>
              <w:pStyle w:val="TableContents"/>
              <w:spacing w:lineRule="auto" w:line="240" w:before="0" w:after="30"/>
              <w:jc w:val="center"/>
              <w:rPr>
                <w:rFonts w:ascii="Times New Roman;sans-serif" w:hAnsi="Times New Roman;sans-serif"/>
                <w:b/>
                <w:color w:val="000000"/>
                <w:sz w:val="20"/>
              </w:rPr>
            </w:pPr>
            <w:r>
              <w:rPr>
                <w:rFonts w:ascii="Times New Roman;sans-serif" w:hAnsi="Times New Roman;sans-serif"/>
                <w:b/>
                <w:color w:val="000000"/>
                <w:sz w:val="20"/>
              </w:rPr>
              <w:t>(principal financial officer)</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75260"/>
                <wp:effectExtent l="0" t="0" r="0" b="0"/>
                <wp:wrapNone/>
                <wp:docPr id="44" name="Frame4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7.0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EverCommerce Inc. (the “Company”) for the period ended March 31, 2023 as filed with the Securities and Exchange Commission on the date hereof (the “Report”), I certify, pursuant to 18 U.S.C. § 1350, as adopted pursuant to § 906 of the Sarbanes-Oxley Act of 2002, that, to the best of my knowledge:</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p>
      <w:pPr>
        <w:pStyle w:val="TextBody"/>
        <w:spacing w:before="0" w:after="0"/>
        <w:ind w:left="0" w:right="0" w:hanging="490"/>
        <w:jc w:val="both"/>
        <w:rPr/>
      </w:pPr>
      <w:r>
        <w:rPr/>
      </w:r>
    </w:p>
    <w:tbl>
      <w:tblPr>
        <w:tblW w:w="5620" w:type="dxa"/>
        <w:jc w:val="left"/>
        <w:tblInd w:w="0" w:type="dxa"/>
        <w:tblCellMar>
          <w:top w:w="28" w:type="dxa"/>
          <w:left w:w="28" w:type="dxa"/>
          <w:bottom w:w="28" w:type="dxa"/>
          <w:right w:w="28" w:type="dxa"/>
        </w:tblCellMar>
      </w:tblPr>
      <w:tblGrid>
        <w:gridCol w:w="591"/>
        <w:gridCol w:w="520"/>
        <w:gridCol w:w="523"/>
        <w:gridCol w:w="109"/>
        <w:gridCol w:w="109"/>
        <w:gridCol w:w="109"/>
        <w:gridCol w:w="134"/>
        <w:gridCol w:w="134"/>
        <w:gridCol w:w="136"/>
        <w:gridCol w:w="954"/>
        <w:gridCol w:w="954"/>
        <w:gridCol w:w="1347"/>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spacing w:lineRule="auto" w:line="34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Remer</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Eric Remer</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Director</w:t>
            </w:r>
          </w:p>
          <w:p>
            <w:pPr>
              <w:pStyle w:val="TableContents"/>
              <w:spacing w:lineRule="auto" w:line="240" w:before="0" w:after="3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75260"/>
                <wp:effectExtent l="0" t="0" r="0" b="0"/>
                <wp:wrapNone/>
                <wp:docPr id="45" name="Frame4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7.0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EverCommerce Inc. (the “Company”) for the period ended March 31, 2023 as filed with the Securities and Exchange Commission on the date hereof (the “Report”), I certify, pursuant to 18 U.S.C. § 1350, as adopted pursuant to § 906 of the Sarbanes-Oxley Act of 2002, that, to the best of my knowledge:</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p>
      <w:pPr>
        <w:pStyle w:val="TextBody"/>
        <w:spacing w:before="0" w:after="0"/>
        <w:ind w:left="0" w:right="0" w:hanging="490"/>
        <w:jc w:val="both"/>
        <w:rPr/>
      </w:pPr>
      <w:r>
        <w:rPr/>
      </w:r>
    </w:p>
    <w:tbl>
      <w:tblPr>
        <w:tblW w:w="4810" w:type="dxa"/>
        <w:jc w:val="left"/>
        <w:tblInd w:w="0" w:type="dxa"/>
        <w:tblCellMar>
          <w:top w:w="28" w:type="dxa"/>
          <w:left w:w="28" w:type="dxa"/>
          <w:bottom w:w="28" w:type="dxa"/>
          <w:right w:w="28" w:type="dxa"/>
        </w:tblCellMar>
      </w:tblPr>
      <w:tblGrid>
        <w:gridCol w:w="591"/>
        <w:gridCol w:w="520"/>
        <w:gridCol w:w="523"/>
        <w:gridCol w:w="109"/>
        <w:gridCol w:w="109"/>
        <w:gridCol w:w="109"/>
        <w:gridCol w:w="134"/>
        <w:gridCol w:w="134"/>
        <w:gridCol w:w="136"/>
        <w:gridCol w:w="716"/>
        <w:gridCol w:w="716"/>
        <w:gridCol w:w="1013"/>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spacing w:lineRule="auto" w:line="34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Thompson</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 Thompson</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color w:val="000000"/>
                <w:sz w:val="20"/>
              </w:rPr>
            </w:pPr>
            <w:r>
              <w:rPr>
                <w:rFonts w:ascii="Times New Roman;sans-serif" w:hAnsi="Times New Roman;sans-serif"/>
                <w:b/>
                <w:color w:val="000000"/>
                <w:sz w:val="20"/>
              </w:rPr>
              <w:t xml:space="preserve">Chief Financial Officer </w:t>
            </w:r>
          </w:p>
          <w:p>
            <w:pPr>
              <w:pStyle w:val="TableContents"/>
              <w:spacing w:lineRule="auto" w:line="240" w:before="0" w:after="30"/>
              <w:jc w:val="center"/>
              <w:rPr>
                <w:rFonts w:ascii="Times New Roman;sans-serif" w:hAnsi="Times New Roman;sans-serif"/>
                <w:b/>
                <w:color w:val="000000"/>
                <w:sz w:val="20"/>
              </w:rPr>
            </w:pPr>
            <w:r>
              <w:rPr>
                <w:rFonts w:ascii="Times New Roman;sans-serif" w:hAnsi="Times New Roman;sans-serif"/>
                <w:b/>
                <w:color w:val="000000"/>
                <w:sz w:val="20"/>
              </w:rPr>
              <w:t>(principal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75260"/>
                <wp:effectExtent l="0" t="0" r="0" b="0"/>
                <wp:wrapNone/>
                <wp:docPr id="46" name="Frame4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853145/000114036121023912/nt10022251x16_ex3-1.htm" TargetMode="External"/><Relationship Id="rId3" Type="http://schemas.openxmlformats.org/officeDocument/2006/relationships/hyperlink" Target="http://www.sec.gov/Archives/edgar/data/0001853145/000114036121023912/nt10022251x16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17225</Words>
  <CharactersWithSpaces>113723</CharactersWithSpaces>
  <Paragraphs>1911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