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3" w:lineRule="exact"/>
        <w:rPr>
          <w:sz w:val="24"/>
          <w:szCs w:val="24"/>
          <w:color w:val="auto"/>
        </w:rPr>
      </w:pPr>
    </w:p>
    <w:p>
      <w:pPr>
        <w:ind w:left="560" w:hanging="363"/>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3" w:lineRule="exact"/>
        <w:rPr>
          <w:sz w:val="24"/>
          <w:szCs w:val="24"/>
          <w:color w:val="auto"/>
        </w:rPr>
      </w:pPr>
    </w:p>
    <w:p>
      <w:pPr>
        <w:ind w:left="600" w:hanging="376"/>
        <w:spacing w:after="0"/>
        <w:tabs>
          <w:tab w:leader="none" w:pos="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001-40575</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EverCommerce Inc.</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44" w:lineRule="exact"/>
        <w:rPr>
          <w:sz w:val="24"/>
          <w:szCs w:val="24"/>
          <w:color w:val="auto"/>
        </w:rPr>
      </w:pPr>
    </w:p>
    <w:tbl>
      <w:tblPr>
        <w:tblLayout w:type="fixed"/>
        <w:tblInd w:w="2900" w:type="dxa"/>
        <w:tblCellMar>
          <w:top w:w="0" w:type="dxa"/>
          <w:left w:w="0" w:type="dxa"/>
          <w:bottom w:w="0" w:type="dxa"/>
          <w:right w:w="0" w:type="dxa"/>
        </w:tblCellMar>
      </w:tblPr>
      <w:tr>
        <w:trPr>
          <w:trHeight w:val="190"/>
        </w:trPr>
        <w:tc>
          <w:tcPr>
            <w:tcW w:w="2800" w:type="dxa"/>
            <w:vAlign w:val="bottom"/>
          </w:tcPr>
          <w:p>
            <w:pPr>
              <w:jc w:val="center"/>
              <w:ind w:right="63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6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81-4063248</w:t>
            </w:r>
          </w:p>
        </w:tc>
        <w:tc>
          <w:tcPr>
            <w:tcW w:w="0" w:type="dxa"/>
            <w:vAlign w:val="bottom"/>
          </w:tcPr>
          <w:p>
            <w:pPr>
              <w:spacing w:after="0"/>
              <w:rPr>
                <w:sz w:val="1"/>
                <w:szCs w:val="1"/>
                <w:color w:val="auto"/>
              </w:rPr>
            </w:pPr>
          </w:p>
        </w:tc>
      </w:tr>
      <w:tr>
        <w:trPr>
          <w:trHeight w:val="179"/>
        </w:trPr>
        <w:tc>
          <w:tcPr>
            <w:tcW w:w="2800" w:type="dxa"/>
            <w:vAlign w:val="bottom"/>
          </w:tcPr>
          <w:p>
            <w:pPr>
              <w:jc w:val="center"/>
              <w:ind w:right="633"/>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640" w:type="dxa"/>
            <w:vAlign w:val="bottom"/>
            <w:vMerge w:val="restart"/>
          </w:tcPr>
          <w:p>
            <w:pPr>
              <w:jc w:val="center"/>
              <w:ind w:left="653"/>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85"/>
        </w:trPr>
        <w:tc>
          <w:tcPr>
            <w:tcW w:w="2800" w:type="dxa"/>
            <w:vAlign w:val="bottom"/>
            <w:vMerge w:val="restart"/>
          </w:tcPr>
          <w:p>
            <w:pPr>
              <w:jc w:val="center"/>
              <w:ind w:right="633"/>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0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800" w:type="dxa"/>
            <w:vAlign w:val="bottom"/>
          </w:tcPr>
          <w:p>
            <w:pPr>
              <w:jc w:val="center"/>
              <w:ind w:right="633"/>
              <w:spacing w:after="0"/>
              <w:rPr>
                <w:sz w:val="20"/>
                <w:szCs w:val="20"/>
                <w:color w:val="auto"/>
              </w:rPr>
            </w:pPr>
            <w:r>
              <w:rPr>
                <w:rFonts w:ascii="Times New Roman" w:cs="Times New Roman" w:eastAsia="Times New Roman" w:hAnsi="Times New Roman"/>
                <w:sz w:val="14"/>
                <w:szCs w:val="14"/>
                <w:b w:val="1"/>
                <w:bCs w:val="1"/>
                <w:color w:val="auto"/>
              </w:rPr>
              <w:t>3601 Walnut Street, Suite 400</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800" w:type="dxa"/>
            <w:vAlign w:val="bottom"/>
          </w:tcPr>
          <w:p>
            <w:pPr>
              <w:jc w:val="center"/>
              <w:ind w:right="633"/>
              <w:spacing w:after="0"/>
              <w:rPr>
                <w:sz w:val="20"/>
                <w:szCs w:val="20"/>
                <w:color w:val="auto"/>
              </w:rPr>
            </w:pPr>
            <w:r>
              <w:rPr>
                <w:rFonts w:ascii="Times New Roman" w:cs="Times New Roman" w:eastAsia="Times New Roman" w:hAnsi="Times New Roman"/>
                <w:sz w:val="14"/>
                <w:szCs w:val="14"/>
                <w:b w:val="1"/>
                <w:bCs w:val="1"/>
                <w:color w:val="auto"/>
              </w:rPr>
              <w:t>Denver, Colorado</w:t>
            </w:r>
          </w:p>
        </w:tc>
        <w:tc>
          <w:tcPr>
            <w:tcW w:w="264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80205</w:t>
            </w:r>
          </w:p>
        </w:tc>
        <w:tc>
          <w:tcPr>
            <w:tcW w:w="0" w:type="dxa"/>
            <w:vAlign w:val="bottom"/>
          </w:tcPr>
          <w:p>
            <w:pPr>
              <w:spacing w:after="0"/>
              <w:rPr>
                <w:sz w:val="1"/>
                <w:szCs w:val="1"/>
                <w:color w:val="auto"/>
              </w:rPr>
            </w:pPr>
          </w:p>
        </w:tc>
      </w:tr>
      <w:tr>
        <w:trPr>
          <w:trHeight w:val="197"/>
        </w:trPr>
        <w:tc>
          <w:tcPr>
            <w:tcW w:w="2800" w:type="dxa"/>
            <w:vAlign w:val="bottom"/>
          </w:tcPr>
          <w:p>
            <w:pPr>
              <w:jc w:val="center"/>
              <w:ind w:right="633"/>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640" w:type="dxa"/>
            <w:vAlign w:val="bottom"/>
          </w:tcPr>
          <w:p>
            <w:pPr>
              <w:jc w:val="center"/>
              <w:ind w:left="673"/>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(720) 647-4948</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00" w:lineRule="exact"/>
        <w:rPr>
          <w:sz w:val="24"/>
          <w:szCs w:val="24"/>
          <w:color w:val="auto"/>
        </w:rPr>
      </w:pPr>
    </w:p>
    <w:tbl>
      <w:tblPr>
        <w:tblLayout w:type="fixed"/>
        <w:tblInd w:w="10" w:type="dxa"/>
        <w:tblCellMar>
          <w:top w:w="0" w:type="dxa"/>
          <w:left w:w="0" w:type="dxa"/>
          <w:bottom w:w="0" w:type="dxa"/>
          <w:right w:w="0" w:type="dxa"/>
        </w:tblCellMar>
      </w:tblPr>
      <w:tr>
        <w:trPr>
          <w:trHeight w:val="196"/>
        </w:trPr>
        <w:tc>
          <w:tcPr>
            <w:tcW w:w="3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93"/>
        </w:trPr>
        <w:tc>
          <w:tcPr>
            <w:tcW w:w="3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$0.00001 par value</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EVCM</w:t>
            </w: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3"/>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26" w:lineRule="exact"/>
        <w:rPr>
          <w:sz w:val="24"/>
          <w:szCs w:val="24"/>
          <w:color w:val="auto"/>
        </w:rPr>
      </w:pPr>
    </w:p>
    <w:p>
      <w:pPr>
        <w:ind w:right="2600"/>
        <w:spacing w:after="0" w:line="250"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jc w:val="both"/>
        <w:spacing w:after="0" w:line="23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2" w:lineRule="exact"/>
        <w:rPr>
          <w:sz w:val="24"/>
          <w:szCs w:val="24"/>
          <w:color w:val="auto"/>
        </w:rPr>
      </w:pPr>
    </w:p>
    <w:p>
      <w:pPr>
        <w:jc w:val="both"/>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6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2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Accelerated filer</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2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02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spacing w:after="0"/>
              <w:rPr>
                <w:sz w:val="23"/>
                <w:szCs w:val="23"/>
                <w:color w:val="auto"/>
              </w:rPr>
            </w:pPr>
          </w:p>
        </w:tc>
        <w:tc>
          <w:tcPr>
            <w:tcW w:w="760" w:type="dxa"/>
            <w:vAlign w:val="bottom"/>
          </w:tcPr>
          <w:p>
            <w:pPr>
              <w:spacing w:after="0"/>
              <w:rPr>
                <w:sz w:val="23"/>
                <w:szCs w:val="23"/>
                <w:color w:val="auto"/>
              </w:rPr>
            </w:pPr>
          </w:p>
        </w:tc>
      </w:tr>
    </w:tbl>
    <w:p>
      <w:pPr>
        <w:spacing w:after="0" w:line="250" w:lineRule="exact"/>
        <w:rPr>
          <w:sz w:val="24"/>
          <w:szCs w:val="24"/>
          <w:color w:val="auto"/>
        </w:rPr>
      </w:pPr>
    </w:p>
    <w:p>
      <w:pPr>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 w:lineRule="exact"/>
        <w:rPr>
          <w:sz w:val="24"/>
          <w:szCs w:val="24"/>
          <w:color w:val="auto"/>
        </w:rPr>
      </w:pPr>
    </w:p>
    <w:p>
      <w:pPr>
        <w:ind w:right="20"/>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8" w:lineRule="exact"/>
        <w:rPr>
          <w:sz w:val="24"/>
          <w:szCs w:val="24"/>
          <w:color w:val="auto"/>
        </w:rPr>
      </w:pPr>
    </w:p>
    <w:p>
      <w:pPr>
        <w:ind w:right="20"/>
        <w:spacing w:after="0" w:line="20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8" w:lineRule="exact"/>
        <w:rPr>
          <w:sz w:val="24"/>
          <w:szCs w:val="24"/>
          <w:color w:val="auto"/>
        </w:rPr>
      </w:pPr>
    </w:p>
    <w:p>
      <w:pPr>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 xml:space="preserve">As of June 28, </w:t>
      </w:r>
      <w:r>
        <w:rPr>
          <w:rFonts w:ascii="Times New Roman" w:cs="Times New Roman" w:eastAsia="Times New Roman" w:hAnsi="Times New Roman"/>
          <w:sz w:val="17"/>
          <w:szCs w:val="17"/>
          <w:color w:val="auto"/>
        </w:rPr>
        <w:t>2024</w:t>
      </w:r>
      <w:r>
        <w:rPr>
          <w:rFonts w:ascii="Times New Roman" w:cs="Times New Roman" w:eastAsia="Times New Roman" w:hAnsi="Times New Roman"/>
          <w:sz w:val="16"/>
          <w:szCs w:val="16"/>
          <w:color w:val="auto"/>
        </w:rPr>
        <w:t>, the aggregate market value of the voting and non-voting common equity held by non-affiliates of the registrant, based on the last reported sales price for the registrant’s common stock, par value $0.00001 per share, on the Nasdaq Stock Market on such date, was $212.8 million.</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registrant had outstanding 183,389,354 shares of common stock as of March 7, 2025.</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72"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its 2025 Annual Meeting of Stockholders to be filed with the SEC within 120 days after the end of the fiscal year ended December 31, 2024 are incorporated herein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434340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p>
      <w:pPr>
        <w:spacing w:after="0" w:line="11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macroeconomic and market conditions, equity compensation, business strategy, plans, market growth, future acquisitions and other capital expenditures, expectations regarding the strategic review of our Marketing Technology Solutions including any potential sale, progress towards remediation of our material weakness and our objectives for future operations.</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year ended December 31, 2024.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and have filed as exhibits to this Annual Report on Form 10-K with the understanding that our actual future results,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Annual Report on Form 10-K. You should carefully consider these risks and uncertainties when investing in our common stock. The principal risks and uncertainties affecting our business include the following:</w:t>
      </w:r>
    </w:p>
    <w:p>
      <w:pPr>
        <w:spacing w:after="0" w:line="122" w:lineRule="exact"/>
        <w:rPr>
          <w:sz w:val="20"/>
          <w:szCs w:val="20"/>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our evolving business make it difficult to evaluate our future prospects and the risks and challenges we may encounter.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growth rates may not be sustainable or indicative of future growth.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net losses in the past and we may not achieve profitability in the future.</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continue to experience significant quarterly and annual fluctuations in our operating results due to a number of factors, which makes our future operating results difficult to predict.</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support the growth of our business and our acquisition strategy, we may need to incur additional indebtedness or seek capital through new equity or debt financings.</w:t>
      </w:r>
    </w:p>
    <w:p>
      <w:pPr>
        <w:spacing w:after="0" w:line="40"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may not be able to continue to expand our share of our existing vertical markets or expand into new vertical markets, which would inhibit our ability to grow and increase our profitability.</w:t>
      </w:r>
    </w:p>
    <w:p>
      <w:pPr>
        <w:spacing w:after="0" w:line="37" w:lineRule="exact"/>
        <w:rPr>
          <w:rFonts w:ascii="Times New Roman" w:cs="Times New Roman" w:eastAsia="Times New Roman" w:hAnsi="Times New Roman"/>
          <w:sz w:val="22"/>
          <w:szCs w:val="22"/>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each of the industries in which we operate, which could negatively impact our business, results of operations and financial condition and cause our market share to decline.</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industries in which we operate are rapidly evolving and subject to consolidation and the market for technology-enabled services that empower SMBs (defined below) is relatively immature and unproven.</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economic and political risk, the business cycles of our clients and changes in the overall level of consumer and commercial spending, which could negatively impact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payment card networks, such as Visa and MasterCard, and payment processors, such as Worldpay and PayPal, and if we fail to comply with the applicable requirements of the payment networks or our payment processors, they can seek to fine us, suspend us, terminate our agreements and/or terminate our registrations through our bank sponsors.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keep pace with rapid developments and changes in the electronic payments market or are unable to introduce, develop and market new and enhanced versions of our software solutions, we may be put at a competitive disadvantage with respect to our services that incorporated payment technology.</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errors, failures or bugs in our solutions could adversely affect our business, results of operations, financial condition and growth prospects.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disclosure, destruction or modification of data, disruption of our software or services or cyber breaches could expose us to liability, protracted and costly litigation and damage our reputation.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total addressable market is subject to inherent challenges and uncertainties.</w:t>
      </w:r>
    </w:p>
    <w:p>
      <w:pPr>
        <w:spacing w:after="0" w:line="63" w:lineRule="exact"/>
        <w:rPr>
          <w:rFonts w:ascii="Times New Roman" w:cs="Times New Roman" w:eastAsia="Times New Roman" w:hAnsi="Times New Roman"/>
          <w:sz w:val="18"/>
          <w:szCs w:val="18"/>
          <w:color w:val="auto"/>
        </w:rPr>
      </w:pPr>
    </w:p>
    <w:p>
      <w:pPr>
        <w:ind w:left="660" w:right="20" w:hanging="328"/>
        <w:spacing w:after="0" w:line="27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sales and marketing capabilities could harm our ability to increase our customer base and achieve broader market acceptance and utilization of our solutions.</w:t>
      </w:r>
    </w:p>
    <w:p>
      <w:pPr>
        <w:spacing w:after="0" w:line="4"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Impairment in the value of our goodwill or intangible assets has adversely impacted and may in the future have a material adverse effect on our operating results and financial condition.</w:t>
      </w:r>
    </w:p>
    <w:p>
      <w:pPr>
        <w:spacing w:after="0" w:line="1"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technology systems and our third-party providers’ information technology systems, including Worldpay, PayPal and other payment processing partners, may fail, or our third-party providers may discontinue providing their services or technology generally or to us specifically, which in either case could interrupt our business, cause us to lose business and increase our costs.</w:t>
      </w:r>
    </w:p>
    <w:p>
      <w:pPr>
        <w:spacing w:after="0" w:line="13" w:lineRule="exact"/>
        <w:rPr>
          <w:rFonts w:ascii="Times New Roman" w:cs="Times New Roman" w:eastAsia="Times New Roman" w:hAnsi="Times New Roman"/>
          <w:sz w:val="18"/>
          <w:szCs w:val="18"/>
          <w:color w:val="auto"/>
        </w:rPr>
      </w:pPr>
    </w:p>
    <w:p>
      <w:pPr>
        <w:ind w:left="660" w:hanging="328"/>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improve our margin, in particular within Marketing Technology Solutions, we may experience lower aggregate profitability and margins.</w:t>
      </w:r>
    </w:p>
    <w:p>
      <w:pPr>
        <w:spacing w:after="0" w:line="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future pandemic, epidemic or outbreak of an infectious disease could impact, our business, financial condition and results of operations, as well as the business or operations of third parties with whom we conduct business.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achieving our objectives through acquisitions, dispositions or other strategic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and profits generated through acquisitions may be less than anticipated, and we may fail to uncover all liabilities of acquisition targets.</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Scrutiny on environmental sustainability and social initiatives could increase our costs, harm our reputation and adversely impact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 w:name="page4"/>
    <w:bookmarkEnd w:id="3"/>
    <w:p>
      <w:pPr>
        <w:ind w:left="328" w:hanging="328"/>
        <w:spacing w:after="0" w:line="281" w:lineRule="auto"/>
        <w:tabs>
          <w:tab w:leader="none" w:pos="323"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may be unable to adequately protect or enforce, and we may incur significant costs in enforcing or defending, our intellectual property and other proprietary rights.</w:t>
      </w:r>
    </w:p>
    <w:p>
      <w:pPr>
        <w:spacing w:after="0" w:line="1" w:lineRule="exact"/>
        <w:rPr>
          <w:rFonts w:ascii="Times New Roman" w:cs="Times New Roman" w:eastAsia="Times New Roman" w:hAnsi="Times New Roman"/>
          <w:sz w:val="18"/>
          <w:szCs w:val="18"/>
          <w:i w:val="1"/>
          <w:iCs w:val="1"/>
          <w:color w:val="auto"/>
        </w:rPr>
      </w:pPr>
    </w:p>
    <w:p>
      <w:pPr>
        <w:ind w:left="328" w:right="20" w:hanging="328"/>
        <w:spacing w:after="0" w:line="281"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patent, trademark and other intellectual property infringement claims, which may be time-consuming, and cause us to incur significant liability and increase our costs of doing business.</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and user bases, and thereby decrease our revenue.</w:t>
      </w:r>
    </w:p>
    <w:p>
      <w:pPr>
        <w:spacing w:after="0" w:line="13" w:lineRule="exact"/>
        <w:rPr>
          <w:rFonts w:ascii="Times New Roman" w:cs="Times New Roman" w:eastAsia="Times New Roman" w:hAnsi="Times New Roman"/>
          <w:sz w:val="18"/>
          <w:szCs w:val="18"/>
          <w:color w:val="auto"/>
        </w:rPr>
      </w:pPr>
    </w:p>
    <w:p>
      <w:pPr>
        <w:ind w:left="328" w:hanging="328"/>
        <w:spacing w:after="0" w:line="281"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our sponsor stockholders’ agreement, who also hold a significant portion of our common stock, control the direction of our business and such parties’ ownership of our common stock prevent you and other stockholders from influencing significant decisions.</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under the corporate governance rules of The Nasdaq Stock Market and, as a result, qualify for, and rely on, exemptions from certain corporate governance requirements. You do not have the same protections afforded to stockholders of companies that are subject to such requirements.</w:t>
      </w:r>
    </w:p>
    <w:p>
      <w:pPr>
        <w:spacing w:after="0" w:line="54" w:lineRule="exact"/>
        <w:rPr>
          <w:rFonts w:ascii="Times New Roman" w:cs="Times New Roman" w:eastAsia="Times New Roman" w:hAnsi="Times New Roman"/>
          <w:sz w:val="18"/>
          <w:szCs w:val="18"/>
          <w:color w:val="auto"/>
        </w:rPr>
      </w:pPr>
    </w:p>
    <w:p>
      <w:pPr>
        <w:ind w:left="328" w:hanging="328"/>
        <w:spacing w:after="0" w:line="234" w:lineRule="auto"/>
        <w:tabs>
          <w:tab w:leader="none" w:pos="32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incur significant increased costs as a result of operating as a public company, and our management is required to devote substantial time to new compliance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725805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22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94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20" w:type="dxa"/>
            <w:vAlign w:val="bottom"/>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89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9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Business</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5"/>
              </w:rPr>
              <w:t>I-1</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8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 Factors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I-12</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2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I-43</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8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Cybersecurity</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I-43</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Properties</w:t>
            </w:r>
          </w:p>
        </w:tc>
        <w:tc>
          <w:tcPr>
            <w:tcW w:w="12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I-44</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8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Legal Proceedings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I-44</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Mine Safety Disclosures</w:t>
            </w:r>
          </w:p>
        </w:tc>
        <w:tc>
          <w:tcPr>
            <w:tcW w:w="12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I-44</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6"/>
        </w:trPr>
        <w:tc>
          <w:tcPr>
            <w:tcW w:w="20" w:type="dxa"/>
            <w:vAlign w:val="bottom"/>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9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9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Item 5.</w:t>
            </w:r>
          </w:p>
        </w:tc>
        <w:tc>
          <w:tcPr>
            <w:tcW w:w="8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Market for Registrant’s Common Equity, Related Shareholder Matters and Issuer Purchases of Equity Securities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II-1</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[Reserved]</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II-2</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8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II-3</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II-21</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8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II-22</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II-52</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8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Controls and Procedures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II-52</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Information</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II-54</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8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II-54</w:t>
            </w:r>
          </w:p>
        </w:tc>
        <w:tc>
          <w:tcPr>
            <w:tcW w:w="2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9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89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10.</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III-1</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8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Executive Compensation</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III-1</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Shareholder Matters</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III-1</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8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III-2</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III-2</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6"/>
        </w:trPr>
        <w:tc>
          <w:tcPr>
            <w:tcW w:w="20" w:type="dxa"/>
            <w:vAlign w:val="bottom"/>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9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9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Item 15.</w:t>
            </w:r>
          </w:p>
        </w:tc>
        <w:tc>
          <w:tcPr>
            <w:tcW w:w="8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IV-1</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8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10-K Summary</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4"/>
              </w:rPr>
              <w:t>IV-2</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Signatures</w:t>
            </w: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1681"/>
        </w:trPr>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9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EverCommerce is simplifying and empowering the lives of business owners whose services support us every day. We provide tailored, integrated Software-as-a-Service (“SaaS”) solutions that support the highly diverse workflows and customer interactions that professionals in home services, health services, and wellness services need to automate manual processes, generate new business, and create more loyal customers.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EverCommerce is a leading provider of integrated, vertically-tailored SaaS solutions for service-based small- and medium-sized businesses (“service SMBs”). Our platform spans across the full lifecycle of interactions between consumers and service professionals with vertical-specific applications. Today, we serve approximately 740,000 customers across three core verticals: EverPro for Home Services; EverHealth for Health Services; and EverWell for Wellness Services. Within our core verticals, our customers operate within numerous micro-verticals, ranging from home service professionals, such as home improvement contractors and home maintenance technicians, to physician practices and therapists within Health Services, and salon owners within Wellness. Our platform provides vertically-tailored SaaS solutions that address service SMBs’ increasingly specialized demands, as well as highly complementary solutions that provide fully-integrated offerings, allowing service SMBs and EverCommerce to succeed in the market, and provide end consumers more convenient service experiences. For the year ended December 31, 2024, we estimate that approximately 93% of our customers contributed less than $2 thousand in revenue and approximately 3% contributed more than $5 thousand in revenue.</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13, 2024, the Company entered into definitive sale and purchase agreements to sell our fitness solutions to Jonas Fitness Portfolio Holdco Inc. (“Jonas Software”) (see “</w:t>
      </w:r>
      <w:r>
        <w:rPr>
          <w:rFonts w:ascii="Times New Roman" w:cs="Times New Roman" w:eastAsia="Times New Roman" w:hAnsi="Times New Roman"/>
          <w:sz w:val="18"/>
          <w:szCs w:val="18"/>
          <w:i w:val="1"/>
          <w:iCs w:val="1"/>
          <w:color w:val="auto"/>
        </w:rPr>
        <w:t>Note 3. Acquisitions and Dispositions”</w:t>
      </w:r>
      <w:r>
        <w:rPr>
          <w:rFonts w:ascii="Times New Roman" w:cs="Times New Roman" w:eastAsia="Times New Roman" w:hAnsi="Times New Roman"/>
          <w:sz w:val="18"/>
          <w:szCs w:val="18"/>
          <w:color w:val="auto"/>
        </w:rPr>
        <w:t xml:space="preserve"> in the Notes to the Consolidated Financial Statements for additional details). The sale of American Service Finance LLC., ASF Payment Solutions ULC and Technique Fitness Inc. (collectively, “North American Fitness”), closed simultaneous with signing. The sale of EverCommerce UK, including wholly-owned subsidiaries Fitii UK (MyPTHub and MyPTHub LLC) and ClubWise UK and its wholly-owned subsidiary ClubWise Australia (collectively, “UK Fitness” and together with North American Fitness, “Fitness Solutions”), closed on July 1, 2024.</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Small- and medium-sized businesses (“SMBs”) are an important engine for economic growth. Collectively, in 2024 SMBs represented the single largest employer and employee category in the U.S. economy, accounting for 99.9% of businesses in the United States, 46% of the U.S. private workforce and over 43% of U.S. GDP. The services sector is the backbone of the U.S. economy, representing approximately 77% of U.S. GDP and 80% of U.S. employment. Service businesses are the largest segment of the SMB market, employing approximately 50 million people in the U.S. alone.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Today, service SMBs are accelerating their adoption of digital technologies to increase growth, drive efficiencies and enhance customer engagement. At the same time, their technology needs are becoming increasingly specialized as they adapt their businesses to better compete and align with evolving consumer preferences. However, service SMBs typically lack available resources to invest in and support expensive enterprise technology solutions and often rely on little-to-no technology. When technology is used, it is often a fragmented set of point solutions with insufficient integrated capabilities to support the complete service lifecycle.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inception, we have taken a differentiated approach from other software providers. We recognize that all service SMBs require solutions that enable them to perform three key functions: (i) acquire new customers and generate new business opportunities; (ii) manage and scale business operations; and</w:t>
      </w:r>
    </w:p>
    <w:p>
      <w:pPr>
        <w:jc w:val="both"/>
        <w:ind w:firstLine="8"/>
        <w:spacing w:after="0" w:line="251" w:lineRule="auto"/>
        <w:tabs>
          <w:tab w:leader="none" w:pos="32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expand on customer relationships. However, services SMBs require functionality specific to their vertical market because the workflows vary by vertical. For example, the business management requirements of home services contractors are different than the business management requirements of small physician practices. As a result, we have built a comprehensive platform designed specifically to meet the unique integrated workflow needs of service SMBs. Our integrated solutions include Business Management Software (such as route-based dispatching and medical practice management), Billing &amp; Payment Solutions (such as e-invoicing, mobile payments and integrated payment processing), Customer Experience Solutions (such as reputation management and messaging solutions) and Marketing Technology Solutions (such as websites, hosting and digital lead generation). These solutions help our customers address the challenges posed by legacy solutions by providing software that addresses the complete customer engagement workflow, streamlining front- and back-office processes, driving new sales and retention, enabling deeper performance insights and improving customer experiences with digital, mobile-friendly engagement.</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go to market with suites of solutions that are aligned to our three core verticals. Within each suite, our Business Management Software – the system of action at the center of a service business’ operation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expand into offerings via product development (“build”) and acquisitions (“buy”) that integrate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workflows, fill gaps in the solutions value chain and power the full scope of our customers’ businesses. This results in a self-reinforcing flywheel, enabling us to drive more value for our customers and, in turn, fuel our growth by increasing Average Revenue per Unit (“ARPU”), improving customer stickiness and increasing our market share.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offer multiple products and address several verticals and micro-verticals, we manage our business with a singular, centralized approach to strategy and operations. We centralize key functions including marketing, business operations, cybersecurity and general and administrative functions, ensuring consistency in execution across each of our verticals, and ultimately stimulating a culture of operational excellence.</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revenue has grown at a compound annual growth rate (“CAGR”) of 12.5% from 2021 to 2024, and reached $698.8 million for the year ended December 31, 2024, up from $675.4 million for the year ended December 31, 2023, which represents revenue growth of 3.5% from 2023 to 2024. Our net loss was $41.1 million for the year ended December 31, 2024, compared to a net loss of $45.6 million for the year ended December 31, 2023. Our Adjusted EBITDA reached $177.0 million for the year ended December 31, 2024, up from $155.6 million for the year ended December 31, 2023. Moreover, our business benefits from attractive unit economics; we estimate the lifetime value of our customers to be approximately six times the cost of acquiring them. For a reconciliation of Adjusted EBITDA to the most directly comparable United States Generally Accepted Accounting Principles (“U.S. GAAP”) financial measure, information about why we consider Adjusted EBITDA useful and a discussion of the material risks and limitations of this measure, please see Part II. Item 7, </w:t>
      </w:r>
      <w:r>
        <w:rPr>
          <w:rFonts w:ascii="Times New Roman" w:cs="Times New Roman" w:eastAsia="Times New Roman" w:hAnsi="Times New Roman"/>
          <w:sz w:val="18"/>
          <w:szCs w:val="18"/>
          <w:i w:val="1"/>
          <w:iCs w:val="1"/>
          <w:color w:val="auto"/>
        </w:rPr>
        <w:t>“Management’s Discussion and Analysis of Financial Condition and Results of Operations—Key Business and Financial Metrics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—Non-GAAP Financial Measures.”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impacting our industry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Service SMBs are still in the early innings of transforming their businesses for the digital age. We estimate that only 9% of the service SMB market has been penetrated with fully-integrated software solutions. However, we believe that small businesses now generally view digitization as critical to long-term success. Similar to other industries that are going through major digital transformations – including education, life sciences, public sector, real estate and banking – we believe a number of trends are contributing to the adoption of modern, vertically-tailored software solutions for service SMBs. EverCommerce is operating at the center of many of these trends, including:</w:t>
      </w:r>
    </w:p>
    <w:p>
      <w:pPr>
        <w:spacing w:after="0" w:line="71" w:lineRule="exact"/>
        <w:rPr>
          <w:sz w:val="20"/>
          <w:szCs w:val="20"/>
          <w:color w:val="auto"/>
        </w:rPr>
      </w:pPr>
    </w:p>
    <w:p>
      <w:pPr>
        <w:jc w:val="both"/>
        <w:ind w:left="660" w:hanging="328"/>
        <w:spacing w:after="0" w:line="26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Accelerating adoption of digital technologies. </w:t>
      </w:r>
      <w:r>
        <w:rPr>
          <w:rFonts w:ascii="Times New Roman" w:cs="Times New Roman" w:eastAsia="Times New Roman" w:hAnsi="Times New Roman"/>
          <w:sz w:val="18"/>
          <w:szCs w:val="18"/>
          <w:color w:val="auto"/>
        </w:rPr>
        <w:t>Consumers’ preferences for digital experiences have accelerated in recent years. At the same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digital solutions are emerging to enable businesses to increase growth, drive efficiencies and enhance customer engagement. Together, these trends are contributing to the accelerating adoption of digital technologies.</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Increasingly vertical- and micro vertical-specific software needs. </w:t>
      </w:r>
      <w:r>
        <w:rPr>
          <w:rFonts w:ascii="Times New Roman" w:cs="Times New Roman" w:eastAsia="Times New Roman" w:hAnsi="Times New Roman"/>
          <w:sz w:val="18"/>
          <w:szCs w:val="18"/>
          <w:color w:val="auto"/>
        </w:rPr>
        <w:t>SMBs across verticals are specializing in order to better compete and align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end-customer preferences, which has resulted in a greater need for vertically-tailored software solutions to address micro-vertical specific workflows.</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Digital payments. </w:t>
      </w:r>
      <w:r>
        <w:rPr>
          <w:rFonts w:ascii="Times New Roman" w:cs="Times New Roman" w:eastAsia="Times New Roman" w:hAnsi="Times New Roman"/>
          <w:sz w:val="18"/>
          <w:szCs w:val="18"/>
          <w:color w:val="auto"/>
        </w:rPr>
        <w:t>Digital payment processing solution adoption continues to expand within our core SMB customer base. Seven years ago,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estimated that less than 50% of SMBs in the United States had adopted digital payment processing solutions, and instead relied on paper invoices for payment. In the last couple of years, this has increased to nearly 80%, a trend that we expect to continue in the future. Integrated payments (e.g., digital payment acceptance that is embedded into the software that companies use to manage their businesses) have driven operating efficiencies for businesses and have improved payment security and tracking as compared to traditional paper methods.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Mobile enablement. </w:t>
      </w:r>
      <w:r>
        <w:rPr>
          <w:rFonts w:ascii="Times New Roman" w:cs="Times New Roman" w:eastAsia="Times New Roman" w:hAnsi="Times New Roman"/>
          <w:sz w:val="18"/>
          <w:szCs w:val="18"/>
          <w:color w:val="auto"/>
        </w:rPr>
        <w:t>Due in large part to consumer demand and purchasing habits, a substantial amount of commerce is now conducted via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mobile device, whether through a standalone mobile application or as an integrated, companion application to a broader web-based software. Mobile commerce is estimated to represent just over $4.00 of every $10.00 spent online, with growth rapidly outpacing other forms of eCommerce. Within the service economy in particular, home service, wellness and other professionals are often on-the-go, making mobile functionality of paramount importance.</w:t>
      </w:r>
    </w:p>
    <w:p>
      <w:pPr>
        <w:spacing w:after="0" w:line="7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Customer experience. </w:t>
      </w:r>
      <w:r>
        <w:rPr>
          <w:rFonts w:ascii="Times New Roman" w:cs="Times New Roman" w:eastAsia="Times New Roman" w:hAnsi="Times New Roman"/>
          <w:sz w:val="18"/>
          <w:szCs w:val="18"/>
          <w:color w:val="auto"/>
        </w:rPr>
        <w:t>With the confluence of changing consumer preferences towards digital and a younger, more tech-savvy generation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owners taking seat, businesses are increasingly looking to upgrade and streamline how they engage with their customers.</w:t>
      </w:r>
    </w:p>
    <w:p>
      <w:pPr>
        <w:spacing w:after="0" w:line="6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i w:val="1"/>
          <w:iCs w:val="1"/>
          <w:color w:val="auto"/>
        </w:rPr>
        <w:t xml:space="preserve">Digital marketing. </w:t>
      </w:r>
      <w:r>
        <w:rPr>
          <w:rFonts w:ascii="Times New Roman" w:cs="Times New Roman" w:eastAsia="Times New Roman" w:hAnsi="Times New Roman"/>
          <w:sz w:val="18"/>
          <w:szCs w:val="18"/>
          <w:color w:val="auto"/>
        </w:rPr>
        <w:t>Digital channels are allowing businesses to reach their existing and potential end consumers in more innovative, effective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efficient ways than ever before. We expect both increasing adoption of digital marketing tools, compounded by expected increased spend on such tools, recognizing the power and importance of these digital channels. These trends continue to give rise to evolving and new digital marketing solutions aimed at helping businesses target end consumers, lower acquisition costs and increase lifetime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7" w:name="page8"/>
    <w:bookmarkEnd w:id="7"/>
    <w:p>
      <w:pPr>
        <w:jc w:val="both"/>
        <w:ind w:left="660" w:hanging="328"/>
        <w:spacing w:after="0" w:line="26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Decreasing barriers to software adoption. </w:t>
      </w:r>
      <w:r>
        <w:rPr>
          <w:rFonts w:ascii="Times New Roman" w:cs="Times New Roman" w:eastAsia="Times New Roman" w:hAnsi="Times New Roman"/>
          <w:sz w:val="18"/>
          <w:szCs w:val="18"/>
          <w:color w:val="auto"/>
        </w:rPr>
        <w:t>Given their size and resource capabilities, SMBs generally require lower priced and easier-to-implement technology solutions than larger-scale enterprise businesses. As a result of the innovations in cloud technology and the proliferation of SaaS, today’s solutions are more affordable and easier for SMBs to implement than ever before. According to Cisco, cloud solutions are one of the top three areas for near-term technology investment for small businesses.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existing approaches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service SMBs have not heavily relied on technology to manage key workflows, but they are increasingly turning to software solutions to streamline operations and boost efficiency. However, the offerings available in the market often fail to meet the needs of today’s service SMBs, and have some or all of the following limitations:</w:t>
      </w:r>
    </w:p>
    <w:p>
      <w:pPr>
        <w:spacing w:after="0" w:line="64" w:lineRule="exact"/>
        <w:rPr>
          <w:sz w:val="20"/>
          <w:szCs w:val="20"/>
          <w:color w:val="auto"/>
        </w:rPr>
      </w:pPr>
    </w:p>
    <w:p>
      <w:pPr>
        <w:jc w:val="both"/>
        <w:ind w:left="66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Lacking vertical-specific functionality. </w:t>
      </w:r>
      <w:r>
        <w:rPr>
          <w:rFonts w:ascii="Times New Roman" w:cs="Times New Roman" w:eastAsia="Times New Roman" w:hAnsi="Times New Roman"/>
          <w:sz w:val="18"/>
          <w:szCs w:val="18"/>
          <w:color w:val="auto"/>
        </w:rPr>
        <w:t>Traditional technology companies offer broad, horizontal solutions that apply a “one-size-fits-all”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 and aim to solve functional challenges across different verticals. For service SMBs, these solutions have an excess of broad functionality but lack the vertical specialization required in specific verticals.</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Sold as point solutions. </w:t>
      </w:r>
      <w:r>
        <w:rPr>
          <w:rFonts w:ascii="Times New Roman" w:cs="Times New Roman" w:eastAsia="Times New Roman" w:hAnsi="Times New Roman"/>
          <w:sz w:val="18"/>
          <w:szCs w:val="18"/>
          <w:color w:val="auto"/>
        </w:rPr>
        <w:t>Existing solutions typically address a single application, use case or stage of a broader customer engagement workflow.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solutions lack the necessary integration of business data and operational workflows that service SMBs need to execute integrated processes. Moreover, they limit visibility into business performance and businesses’ ability to optimize data gathered across various processes.</w:t>
      </w:r>
    </w:p>
    <w:p>
      <w:pPr>
        <w:spacing w:after="0" w:line="62"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Built on inflexible, legacy technology infrastructure. </w:t>
      </w:r>
      <w:r>
        <w:rPr>
          <w:rFonts w:ascii="Times New Roman" w:cs="Times New Roman" w:eastAsia="Times New Roman" w:hAnsi="Times New Roman"/>
          <w:sz w:val="18"/>
          <w:szCs w:val="18"/>
          <w:color w:val="auto"/>
        </w:rPr>
        <w:t>Existing solutions are often built on legacy, on-premise infrastructure. These technologies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lack the flexibility and scalability required by today’s service SMBs, and are not customizable to meet individual customers’ needs.</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and resource-intensive. </w:t>
      </w:r>
      <w:r>
        <w:rPr>
          <w:rFonts w:ascii="Times New Roman" w:cs="Times New Roman" w:eastAsia="Times New Roman" w:hAnsi="Times New Roman"/>
          <w:sz w:val="18"/>
          <w:szCs w:val="18"/>
          <w:color w:val="auto"/>
        </w:rPr>
        <w:t>Service SMBs are generally price-sensitive and have limited resources. Existing software solutions often require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capital, time and technical resources to implement, inhibiting faster adoption. Moreover, it is difficult for service SMBs to maintain these solutions and roll out new versions and add-on features without significant time and resources.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solutions address a massive market opportunity today. We estimate the total number of service SMBs, which represent service-based businesses with 500 or fewer employees, was approximately 456 million globally in 2023, of which 35 million were in North America.</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estimate the total addressable market (“TAM”) for our current solutions was approximately $1.6 trillion globally in 2023, of which approximately $662 billion was in North America, which refers to the United States and Canada. Of the $662 billion, we estimate a $69 billion opportunity in Home Services, a $115 billion opportunity in Health Services, a $22 billion opportunity in Wellness Services and a $456 billion opportunity in other services categories. We believe there is considerable runway for long-term growth given the vast majority of our market opportunity is untapped; we estimate that only 9% of the North America service SMB market has been penetrated with fully-integrated software solutions today, and estimate this number to increase to over 13% by 2025.</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arrive at the TAM by estimating the number of service SMBs, multiplying by the list price of the solutions we provide, and making regional adjustments for the number of firms that could pay the listed price.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TAM also includes our payments opportunity, which we arrive at by estimating total revenue across our vertical segments and multiplying by both pricing and penetration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there are multiple sources of upside to our current TAM. As the number of service SMBs grow, as we develop or acquire complementary solutions, and as we enter new geographies, our market opportunity will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45720</wp:posOffset>
            </wp:positionV>
            <wp:extent cx="4817745" cy="2571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1774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integrated solutions. These solutions provide value to service SMBs by improving their ability to market their services, streamline operations and retain and engage their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57150</wp:posOffset>
            </wp:positionV>
            <wp:extent cx="4817745" cy="2571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1774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660" w:hanging="328"/>
        <w:spacing w:after="0" w:line="26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Business Management Software</w:t>
      </w:r>
      <w:r>
        <w:rPr>
          <w:rFonts w:ascii="Times New Roman" w:cs="Times New Roman" w:eastAsia="Times New Roman" w:hAnsi="Times New Roman"/>
          <w:sz w:val="18"/>
          <w:szCs w:val="18"/>
          <w:color w:val="auto"/>
        </w:rPr>
        <w:t>: Our vertically-tailored Business Management Software is the system of action at the center of a service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deliver their services, streamline operations and focus on growing their customers.</w:t>
      </w: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9" w:name="page10"/>
    <w:bookmarkEnd w:id="9"/>
    <w:p>
      <w:pPr>
        <w:jc w:val="both"/>
        <w:ind w:left="660" w:hanging="328"/>
        <w:spacing w:after="0" w:line="255" w:lineRule="auto"/>
        <w:tabs>
          <w:tab w:leader="none" w:pos="65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Billing &amp; Payment Solutions: </w:t>
      </w:r>
      <w:r>
        <w:rPr>
          <w:rFonts w:ascii="Times New Roman" w:cs="Times New Roman" w:eastAsia="Times New Roman" w:hAnsi="Times New Roman"/>
          <w:sz w:val="18"/>
          <w:szCs w:val="18"/>
          <w:color w:val="auto"/>
        </w:rPr>
        <w:t>Our Billing &amp; Payment Solutions provide integrated payments, billing and invoicing automation and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intelligence and analytics. Our omni-channel payments capabilities include point-of-sale, eCommerce, online bill payments, recurring billing, electronic invoicing and mobile payments. Supported payment types include credit card, debit card and Automated Clearing House (“ACH”) processing. Based on the monthly average processing volume for the quarter ended December 31, 2024, we estimate that we process annualized total volume of $12.7 billion. We further estimate that, based on our current customers and payment volumes, we have an aggregate annualized payment processing opportunity in excess of $100 billion. Our payments platform also provides a full suite of service commerce features, including customer management as well as cash flow reporting and analytics. These value-add features help SMBs to ensure more timely billing and payments collection and provide improved cash flow visibility.</w:t>
      </w:r>
    </w:p>
    <w:p>
      <w:pPr>
        <w:spacing w:after="0" w:line="76" w:lineRule="exact"/>
        <w:rPr>
          <w:rFonts w:ascii="Times New Roman" w:cs="Times New Roman" w:eastAsia="Times New Roman" w:hAnsi="Times New Roman"/>
          <w:sz w:val="18"/>
          <w:szCs w:val="18"/>
          <w:b w:val="1"/>
          <w:bCs w:val="1"/>
          <w:color w:val="auto"/>
        </w:rPr>
      </w:pPr>
    </w:p>
    <w:p>
      <w:pPr>
        <w:jc w:val="both"/>
        <w:ind w:left="660" w:hanging="328"/>
        <w:spacing w:after="0" w:line="25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Customer Experience Solutions: </w:t>
      </w:r>
      <w:r>
        <w:rPr>
          <w:rFonts w:ascii="Times New Roman" w:cs="Times New Roman" w:eastAsia="Times New Roman" w:hAnsi="Times New Roman"/>
          <w:sz w:val="18"/>
          <w:szCs w:val="18"/>
          <w:color w:val="auto"/>
        </w:rPr>
        <w:t>Our Customer Experience Solutions modernize how businesses engage and interact with customers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leveraging innovative, bespoke customer listening and communication solutions to improve the customer experience and increase retention. Our software provides customer listening capabilities with real-time customer surveying and analysis to allow standalone businesses and multi-location brands to receive Voice of Customer (“VoC”) insights and manage the customer experience lifecycle. These applications include: customer health scoring, customer support systems, real-time alerts, Net Promoter Score (“NPS”)-based customer feedback collection, review generation and automation, reputation management, customer satisfaction surveying and a digital communication suite, among others. These tools help our customers gain actionable insights, increase customer loyalty and repeat purchases and improve customer experiences.</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Marketing Technology Solutions: </w:t>
      </w:r>
      <w:r>
        <w:rPr>
          <w:rFonts w:ascii="Times New Roman" w:cs="Times New Roman" w:eastAsia="Times New Roman" w:hAnsi="Times New Roman"/>
          <w:sz w:val="18"/>
          <w:szCs w:val="18"/>
          <w:color w:val="auto"/>
        </w:rPr>
        <w:t>Our Marketing Technology Solutions work alongside our Customer Experience Solutions to help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holistically grow their businesses through new business generation and improved engagement and marketing throughout the customer lifecycle. These solutions help businesses to manage campaigns, generate quality leads, increase conversion and repeat sales, improve customer loyalty and provide a polished brand experience. Our solutions include: custom website design, development and hosting, responsive web design, marketing campaign design and management, search engine optimization, paid search and display advertising, social media and blog automation, call tracking, review monitoring and marketplace lead generation, among others. Our solutions can be purchased and integrated with EverCommerce business management solutions, as well as sold and integrated into 3rd party solutions via the EverConnect brand and solutions suite.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verticals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solutions, many of which we believe are market leaders in their industries, are deployed in verticals that are comprised of numerous micro-verticals, which through product development and new solution acquisition, offer natural growth opportunities for EverCommerce. We currently go to market with three distinct, vertically-tailored, integrated SaaS solution suites:</w:t>
      </w:r>
    </w:p>
    <w:p>
      <w:pPr>
        <w:spacing w:after="0" w:line="64" w:lineRule="exact"/>
        <w:rPr>
          <w:sz w:val="20"/>
          <w:szCs w:val="20"/>
          <w:color w:val="auto"/>
        </w:rPr>
      </w:pPr>
    </w:p>
    <w:p>
      <w:pPr>
        <w:jc w:val="both"/>
        <w:ind w:left="660" w:hanging="328"/>
        <w:spacing w:after="0" w:line="25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EverPro – Home Services: </w:t>
      </w:r>
      <w:r>
        <w:rPr>
          <w:rFonts w:ascii="Times New Roman" w:cs="Times New Roman" w:eastAsia="Times New Roman" w:hAnsi="Times New Roman"/>
          <w:sz w:val="18"/>
          <w:szCs w:val="18"/>
          <w:color w:val="auto"/>
        </w:rPr>
        <w:t>Our EverPro solutions are purpose-built for home service professionals, with varying specialized functionality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micro-verticals. For home improvement and field service professionals, project management and field service management applications serve as their business systems of action, respectively. Professionals in this market rely significantly on driving business from residential homeowners, and thus value tailored solutions that capture and manage lead generation from those end consumers. Ranging from professionals across residential home improvement and remodeling, and field services, to security and alarm professionals across residential installation and monitoring, central stations, corporate and campus planning and government, our EverPro solutions are designed to serve the specific needs of the professionals in these home improvement and field services sub-markets.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1365250</wp:posOffset>
            </wp:positionH>
            <wp:positionV relativeFrom="page">
              <wp:posOffset>826135</wp:posOffset>
            </wp:positionV>
            <wp:extent cx="4817745" cy="2571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481774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328" w:hanging="328"/>
        <w:spacing w:after="0" w:line="257"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EverHealth – Health Services: </w:t>
      </w:r>
      <w:r>
        <w:rPr>
          <w:rFonts w:ascii="Times New Roman" w:cs="Times New Roman" w:eastAsia="Times New Roman" w:hAnsi="Times New Roman"/>
          <w:sz w:val="18"/>
          <w:szCs w:val="18"/>
          <w:color w:val="auto"/>
        </w:rPr>
        <w:t>Our EverHealth solutions are purpose-built for health service professionals. The Health Services market is rooted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 group of core solutions, including practice management and electronic health record (“EHR”) / electronic medical record (“EMR”) software. We offer different types and scales of solutions for micro-verticals, including small group and specialty practices, behavioral health professionals, specialty branches of hospital systems, ambulatory services, urgent care and EMT and physical, occupational and speech therapists, among others. We believe that our patient and provider engagement solutions position us well to benefit from major industry trends such as the digitalization of front-office operations and patient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60960</wp:posOffset>
            </wp:positionV>
            <wp:extent cx="4817745" cy="2571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1774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328" w:right="20" w:hanging="328"/>
        <w:spacing w:after="0" w:line="278" w:lineRule="auto"/>
        <w:tabs>
          <w:tab w:leader="none" w:pos="323"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EverWell – Wellness: </w:t>
      </w:r>
      <w:r>
        <w:rPr>
          <w:rFonts w:ascii="Times New Roman" w:cs="Times New Roman" w:eastAsia="Times New Roman" w:hAnsi="Times New Roman"/>
          <w:sz w:val="17"/>
          <w:szCs w:val="17"/>
          <w:color w:val="auto"/>
        </w:rPr>
        <w:t>Subsequent to the sale of our Fitness Solutions, our EverWell solutions are purpose-built for Wellness service professionals.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Wellness market includes tech-savvy businesses which generally require integrated solutions that provide modern, convenient experiences for end consumers. Consumer-facing scheduling and facility access solutions are “must-have” software capabilities for spas and salons. In addition, adjacent solutions in relationship management and inventory management are increasingly needed to support a seamless, value-add consumer experience. Our EverWell solutions are built specifically for wellness professionals, which include salons, spas and massage therapists.</w:t>
      </w:r>
    </w:p>
    <w:p>
      <w:pPr>
        <w:sectPr>
          <w:pgSz w:w="11900" w:h="16838" w:orient="portrait"/>
          <w:cols w:equalWidth="0" w:num="1">
            <w:col w:w="10908"/>
          </w:cols>
          <w:pgMar w:left="652"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7"/>
          <w:szCs w:val="17"/>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1365250</wp:posOffset>
            </wp:positionH>
            <wp:positionV relativeFrom="page">
              <wp:posOffset>826135</wp:posOffset>
            </wp:positionV>
            <wp:extent cx="4817745" cy="2571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481774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offer select solutions to customers in other services verticals, including education, non-profit, pet care and automotive repair, among many others.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we win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offerings deliver tremendous value to our customers and are differentiated by the following qualities:</w:t>
      </w:r>
    </w:p>
    <w:p>
      <w:pPr>
        <w:spacing w:after="0" w:line="113" w:lineRule="exact"/>
        <w:rPr>
          <w:sz w:val="20"/>
          <w:szCs w:val="20"/>
          <w:color w:val="auto"/>
        </w:rPr>
      </w:pPr>
    </w:p>
    <w:p>
      <w:pPr>
        <w:jc w:val="both"/>
        <w:ind w:left="660" w:hanging="328"/>
        <w:spacing w:after="0" w:line="25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Tailored, vertical-specific approach. </w:t>
      </w:r>
      <w:r>
        <w:rPr>
          <w:rFonts w:ascii="Times New Roman" w:cs="Times New Roman" w:eastAsia="Times New Roman" w:hAnsi="Times New Roman"/>
          <w:sz w:val="18"/>
          <w:szCs w:val="18"/>
          <w:color w:val="auto"/>
        </w:rPr>
        <w:t>We are exclusively focused on providing service SMBs with tailored solutions to help meet their specific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needs. Our vertical and micro-vertical approach enables us to provide tailored solutions featuring critical vertical-specific functionality that better serves our customers when compared to industry-agnostic solutions offered by other businesses.</w:t>
      </w:r>
    </w:p>
    <w:p>
      <w:pPr>
        <w:jc w:val="both"/>
        <w:ind w:left="660" w:hanging="328"/>
        <w:spacing w:after="0" w:line="255"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Integrated solutions. </w:t>
      </w:r>
      <w:r>
        <w:rPr>
          <w:rFonts w:ascii="Times New Roman" w:cs="Times New Roman" w:eastAsia="Times New Roman" w:hAnsi="Times New Roman"/>
          <w:sz w:val="18"/>
          <w:szCs w:val="18"/>
          <w:color w:val="auto"/>
        </w:rPr>
        <w:t>Our business management software integrates solutions across the full range of our customers’ workflows (including internal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back-office functions and customer-facing services such as integrated payments and billing and invoicing automation), simplifying their operations and providing a frictionless experience when compared to disjointed point solutions offered by other software businesses.</w:t>
      </w:r>
    </w:p>
    <w:p>
      <w:pPr>
        <w:spacing w:after="0" w:line="73"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SaaS-based solutions. </w:t>
      </w:r>
      <w:r>
        <w:rPr>
          <w:rFonts w:ascii="Times New Roman" w:cs="Times New Roman" w:eastAsia="Times New Roman" w:hAnsi="Times New Roman"/>
          <w:sz w:val="18"/>
          <w:szCs w:val="18"/>
          <w:color w:val="auto"/>
        </w:rPr>
        <w:t>Our scalable and flexible SaaS solutions alleviate resource needs associated with implementing and managing costly on-premise infrastructure, which simplifies the management of distributed workforces, enhances operational simplicity, and provides continuous delivery of updates and upgrades to our solutions.</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Mobile capabilities. </w:t>
      </w:r>
      <w:r>
        <w:rPr>
          <w:rFonts w:ascii="Times New Roman" w:cs="Times New Roman" w:eastAsia="Times New Roman" w:hAnsi="Times New Roman"/>
          <w:sz w:val="18"/>
          <w:szCs w:val="18"/>
          <w:color w:val="auto"/>
        </w:rPr>
        <w:t>Our SaaS, web-based and mobile solutions enable business owners, administrators and in-the-field service professionals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schedules, customer accounts and business performance analytics, among other critical features, wherever they are. In addition, our native mobile applications provide in-depth service delivery functionality for technicians and service professionals in-the-field, even out of cellular or wireless network areas.</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Exceptional digital experiences. </w:t>
      </w:r>
      <w:r>
        <w:rPr>
          <w:rFonts w:ascii="Times New Roman" w:cs="Times New Roman" w:eastAsia="Times New Roman" w:hAnsi="Times New Roman"/>
          <w:sz w:val="18"/>
          <w:szCs w:val="18"/>
          <w:color w:val="auto"/>
        </w:rPr>
        <w:t>Our customers’ use of our offerings allows them to deliver exceptional digital experiences to consumers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multiple channels, enhancing engagement, retention and loyalty. For example, our customers can use our technology to develop modern touchpoints for consumers such as online scheduling, appointment reminders, online customer portals, online and mobile payments, SMS text updates, email updates and consumer-facing mobile applications.</w:t>
      </w:r>
    </w:p>
    <w:p>
      <w:pPr>
        <w:spacing w:after="0" w:line="68"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and resource-efficient. </w:t>
      </w:r>
      <w:r>
        <w:rPr>
          <w:rFonts w:ascii="Times New Roman" w:cs="Times New Roman" w:eastAsia="Times New Roman" w:hAnsi="Times New Roman"/>
          <w:sz w:val="18"/>
          <w:szCs w:val="18"/>
          <w:color w:val="auto"/>
        </w:rPr>
        <w:t>SMBs are generally price-sensitive and resource-constrained, however legacy software solutions are often too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expensive to adopt. Our solutions are affordable and easy to implement, and our customers benefit from our strong customer service capabilities, enabling them to optimize their use of digital solutions without significant financial or resource burden.</w:t>
      </w:r>
    </w:p>
    <w:p>
      <w:pPr>
        <w:spacing w:after="0" w:line="6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Customer-driven innovation. </w:t>
      </w:r>
      <w:r>
        <w:rPr>
          <w:rFonts w:ascii="Times New Roman" w:cs="Times New Roman" w:eastAsia="Times New Roman" w:hAnsi="Times New Roman"/>
          <w:sz w:val="18"/>
          <w:szCs w:val="18"/>
          <w:color w:val="auto"/>
        </w:rPr>
        <w:t>The insight we gain into our approximately 740,000 customers’ use of our offerings informs our product pipeline,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allowing us to constantly refine existing solutions and deliver new solutions that are most valuable to them.</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focused on growing and scaling our business in a rapid, yet sustainable and disciplined fashion. We intend to drive significant growth by executing the following key strategies:</w:t>
      </w:r>
    </w:p>
    <w:p>
      <w:pPr>
        <w:spacing w:after="0" w:line="50" w:lineRule="exact"/>
        <w:rPr>
          <w:sz w:val="20"/>
          <w:szCs w:val="20"/>
          <w:color w:val="auto"/>
        </w:rPr>
      </w:pPr>
    </w:p>
    <w:p>
      <w:pPr>
        <w:jc w:val="both"/>
        <w:ind w:left="660" w:hanging="328"/>
        <w:spacing w:after="0" w:line="25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Attract new customers: </w:t>
      </w:r>
      <w:r>
        <w:rPr>
          <w:rFonts w:ascii="Times New Roman" w:cs="Times New Roman" w:eastAsia="Times New Roman" w:hAnsi="Times New Roman"/>
          <w:sz w:val="18"/>
          <w:szCs w:val="18"/>
          <w:color w:val="auto"/>
        </w:rPr>
        <w:t>We believe that there is a significant opportunity to attract new customers with our current offerings and within the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segments in which we currently operate. We estimate that there are over 35 million service SMBs in North America alone, and 456 million globally. Our current verticals and adjacent markets in the service economy are highly fragmented. By improving the awareness of our brands and solutions, we believe that we can increase penetration and sell our complete value chain of solutions to service SMB customers. Through acquisitions and organic growth of our business, the number of customers on our platform increased from approximately 110,000 at the end of 2018 to approximately 740,000 at the end of 2024.</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ARPU and margin: </w:t>
      </w:r>
      <w:r>
        <w:rPr>
          <w:rFonts w:ascii="Times New Roman" w:cs="Times New Roman" w:eastAsia="Times New Roman" w:hAnsi="Times New Roman"/>
          <w:sz w:val="18"/>
          <w:szCs w:val="18"/>
          <w:color w:val="auto"/>
        </w:rPr>
        <w:t>Today, we serve approximately 740,000 customers, which represent a significant opportunity for growth. As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become more embedded in our customers’ daily business operations, we are better positioned to add value by cross-selling and up-selling adjacent solutions. We believe we had an addressable annualized revenue opportunity with our existing customers of greater than $5 billion as of December 31, 2024, as our integrated vertical SaaS solutions allow us to offer customers additional capabilities across their entire customer engagement lifecycle. As we continue to develop, acquire and transform our solutions, we aim to continue adding value to our customers by displacing point-solution competitors and legacy, manual methods with our integrated digital offerings, increasing our ARPU and improving customer experience and retention. A primary focus for ARPU expansion focuses on cross-selling payments solutions to customers in an effort to prioritize margin growth.</w:t>
      </w:r>
    </w:p>
    <w:p>
      <w:pPr>
        <w:spacing w:after="0" w:line="7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into new products: </w:t>
      </w:r>
      <w:r>
        <w:rPr>
          <w:rFonts w:ascii="Times New Roman" w:cs="Times New Roman" w:eastAsia="Times New Roman" w:hAnsi="Times New Roman"/>
          <w:sz w:val="18"/>
          <w:szCs w:val="18"/>
          <w:color w:val="auto"/>
        </w:rPr>
        <w:t>Given our position in the service SMB ecosystem, as well as our relationships and level of entrenchment with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we use insights gained through our customer lifecycle to identify additional solutions that are value-additive for our customers. These insights allow us to continually assess opportunities to develop or acquire solutions to further expand market share, drive customer stickiness and fuel growth for our business. During 2023, we introduced EverPro Edge, which allows customers to save, learn and grow, and creates a universal channel and trusted brand for engagement, Edge is an expansion opportunity enabling customers to receive targeted business growth and education content, as well as cash-back rebates on supplies they purchase at leading vendors.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the strategies cited above, we also acquire solutions to accelerate our position as a market leader, fill gaps within our vertically tailored solutions, deepen our competitive moats in existing verticals and enter new verticals and geographies. We have an established framework for identification, execution, integration and onboarding of targets. These acquired solutions bring deep industry expertise and vertically-tailored software solutions that provide additional sources of growth. We believe that our methodology, track record and reputation for sourcing, evaluating and integrating acquisitions positions us as an “acquirer-of-choice” for potential targets. We have acquired 53 companies since our inception. We are currently tracking over 13,000 businesses around the world, primarily across our core verticals, as potential acquisition opportunities. In addition, from time to time, we evaluate our positioning with respect to our existing verticals and may determine to dispose of offerings that do not align with our growth initiatives. For example, in the year ended December 31, 2024, we sold Fitness Solutions as described above.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 customer as an individual or entity that utilized or was capable of utilizing an EverCommerce solution or service for which they paid any one or combination of recurring, re-occurring or transactional fees in a given period. For solutions contracting with entities that service groups of customers, for example franchises or other multi-location businesses, the customer is counted at the level of the individual business utilizing the solution.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serve a wide range of customers across various verticals, micro-verticals, geographies and sizes. We believe the customers that we serve are representative of the highly diverse and varied nature of the SMB service economy. Our customers provide expert services which, in turn, play a critical role in supporting the everyday lives of millions of end consumers – for their homes, their health and their well-being.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Our Verticals</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Vertical Brands</w:t>
            </w: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Micro-vertical Examples</w:t>
            </w:r>
          </w:p>
        </w:tc>
      </w:tr>
      <w:tr>
        <w:trPr>
          <w:trHeight w:val="27"/>
        </w:trPr>
        <w:tc>
          <w:tcPr>
            <w:tcW w:w="2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r>
      <w:tr>
        <w:trPr>
          <w:trHeight w:val="25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Home Services</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EverPro</w:t>
            </w: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HVAC/plumbing,  electrical  professionals,  remodeling  and  home  improvement</w:t>
            </w:r>
          </w:p>
        </w:tc>
      </w:tr>
      <w:tr>
        <w:trPr>
          <w:trHeight w:val="216"/>
        </w:trPr>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contractors, window and door replacement specialties, landscaping design services,</w:t>
            </w:r>
          </w:p>
        </w:tc>
      </w:tr>
      <w:tr>
        <w:trPr>
          <w:trHeight w:val="234"/>
        </w:trPr>
        <w:tc>
          <w:tcPr>
            <w:tcW w:w="2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and alarm installation and monitoring businesses. pest control</w:t>
            </w:r>
          </w:p>
        </w:tc>
      </w:tr>
      <w:tr>
        <w:trPr>
          <w:trHeight w:val="252"/>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Health Services</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EverHealth</w:t>
            </w: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private medical practices, mental health therapists, chronic care specialists,</w:t>
            </w:r>
          </w:p>
        </w:tc>
      </w:tr>
      <w:tr>
        <w:trPr>
          <w:trHeight w:val="234"/>
        </w:trPr>
        <w:tc>
          <w:tcPr>
            <w:tcW w:w="2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practitioners, specialty branches of hospital systems</w:t>
            </w:r>
          </w:p>
        </w:tc>
      </w:tr>
      <w:tr>
        <w:trPr>
          <w:trHeight w:val="27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Wellness Services</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EverWell</w:t>
            </w: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Salons and spas, massage therapists, medi-aesthetics, wellness specialists</w:t>
            </w:r>
          </w:p>
        </w:tc>
      </w:tr>
      <w:tr>
        <w:trPr>
          <w:trHeight w:val="252"/>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Non-profits, veterinary care facilities, small accounting and tax firms, educational</w:t>
            </w:r>
          </w:p>
        </w:tc>
      </w:tr>
      <w:tr>
        <w:trPr>
          <w:trHeight w:val="234"/>
        </w:trPr>
        <w:tc>
          <w:tcPr>
            <w:tcW w:w="2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 social services, pet/veterinary care, professional services, consumer services</w:t>
            </w:r>
          </w:p>
        </w:tc>
      </w:tr>
      <w:tr>
        <w:trPr>
          <w:trHeight w:val="27"/>
        </w:trPr>
        <w:tc>
          <w:tcPr>
            <w:tcW w:w="2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6978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78015" cy="8255"/>
                    </a:xfrm>
                    <a:prstGeom prst="rect">
                      <a:avLst/>
                    </a:prstGeom>
                    <a:noFill/>
                  </pic:spPr>
                </pic:pic>
              </a:graphicData>
            </a:graphic>
          </wp:anchor>
        </w:drawing>
      </w: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2024, we served approximately 740,000 customers. Of these customers, approximately 69% were based in the United States and approximately 31% were international.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we have built a scaled, differentiated platform, we compete in a variety of highly fragmented markets and face competition from a variety of sources:</w:t>
      </w:r>
    </w:p>
    <w:p>
      <w:pPr>
        <w:spacing w:after="0" w:line="11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Manual processes, basic PC tools, standalone payment terminals and homegrown solutions, utilized by many service SMBs;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Vertically-specialized competitors, including mobile sales applications and field service management platforms in Home Services, EHR/EMR and practice management platforms in Health Services and scheduling and customer management in Wellness Services;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Horizontal competitors, including Salesforce for customer relationship management (“CRM”), Intuit for financial products, Square for payments and HubSpot for marketing related solutions.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competitive factors affecting our market include:</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vertical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products and features;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Seamless integration and ease-of-use;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 capabilities;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strategy and pace of innovation;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recognition and brand reputation;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execution;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security.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for a more comprehensive description of risks related to competition.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strategy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 strategy and management organization develops an in-depth understanding of the customer and their varied workflow needs across our target industries and focuses on strategies to deliver an integrated value chain to our customers. The product strategy and management organization partners closely with our marketing, sales and customer teams to hear market insights and VoC feedback to improve retention and wallet expansion, build stronger integrations between solutions and pursue adjacent market penetration opportunities.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go-to-market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go-to-market organization includes our vertically-focused marketing, business development, sales and customer success functions who align to build positive customer experiences across the business. These teams drive scalable and efficient organic growth in three key areas: new customer acquisition, wallet share expansion and go-to-market of acquired or built products. Our teams relentlessly test and measure results to expand channels, optimize go-to-market, increase sales conversion, identify customer upsell opportunities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explore adjacent expansion verticals. Through this targeted, coordinated approach, we maximize expert resource allocation and allow for growth programs of scale with attractive customer unit economics across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people, culture and values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our people and culture to be vital to our success. We place a high level of emphasis on the relationships we have with our people, their engagement and commitment to the organization. Our fundamental belief is that when a company has a strong relationship with its employees, they in turn deliver exceptional customer service and in turn that delivers strong business performance. We have seen and believe our inclusive and innovative workforce is and will continue to be a competitive advantage. We plan to continue to make investment in our human capital a priority.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in and prioritize inclusivity and employee engagement in our workplace and aim to behave in a manner where these values are the underpinnings of how we build programs and support the growth and development of our people. We aggressively manage and measure our identification, selection, retention, growth and development of our current and future employees. We have a robust methodology that enables us to successfully and with a high level of engagement, integrate individuals into our organization. While we believe inclusivity is important to our long-term value and performance, we recognize the importance of pursuing so in legally sound manners. Inclusivity efforts are part of our legal compliance considerations, and we are committed to only rewarding legally compliant methods for advancing such efforts. We are committed to not making employment (including hiring, promotion, and compensation) or other contracting decisions on the basis of legally protected characteristics, except to the extent required or permitted by law.</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human-first culture has been built upon our values and they are a critical part of how we behave, lead and engage with our people. Our values reflect who EverCommerce is and serve as our guiding force on how we plan to achieve our organizational objectives.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providing continuous learning, autonomy and engaging work, we provide a series of competitive benefits, including health insurance for employees and dependents, a 401k match, paid parental leave and flexible time off. We allot over 15,000 hours per year for our employees to volunteer for causes that are important to them. Within the tight-knit culture we have built and sustained, we celebrate our people and their successes with company events, team building activities and other important benefits. We invest in continuous growth and development with training and education and we provide career opportunities for people to continue to stretch their strengths and capabilities. None of our employees are represented by labor unions or covered by collective bargaining agreements.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had approximately 2,000 employees operating across six countries, including approximately 1,500 employees located in the United States.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SaaS solutions are strategically integrated to best serve our service SMB customers and ensure they have all the tools to help them grow and scale. We leverage a common set of best practices, IT infrastructure and architectures that serve as a foundation for highly scalable and secure software solutions.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areas and features of our strategy and operations that serve as a foundation to our technology approach include:</w:t>
      </w:r>
    </w:p>
    <w:p>
      <w:pPr>
        <w:spacing w:after="0" w:line="113" w:lineRule="exact"/>
        <w:rPr>
          <w:sz w:val="20"/>
          <w:szCs w:val="20"/>
          <w:color w:val="auto"/>
        </w:rPr>
      </w:pPr>
    </w:p>
    <w:p>
      <w:pPr>
        <w:ind w:left="660" w:hanging="328"/>
        <w:spacing w:after="0" w:line="28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Software development: </w:t>
      </w:r>
      <w:r>
        <w:rPr>
          <w:rFonts w:ascii="Times New Roman" w:cs="Times New Roman" w:eastAsia="Times New Roman" w:hAnsi="Times New Roman"/>
          <w:sz w:val="18"/>
          <w:szCs w:val="18"/>
          <w:color w:val="auto"/>
        </w:rPr>
        <w:t>Our software teams use best-in-class technologies and practices to develop our SaaS, mobile and (in selected situations)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on-premise solutions. Our software is purpose-built to meet the specific needs of the industries we serve.</w:t>
      </w:r>
    </w:p>
    <w:p>
      <w:pPr>
        <w:spacing w:after="0" w:line="46"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Tech and IT shared services: </w:t>
      </w:r>
      <w:r>
        <w:rPr>
          <w:rFonts w:ascii="Times New Roman" w:cs="Times New Roman" w:eastAsia="Times New Roman" w:hAnsi="Times New Roman"/>
          <w:sz w:val="18"/>
          <w:szCs w:val="18"/>
          <w:color w:val="auto"/>
        </w:rPr>
        <w:t>Our technology platforms provides a consistent approach to software development, as well as cloud engineering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center migration. Our IT administration allows for 24-hour support for all our people and platforms worldwide.</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Shared infrastructure: </w:t>
      </w:r>
      <w:r>
        <w:rPr>
          <w:rFonts w:ascii="Times New Roman" w:cs="Times New Roman" w:eastAsia="Times New Roman" w:hAnsi="Times New Roman"/>
          <w:sz w:val="18"/>
          <w:szCs w:val="18"/>
          <w:color w:val="auto"/>
        </w:rPr>
        <w:t>We systematically upgrade our data centers, centralize our collaboration platforms onto Office 365 and deploy a variety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standardized third-party software products sourced through EverCommerce. Migration of more than half of our technology solutions to AWS has allowed for gains in productivity, cost efficiency, expanded capacity and faster innovation.</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Cybersecurity: </w:t>
      </w:r>
      <w:r>
        <w:rPr>
          <w:rFonts w:ascii="Times New Roman" w:cs="Times New Roman" w:eastAsia="Times New Roman" w:hAnsi="Times New Roman"/>
          <w:sz w:val="18"/>
          <w:szCs w:val="18"/>
          <w:color w:val="auto"/>
        </w:rPr>
        <w:t>Our Security Operations team uses industry best practices and functional expertise to perform regular risk assessments, audits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remediation across our IT infrastructure and the data we maintain therein. Our security efforts also include incident prevention, incident response, monitoring, scanning and alerting.</w:t>
      </w:r>
    </w:p>
    <w:p>
      <w:pPr>
        <w:spacing w:after="0" w:line="6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Offshore development team: </w:t>
      </w:r>
      <w:r>
        <w:rPr>
          <w:rFonts w:ascii="Times New Roman" w:cs="Times New Roman" w:eastAsia="Times New Roman" w:hAnsi="Times New Roman"/>
          <w:sz w:val="18"/>
          <w:szCs w:val="18"/>
          <w:color w:val="auto"/>
        </w:rPr>
        <w:t>Our software is primarily developed internally; however, we also use independent firms and contractors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and internationally to perform some of our product development activities.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Regulators around the world have adopted or proposed laws, regulations, standards and requirements regarding the collection, use, transfer, security, storage, destruction and other processing of personal data. These laws are increasing in number and complexity, resulting in higher risk of enforcement, fines and other penalties. Our privacy and legal teams are committed to processing and fulfilling any requests regarding the exercise of an individual’s privacy rights with respect to personal information.</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data breach notification laws and consumer protection laws govern the collection, use, disclosure, and protection of personal information. Our consumer transactions business is now, or may in the future be, subject to certain financial services laws, regulations and rules, such as the Payment Card Industry Data Security Standards, the Gramm-Leach-Bliley Act and the National Automated Clearing House Association ACH Rules, and our healthcare services businesses are subject to certain healthcare security and privacy laws, such as the Health Insurance Portability and Accountability Act of 1996, as amended by the Health Information Technology for Economic and Clinical Health Act of 2009, and regulations promulgated thereunder (collectively, “HIPAA”) in the United States. Certain foreign laws also govern the privacy and security of personal data. For example, we may be subject to the Personal Information Protection and Electronic Documents Act (“PIPEDA”) and Personal Health Information Protection Act (“PHIPA”) in Canada.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regulatory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business operates in the healthcare space, and as such is affected by changes in healthcare laws, regulations and industry standards. The healthcare industry is highly regulated and subject to frequently changing political, legislative, regulatory and other influences. We are subject, either directly or through our customers, to a number of federal, state and local healthcare laws and regulations that involve matters central to our Health Services business. Failure to satisfy those legal and regulatory requirements, or the adoption of new laws or regulations that impact our business or our customers, could have a significant negative impact on our results of operations, financial condition or liquidity. For additional information regarding potential risks relating to compliance with healthcare laws and regulations, see Part I, Item 1A, </w:t>
      </w:r>
      <w:r>
        <w:rPr>
          <w:rFonts w:ascii="Times New Roman" w:cs="Times New Roman" w:eastAsia="Times New Roman" w:hAnsi="Times New Roman"/>
          <w:sz w:val="18"/>
          <w:szCs w:val="18"/>
          <w:i w:val="1"/>
          <w:iCs w:val="1"/>
          <w:color w:val="auto"/>
        </w:rPr>
        <w:t>“Risk Factors – The healthcare industry is heavily regulated at the local, state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levels. Our failure to comply with regulatory requirements could create liability for us or our customers, result in adverse publicity and negatively affect our business.”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potential for evolving laws and regulations, the application and interpretation of these laws and regulations are often uncertain. These laws are enforced by federal, state and local regulatory agencies in the jurisdictions where we operate, and in some instances also through private civil litigation. </w:t>
      </w:r>
      <w:r>
        <w:rPr>
          <w:rFonts w:ascii="Times New Roman" w:cs="Times New Roman" w:eastAsia="Times New Roman" w:hAnsi="Times New Roman"/>
          <w:sz w:val="18"/>
          <w:szCs w:val="18"/>
          <w:color w:val="231F20"/>
        </w:rPr>
        <w:t>Violation of any of such laws or any other governmental regulations that apply may result in penalties, including, without limitation,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administrative, civil and criminal penalties, damages, fines, disgorgement, additional reporting and/or compliance obligations to settle allegations of non-compliance, contractual damages, the curtailment or restructuring of operations, exclusion from participation in governmental healthcare programs and imprisonment.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Protecting our intellectual property and proprietary technology is an important aspect of our business and continued growth. We rely on a combination of trademark, copyright, patent, trade secret and other intellectual property laws in the United States and other jurisdictions, as well as written agreements and other contractual provisions, to protect our proprietary technology, processes and other intellectual property.</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we had 140 registered trademarks in the United States (including EverCommerce), three registered trademarks in the EU (including the EverCommerce logo), two registered trademarks in Puerto Rico, two registered trademarks in Canada, 15 registered trademarks in New Zealand, six registered trademarks in Australia and four registered trademarks in the United Kingdom (including the EverCommerce logo); seven trademark applications in process in the United States and three trademark applications in process in Canada; 37 registered copyrights in the United States and one registered copyright in Canada; and seven issued patents in the United States. We also have a portfolio of approximately 3,200 registered domain names for websites that we use in our business or that are registered defensively to protect our brands.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generally enter into confidentiality agreements and assignment of invention agreements with employees and contractors throughout our business, including those involved in the development of our proprietary intellectual property. We also enter into confidentiality agreements with our customers, partners and third parties who have access to our confidential information.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much of the intellectual property we use is owned by us, we have obtained rights to use intellectual property of third parties through licenses and service agreements with those third parties. Although we believe these licenses are sufficient for the operation of our business, these licenses typically limit our use of the third parties’ intellectual property to specific uses and for specific time periods.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6" w:name="page17"/>
    <w:bookmarkEnd w:id="16"/>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intend to pursue additional intellectual property protection to the extent we believe it would be beneficial and cost-effective. See </w:t>
      </w:r>
      <w:r>
        <w:rPr>
          <w:rFonts w:ascii="Times New Roman" w:cs="Times New Roman" w:eastAsia="Times New Roman" w:hAnsi="Times New Roman"/>
          <w:sz w:val="18"/>
          <w:szCs w:val="18"/>
          <w:i w:val="1"/>
          <w:iCs w:val="1"/>
          <w:color w:val="auto"/>
        </w:rPr>
        <w:t>“Risk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Intellectual Property—We may be unable to adequately protect or enforce, and we may incur significant costs in enforcing or defending, our intellectual property and other proprietary rights.”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were initially formed under the laws of the state of Delaware in September 2016 under the name PaySimple Holdings, Inc., with “EverCommerce” being our “doing business as” name. In December 2020, we changed our name to EverCommerce Inc. Our website address is www.evercommerce.com. We file or furnish electronically with the Securities and Exchange Commission (“SEC”) our annual reports on Form 10-K, quarterly reports on Form 10-Q, current reports on Form 8-K, proxy statements and other information, as well as amendments to those reports. These and other SEC filings are available to the public over the Internet at the SEC’s website at http://www.sec.gov. We make available on our website at www.evercommerce.com, under “Investor Relations,” free of charge, copies of these reports as soon as reasonably practicable after filing or furnishing these reports with the SEC. The information contained on our website is not incorporated by reference into this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involves significant risks, some of which are described below. You should carefully consider the risks and uncertainties described below, together with all of the other information in this Annual Report on Form 10-K.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our evolving business make it difficult to evaluate our future prospects and the risks and challenges we may encounter.</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limited operating history and evolving business make it difficult to evaluate and assess the success of our business to date, our future prospects and the risks and challenges that we may encounter. These risks and challenges include our ability to:</w:t>
      </w:r>
    </w:p>
    <w:p>
      <w:pPr>
        <w:spacing w:after="0" w:line="5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and digitally-inclined service SMBs to the EverCommerce platform;</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existing customers and leverage cross-sell and upsell opportunities;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update the EverCommerce platform, including expanding into new verticals and international markets and integrating additional solution capabilities to further benefit our service SMB customers and enhance the end-customer experience;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through future acquisitions and successfully identify and integrate acquired entities, services and technologies;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people at all levels of our organization;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laws and regulations applicable to our business and in the industries in which we participate;</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 changes within the existing and future industries in which we participate, including the Home Services, Health Services and Wellness industries, and changes in the markets in which we operate;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foresee and manage market volatility impacts on market value;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challenges from existing and new competitors;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enhance the value of our reputation and brand;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our growth;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improve the infrastructure underlying the EverCommerce platform, including our software, websites, mobile applications and data centers, as well as our cybersecurity and data protection measures.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fail to address the risks and difficulties that we face, including those associated with the challenges listed above and those described elsewhere in this “Risk Factors” section, our business, financial condition and results of operations could be adversely affected. Further, because we have limited historical financial data and our business continues to evolve and expand within the industries in which we operate, any predictions about our future revenue and expenses may not be as accurate as they would be if we had a longer operating history, operated a more predictable business or operated in a single or unregulated industry. We have encountered in the past, and will encounter in the future, risks and uncertainties frequently experienced by growing companies with limited operating histories and evolving businesses that operate in regulated and competitive industries. If our assumptions regarding</w:t>
      </w:r>
    </w:p>
    <w:p>
      <w:pPr>
        <w:sectPr>
          <w:pgSz w:w="11900" w:h="16838" w:orient="portrait"/>
          <w:cols w:equalWidth="0" w:num="1">
            <w:col w:w="11240"/>
          </w:cols>
          <w:pgMar w:left="320" w:top="12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type w:val="continuous"/>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would be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recent growth rates may not be sustainable or indicative of future growth.</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our founding, we have generated revenue growth through acquisitions and by driving organic growth of our business. Our revenue has grown at a CAGR of 12.5% from 2021 to 2024, and reached $698.8 million for the year ended December 31, 2024, up from $675.4 million for the year ended December 31, 2023, which represents revenue growth of 3.5% from 2023 to 2024. Our historical rate of growth may not be sustainable or indicative of our future rate of growth. For example, while acquisitions have significantly contributed to our growth to date, we may make fewer or no acquisitions in the future. We believe that our continued growth in revenue, as well as our ability to improve or maintain margins and profitability, will depend upon, among other factors, our ability to address the challenges, risks and difficulties described elsewhere in this “Risk Factors” section and the extent to which our various offerings grow and contribute to our results of operations. We cannot provide assurance that we will be able to successfully manage any such challenges or risks to our future growth. In addition, our base of customers may not continue to grow or may decline due to a variety of possible risks, including changes in macroeconomic conditions, such as inflation, interest rates and tariffs, increased competition, changes in the regulatory landscape and the maturation of our business. Any of these factors could cause our revenue growth to decline and may adversely affect our margins and profitability. Failure to continue our revenue growth or improve margins would have a material adverse effect on our business, financial condition and results of operations. You should not rely on our historical rate of revenue growth as an indication of our future performance.</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manage our current and anticipated future growth effectively, we must continue to maintain and enhance our technology infrastructure, financial and accounting systems and controls. We must also attract, train and retain a significant number of qualified sales and marketing personnel, client support personnel, professional services personnel, software engineers, technical personnel and management personnel, and the availability of such personnel, in particular software engineers, may be constrained.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key element of how we manage our growth is our ability to scale our capabilities and satisfactorily implement our solutions for our customers’ needs.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net losses in the past and we may not achieve profitability in the future.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Our net loss was $41.1 million and $45.6 million for the years ended December 31, 2024 and 2023, respectively. Our operating expenses may increase substantially in the foreseeable future as we continue to invest to grow our business and build relationships with or clients and partners, develop new solutions and comply with requirements of being a public company. These efforts may prove to be more expensive than we currently anticipate, and we may not succeed in increasing our revenue sufficiently to offset these higher expenses. If we are unable to effectively manage the risks and difficulties of investing to grow our business, building relationships and developing new solutions as we encounter them, our business, financial condition and results of operations may suffer.</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continue to experience significant quarterly and annual fluctuations in our operating results due to a number of factors, which makes our future operating results difficult to predict.</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we have experienced fluctuations in period to period operating results, with stronger results and higher revenue in the second and third quarters of the year, and our quarterly and annual operating results may continue to fluctuate significantly due to a variety of factors, many of which are outside of our control. As a result, comparing our operating results on a period-to-period basis may not be meaningful. Our past results may not be a predictor of our future performance.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affect our operating results and the ability to predict our future results and trajectory include:</w:t>
      </w:r>
    </w:p>
    <w:p>
      <w:pPr>
        <w:spacing w:after="0" w:line="11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to existing customers and to renew agreements with our existing customers at comparable prices;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with greater needs for our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 or pricing pressure on our software and related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fluctuations in demand for our software and services and volatility in the sales of our solutions and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our acquisition or divestiture strategy;</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develop and implement new solutions and services, as well as improve and enhance existing solutions and services, in a manner that meets customer requirements;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train and retain key personnel;</w:t>
      </w: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18" w:name="page19"/>
    <w:bookmarkEnd w:id="18"/>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changes in the competitive dynamics of our market, including new entrants or substantial discounting of products or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facilities-related costs;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hiring personnel and of large expenses such as those for third-party professional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 including new uses for generative AI;</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appropriately resolve any disputes relating to our intellectual property;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recession, pandemic or any other adverse global economic conditions on our business.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 the past experienced, and we may experience in the future, significant variations in our level of sales. Such variations in our sales have led and may lead to significant fluctuations in our cash flows, revenue and deferred revenue on a quarterly and annual basis. Failure to achieve our quarterly goals will decrease our value and, accordingly, the value of our securities.</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order to support the growth of our business and our acquisition strategy, we may need to incur additional indebtedness or seek capital through new equity or debt financings, which sources of additional capital may not be available to us on acceptable terms or at all and may result in substantial dilution to our stockholders.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and we intend to continue to make significant investments to support our business growth, acquire complementary businesses and technologies, respond to business challenges or opportunities, develop new solutions and services and enhance our existing solutions and services and operating infrastructure. Our net cash provided by operating activities was $113.2 million in 2024 and $104.6 million in 2023. We had cash and cash equivalents of $135.8 million and no restricted cash as of December 31,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may be significantly different from our current estimates and will depend on many factors, including the need to:</w:t>
      </w:r>
    </w:p>
    <w:p>
      <w:pPr>
        <w:spacing w:after="0" w:line="11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technologies, solutions or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technological infrastructure and our existing solutions and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strategic relationships, including joint ventures and co-investments;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costs associated with any adverse market conditions or other macroeconomic factors.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Accordingly, we may need to engage in equity or debt financings or collaborative arrangements to secure additional funds. Additional financing may not be available on terms favorable to us, or at all. If we raise additional funds through further issuances of equity or convertible securities, our existing stockholders could suffer significant dilution, and any new equity securities we issue could have rights, preferences and privileges superior to those of holders of our ordinary shares.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it could have a material adverse effect on our business, financial condition and results of operations. Further, the Company maintains the majority of its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w:t>
      </w:r>
    </w:p>
    <w:p>
      <w:pPr>
        <w:spacing w:after="0" w:line="13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continue to expand our share of our existing vertical markets or expand into new vertical markets, which would inhibit our ability to grow and increase our profitability.</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growth and profitability depend, in part, upon our continued expansion within the vertical markets in which we currently operate, the emergence of other vertical markets for our solutions and our ability to penetrate new vertical markets. As part of our strategy to expand into new vertical markets, we look for acquisition opportunities and partnerships that will allow us to increase our market penetration, technological capabilities, offering of solutions and distribution capabilities. We may not be able to successfully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identify suitable acquisition or partnership candidates in the future, and if we do, they may not provide us with the benefits we anticipated.</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expansion into new vertical markets also depends upon our ability to adapt our existing technology or to develop new technologies to meet the particular needs of each new vertical market. We may not have adequate financial or technological resources to develop effective and secure services or distribution channels that will satisfy the demands of these new vertical markets. Penetrating these new vertical markets may also prove to be more challenging or costly or take longer than we may anticipate. Further, as positive references from existing customers are vital to expanding into new vertical and geographic markets within the service economy, any dissatisfaction on the part of existing customers may harm our brand and reputation and inhibit market acceptance of our services. If we fail to expand into new vertical markets and increase our penetration into existing vertical markets, we may not be able to continue to grow our revenues and earnings.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each of the industries in which we operate, which could negatively impact our business, results of operations and financial condition and cause our market share to decline.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for our solutions and services is highly competitive and subject to rapidly changing technology, shifting customer needs and frequent introductions of new products and services. As our platform is utilized across industries, we compete in a variety of highly fragmented markets and face competition from a variety of sources, including manual processes, basic PC tools, homegrown solutions, as well as from vertically-specialized and horizontal competitors. Vertically-specialized competitors include mobile sales applications and field service management platforms in Home Services, EHR / EMR and practice management platforms in Health Services and scheduling and management in Wellness Services. Horizontal competitors include Salesforce for CRM, Intuit for financial products, Square for payments and HubSpot for marketing-related solutions.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the intensity of competition to increase in the future as new companies enter our markets and existing competitors develop stronger capabilities. Our competitors may be able to devote greater resources to the development, promotion and sale of their offerings than we can to ours, which could allow them to respond more quickly than we can to new technologies and changes in customer needs and achieve wider market acceptance. Because the barriers to entry into our industry are generally low, we expect to continue to face competition from new entrants. We also encounter competition from a broad range of firms which possess greater resources than we do, and small independent firms that compete primarily on the basis of price. We may not compete effectively, and competitive pressures might prevent us from acquiring and maintaining the customer base necessary for us to be successful.</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potentially face competition from our current partners. Our partners, including our integration partners for our EHR and PM solutions within Health Services, our Business Management Software solutions within Home Services and our payment and CRM solutions within Wellness Services, as well as our third-party payment processing partners, could become our competitors by offering similar services. Some of our partners offer, or may begin to offer, services in the same or similar manner as we do. Although there are many potential opportunities for, and applications of, these services, our partners may seek opportunities or target new clients in areas that may overlap with those that we have chosen to pursue.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face competition from companies that we do not yet know about. If existing or new companies develop or market products or services that are similar to ours, develop entirely new solutions, acquire one of our existing competitors or form a strategic alliance with one of our competitors or other industry participants, our ability to compete effectively could be significantly impacted, which would have a material adverse effect on our business, results of operations and financial condition.</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rapidly evolving and the market for technology-enabled services that empower SMBs is relatively immature and unproven. If we are not successful in promoting the benefits of or maintaining the competitiveness of our solutions and services, our growth may be limited.</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three current verticals represent markets for our solutions and services that are subject to rapid and significant change. The market for software and technology-enabled services that empower SMBs is characterized by rapid technological change, new product and service introductions, consumerism and engagement and the entrance of non-traditional competitors. In addition, there may be a limited-time opportunity to achieve and maintain a significant share of these markets due in part to the rapidly evolving nature of the businesses within our Home Services, Health Services and Wellness Services verticals, the technology industries that support these businesses and the substantial resources available to our existing and potential competitors. The market for technology-enabled services within these verticals is relatively new and unproven, and it is uncertain whether this market will achieve and sustain high levels of demand and market adoption.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remain competitive, we are continually involved in a number of projects to compete with these new market entrants by developing new services, growing our client base and penetrating new markets. Some of these projects include the expansion of our integration capabilities around our vertical markets, such as field service management, EHR, PM and other solutions. These projects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0" w:name="page21"/>
    <w:bookmarkEnd w:id="2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carry risks, such as cost overruns, delays in delivery, performance problems and lack of acceptance by our clients, which could adversely impact our business, results of operations and financial condition.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our ability to grow organically may be limited by, among other things, extensive saturation in the verticals in which we operate or a change or reduction in demand from SMBs due to changing economic conditions, strategic priorities, or otherwise. For many of our businesses, organic growth depends on product innovation, new product development, and timely responses to changing SMB demands and preferences. Consequently, failure to develop new or improved products in response to changing SMB preferences in a timely manner may hinder our growth potential, affect our competitive position, and adversely affect our business and results of operations.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Consolidation in the industries in which we operate could decrease demand for our solutions and services by existing and potential clients in such industries.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Participants and businesses in the industries in which we operate may consolidate and merge to create larger or more integrated entities with greater market power. We expect regulatory, economic and other conditions to result in additional consolidation in the future. As consolidation accelerates, the economies of scale of our clients’ organizations may grow. If a client experiences sizable growth following consolidation, it may determine that it no longer needs to rely on us and may reduce its demand for our solutions and services. In addition, if an existing independent client elects to become a part of a franchise group, or if an existing franchise client opts to change to a different franchise group, such clients may be required by the terms of their respective franchise group to use different solutions and services, which would have an adverse impact on our operations and demand for our solutions. Furthermore, as companies consolidate to create larger and more integrated entities with greater market power, these new entities may try to use their market power to negotiate fee reductions for our solutions and services. Finally, consolidation may also result in the acquisition or future development by our customers of products and services that compete with our solutions and services. Any of these potential results of consolidation could have a material adverse effect on our business, financial condition and results of operations.</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payment card networks, such as Visa and MasterCard, and payment processors, such as Worldpay and PayPal, and if we fail to comply with the applicable requirements of the payment networks or our payment processors, they can seek to fine us, suspend us, terminate our agreements and/or terminate our registrations through our bank sponsors.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entered into agreements with certain payment processors, including Worldpay and PayPal, in order to enable our clients’ processing of credit, debit and prepaid card transactions through the card networks, such as Visa and MasterCard. Pursuant to these agreements with payment processors, we are registered with the card networks as an independent sales organization (“ISO”) of our sponsor bank(s) or as a payment facilitator(s), and are subject to the requirements of our bank sponsors, payment processors, as well as the card network rules and certain other obligations. The payment networks routinely update and modify requirements applicable to merchant acquirers (i.e., sponsor banks) which are passed through to third parties such as ISOs or payment facilitators like us, including rules regarding data integrity, third-party relationships (such as those with respect to bank sponsors and ISOs), merchant chargeback standards and the Payment Card Industry Data Security Standards (“PCI DSS”).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fail to comply with the applicable rules and requirements of the payment card networks, bank sponsors or payment processors, they could suspend or terminate our registration (with the payment networks) and/or terminate our ISO and/or payment facilitator agreements, which would make it impossible for us to conduct our business on its current scale. Further, our transaction processing abilities, including with respect to settlement processes, could be delayed or otherwise disrupted. As required by the PCI DSS (and the payment network rules), we may be required to submit to periodic third-party audits, self-assessments or other assurances of our compliance with the PCI DSS. Such reviews and audits may reveal that we have failed to comply with the PCI DSS (which could subject us to fines and penalties by the payment card networks). In addition, even if we comply with the PCI DSS, there is no assurance that we will be protected from a security breach. Our contracts with payment processors, including Worldpay and PayPal, include standard confidentiality, indemnification and data protection obligations, among others. Our contracts with Worldpay and PayPal provide for certain termination events, such as material breach, and are subject to automatic annual renewal unless terminated by either party upon prior notice or for cause. The termination of our registration with the payment networks or our agreements with the payment processors, or any changes in payment network, payment processor or issuer rules that limit our ability to provide merchant services, could have an adverse effect on our payment processing volumes, revenues and operating costs. If we are unable to comply with the requirements applicable to our obligations under the payment networks rules or payment processor agreements, the payment networks or payment processors may no longer allow us to provide these services, which would require us to spend additional resources to obtain settlement services from a third-party provider. In addition, if we were precluded from allowing our clients to process Visa and MasterCard transactions, which we access through our payment processor arrangements, we would lose substantially all of our revenue.</w:t>
      </w:r>
    </w:p>
    <w:p>
      <w:pPr>
        <w:spacing w:after="0" w:line="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also subject to the operating rules of the National Automated Clearing House Association (“NACHA”), a self-regulatory organization which administers and facilitates private-sector operating rules for ACH payments and defines the roles and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responsibilities of financial institutions and other ACH network participants. The NACHA Rules and Operating Guidelines impose obligations on us and our partner financial institutions. These obligations include audit and oversight by the financial institutions and the imposition of mandatory corrective action, including termination, for serious violations. If an audit or self-assessment under NACHA identifies any deficiencies that we need to remediate, the remediation efforts may distract our management team and be expensive and time consuming.</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cannot keep pace with rapid developments and changes in the electronic payments market or are unable to introduce, develop and market new and enhanced versions of our software solutions, we may be put at a competitive disadvantage with respect to our services that incorporated payment technology.</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Payment-related transactions comprised approximately 17% of our revenue in 2024. The electronic payments market is subject to constant and significant changes. This market is characterized by rapid technological evolution, new product and service introductions, evolving industry standards, changing client needs and the entrance of non-traditional competitors, including products and services that enable card networks and banks to transact with consumers directly. To remain competitive, we continually pursue initiatives to develop new solutions and services to compete with these new market entrants. These projects carry risks, such as cost overruns, delays in delivery, performance problems and lack of client acceptance. In addition, new solutions and offerings may not perform as intended or generate the business or revenue growth expected. Any delay in the delivery of new solutions and services or the failure to differentiate our solutions and services or to accurately predict and address market demand could render our solutions and services less desirable, or even obsolete, to our clients and to our distribution partners. Furthermore, even though the market for integrated payment processing solutions and services is evolving, it may develop too rapidly or not rapidly enough for us to recover the costs we have incurred in developing new solutions and services targeted at this market. Any of the foregoing could have a material and adverse effect on our operating results and financial condition.</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continued growth and development of our payment processing activities will depend on our ability to anticipate and adapt to changes in consumer behavior. For example, consumer behavior may change regarding the use of payment card transactions, including the relative increased use of crypto-currencies, other emerging or alternative payment methods and payment card systems that we or our processing partners do not adequately support or that do not provide adequate revenue to parties like us. Any failure to timely integrate emerging payment methods into our software, to anticipate consumer behavior changes or to contract with processing partners that support such emerging payment technologies could cause us to lose traction among our customers or referral sources, resulting in a corresponding loss of revenue, if those methods become popular among end-users of their services.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solutions and services we deliver are designed to process complex transactions and provide reports and other information on those transactions, all at very high volumes and processing speeds. Our technology offerings must also integrate with a variety of network, hardware, mobile and software platforms and technologies, and we need to continuously modify and enhance our solutions and services to adapt to changes and innovation in these technologies. Any failure to deliver an effective, reliable and secure service or any performance issue that arises with a new solution or service could result in significant processing or reporting errors or other losses. If we do not deliver a promised new solution or service to our clients or distribution partners in a timely manner or the solution or service does not perform as anticipated, our development efforts could result in increased costs and a loss in business that could reduce our earnings and cause a loss of revenue. We also rely in part on third parties, including some of our competitors and potential competitors, for the development of and access to new technologies, including software and hardware. Our future success will depend in part on our ability to develop or adapt to technological changes and evolving industry standards. If we are unable to develop, adapt to or access technological changes or evolving industry standards on a timely and cost-effective basis, our business, financial condition and results of operations would be materially adversely affected.</w:t>
      </w:r>
    </w:p>
    <w:p>
      <w:pPr>
        <w:spacing w:after="0" w:line="1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solutions could adversely affect our business, results of operations, financial condition and growth prospects.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customers expect a consistent level of quality in the provision of our solutions and services. The support services that we provide are also a key element of the value proposition to our customers. However, complex technological solutions such as ours often contain errors or defects, particularly when first introduced or when new versions or enhancements are released. Errors will affect the implementation, as well as the performance, of our solutions and software and could delay the development or release of new solutions or new versions of solutions, adversely affect our reputation and our customers’ willingness to buy solutions from us, and adversely affect market acceptance or perception of our solutions. We may also experience technical or other difficulties in the integration of acquired technologies and software solutions into our existing platforms and applications. Any such errors or delays in introducing or implementing new or enhanced solutions or allegations of unsatisfactory performance could cause us to lose revenue or market share, increase our service costs, cause us to incur substantial costs, cause us to lose significant customers, negatively affect our ability to attract new clients, subject us to liability for damages and divert our resources from other tasks, any one of which could materially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2" w:name="page23"/>
    <w:bookmarkEnd w:id="2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Unauthorized disclosure, destruction or modification of data, disruption of our software or services or cyber breaches could expose us to liability, protracted and costly litigation and damage our reputation.</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responsible both for our own business and to a significant degree for acts and omissions by certain of our distribution partners and third-party vendors under the rules and regulations established by the payment networks, such as Visa, MasterCard, Discover and American Express and the debit networks. We and other third parties collect, process, store and transmit sensitive data, such as names, addresses, social security numbers, credit or debit card numbers and expiration dates or other payment card information, drivers’ license numbers and bank account numbers, and we have ultimate liability to the payment networks and member financial institutions that register us with the payment networks for our failure, or the failure of certain distribution partners and third parties with whom we contract, to protect this data in accordance with payment network requirements. Certain of our software and technology-enabled services are intended for use in collecting, storing and displaying clinical and health care-related information used in the diagnosis and treatment of patients and in related health care settings such as registration, scheduling and billing. We attempt to limit by contract our liability, however, the limitations of liability set forth in the contracts may not be enforceable or otherwise protect us from liability, and we may also be subject to claims that are not covered by contract. Although we maintain liability insurance coverage, there can be no assurance that such coverage will cover any claim, prove to be adequate or continue to remain available on acceptable terms, if at all. The loss, destruction or unauthorized modification of client or cardholder data could result in significant fines, sanctions and proceedings or actions against us by the payment networks, payment processors, sponsor banks, governmental bodies, our customers, our clients’ customers or others, which could have a material adverse effect on our business, financial condition and results of operations. Any such sanction, fine, proceeding or action could result in significant damage to our reputation or the reputation of our customers, negatively impact our ability to attract or retain customers, force us to incur significant expenses in defense of these proceedings, disrupt our operations, distract our management, increase our costs of doing business and may result in the imposition of monetary liability. A significant cybersecurity breach could also result in payment networks prohibiting us from processing transactions on their networks or the loss of our financial institution sponsorship that facilitates our participation in the payment networks, either of which could materially impede our ability to conduct business.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products and services have been and may in the future be targets of cyber-attacks that attempt to sabotage or otherwise disable them, and the defensive and preventative measures we take ultimately may not be able to effectively detect, prevent, or protect against or otherwise mitigate losses from all cyber-attacks. Threats can come from a variety of sources, including criminal hackers, hacktivists, state-sponsored intrusions, industrial espionage and insider threats. Certain efforts may be supported by significant financial and technological resources, making them even more sophisticated and difficult to detect. Numerous and evolving cybersecurity threats, including advanced and persisting cyber-attacks, cyber-extortion, ransomware attacks, spear phishing and social engineering schemes, the introduction of computer viruses or other malware and the physical destruction of all or portions of our information technology and infrastructure could compromise the confidentiality, availability and integrity of the data in our systems. Despite our efforts to create security barriers against such threats, it is virtually impossible for us to eliminate these risks entirely. Any such breach could compromise our networks or the products we offer our customers, creating system disruptions or slowdowns and exploiting security vulnerabilities of our products. Additionally, the information stored on our networks could be accessed, publicly disclosed, lost or stolen, any of which could subject us to liability and cause us financial harm. These breaches, or any perceived breach, may also result in reporting obligations, damage to our reputation, negative publicity, loss of key partners, customers and transactions, increased remedial costs, or costly litigation, and may therefore adversely impact market acceptance of our products and services and may seriously affect our business, financial condition or results of operations.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on their websites, mobile applications and infrastructure. The techniques used to obtain unauthorized, improper, or illegal access to systems and information (including customers’ personal data), disable or degrade service, or sabotage systems are constantly evolving and have become increasingly complex and sophisticated, may be difficult to detect quickly, and often are not recognized or detected until after they have been launched against a target. Even if identified, we may be unable to adequately investigate or remediate incidents or breaches due to attackers increasingly using tools and techniques that are designed to circumvent controls, avoid detection, and remove or obfuscate forensic evidence.</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been and could in the future be subject to breaches of security by hackers or other malicious actors. Although we proactively employ multiple measures to defend our systems against intrusions and attacks and to protect the data we collect, our measures may not prevent unauthorized access or use of sensitive data. We experience cyber-attacks and other security incidents of varying degrees from time to time, though none which individually or in the aggregate has led to costs or consequences which have materially impacted our operations or business. We may be required to expend significant additional resources in our efforts to modify or enhance our protective measures against evolving threats. A breach of our system or a third-party system upon which we rely may subject us to material losses or liability, including payment network fines, assessments and claims for unauthorized purchases with misappropriated credit, debit or card information, impersonation or other similar fraud claims. A misuse of such data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8"/>
          <w:szCs w:val="18"/>
          <w:color w:val="auto"/>
        </w:rPr>
        <w:t>cybersecurity breach could harm our reputation and deter our clients and potential clients from using electronic payments generally and our solutions and services specifically, thus reducing our revenue. In addition, any such misuse or breach could cause us to incur costs to correct the breaches or failures, expose us to uninsured liability, increase our risk of regulatory scrutiny, subject us to lawsuits and result in the imposition of material penalties and fines under state and federal laws or by the payment networks. While we maintain insurance coverage that may, subject to policy terms and conditions, cover certain aspects of cyber risks, such insurance coverage may be insufficient to cover all losses.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generally require that our agreements with our distribution partners and service providers who have access to client and customer data include confidentiality obligations that restrict these parties from using or disclosing any client or customer data except as necessary to perform their services under the applicable agreements, there can be no assurance that these contractual measures will prevent the unauthorized disclosure of business or client data, nor can we be sure that such third parties would be willing or able to satisfy liabilities arising from their breach of these agreements. Any failure by such third parties to adequately take these protective measures could result in protracted or costly litigation.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agreements with our bank sponsors (as well as payment network requirements) require us to take certain protective measures to ensure the confidentiality of business and consumer data. Any failure to adequately comply with these protective measures could result in fees, penalties, litigation or termination of our bank sponsor agreements, and/or registration with the payment card networks.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service providers, fail to protect against unauthorized access, attacks (which may include sophisticated cyber-attacks) and the mishandling of data by our employees and contractors, then our reputation, business, results of operations and financial condition could be adversely affected. In addition, there can be no assurance that our cybersecurity risk management program and processes, including our policies, controls or procedures, will be fully implemented, complied with or effective in protecting our systems and information.</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technologies may not be beneficial to our business, and may cause the performance of our products, services and business, as well as our reputation and the reputations of our customers, to suffer or cause us to incur liability resulting from the violation of laws or contracts to which we are a party.</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developing and/or implementing artificial intelligence (“AI”), machine learning, and automated decision-making technologies (collectively, “AI Technologies”) throughout our business, and are making significant investments in this area.</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a party or civil claims.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our products or services that incorporate AI Technology, the market for such products and services is rapidly evolving and unproven in many industries, including our own, and important assumptions about the characteristics of targeted markets, pricing, sales cycles, cost, performance, and perceived value associated with our services or products may be inaccurate. We cannot be sure that the market will continue to grow or that it will grow in ways we anticipate. In addition, market acceptance of products and services that incorporate AI Technology is uncertain. Our failure to successfully develop and commercialize our products or services involving AI Technologies could depress the market price of our stock and impair our ability to: raise capital; expand our business; provide, improve and diversify our product offerings; continue our operations and efficiently manage our operating expenses; and respond effectively to competitive developments.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AI Technologies licensed from third parties in our technologies and our ability to continue to use such technologies at the scale we need may be dependent on access to specific third-party software and infrastructure. We cannot control the availability or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color w:val="auto"/>
        </w:rPr>
        <w:t>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third party AI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estimated total addressable market is subject to inherent challenges and uncertainties. If we have overestimated the size of our total addressable market or the various markets in which we operate, our future growth opportunities may be limited.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estimate the TAM, defined above, for our current solutions for service SMBs was approximately $1.6 trillion globally in 2023, of which approximately $662 billion was in North America, which refers to the United States and Canada. Of the $662 billion, we estimate a $$69 billion opportunity in Home Services, a $115 billion opportunity in Health Services, a $22 billion opportunity in Wellness Services and a $456 billion opportunity in other services categories. We have based our estimates on a number of internal and third-party estimates and resources, including, without limitation, third party reports and the experience of our management team across these industries.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solutions and services may prove to be incorrect. If third-party or internally generated data prove to be inaccurate or we make errors in our assumptions based on that data, the annual total addressable market for our solutions and services may be smaller than we have estimated, our future growth opportunities and sales growth may be impaired, any of which could have a material adverse effect on our business, financial condition and results of operations.</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calculate certain operational metrics using internal systems and tools and do not independently verify such metrics. Certain metrics are subject to inherent challenges in measurement, and real or perceived inaccuracies in such metrics may harm our reputation and negatively affect our 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refer to a number of operational metrics in our public disclosures, including Pro Forma Revenue Growth Rate, Adjusted Gross Profit, Adjusted earnings before interest, taxes, depreciation and amortization (“EBITDA”), monthly net pro forma revenue retention rate, lifetime value of a customer, customer acquisition costs and other metrics. We calculate these metrics using internal systems and tools that are not independently verified by any third party. These metrics may differ from estimates or similar metrics published by third parties or other companies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on an ongoing basis. If the internal systems and tools we use to track these metrics under count or over count performance or contain algorithmic or other technical errors, the data we present may not be accurate. While these numbers are based on what we believe to be reasonable estimates of our metrics for the applicable period of measurement, there are inherent challenges in measuring savings, the use of our solutions, services and offerings and other metrics. In addition, limitations or errors with respect to how we measure data or with respect to the data that we measure may affect our understanding of certain details of our business, which would affect our long-term strategies. If our operating metrics or our estimates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could harm our ability to increase our customer base and achieve broader market acceptance and utilization of our solutions.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solutions and services will depend to a significant extent on our ability to expand our sales and marketing organizations, and to deploy our sales and marketing resources efficiently. An important component of our growth strategy is to increase the cross-selling of our solutions and services to current and future SMB customers. However, if we are not successful in doing so, or our existing and potential customers find our additional solutions and services to be unnecessary or unattractive, we may not be able to increase our customer base. We have invested, and plan to continue to invest, significant resources in expanding our sales initiatives as well as our sales force focused on identifying new strategic partners. However, we may not achieve anticipated revenue growth from expanding our sales force if we are unable to hire, develop, integrate and retain talented and effective sales personnel, or if our new and existing sales personnel are unable to achieve desired productivity levels in a reasonable period of time.</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dedicate significant resources to sales and marketing programs. The effectiveness and cost of our online advertising has varied over time and may vary in the future due to competition for key search terms, changes in search engine use and changes in the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search algorithms and rules used by major search engines. These efforts will require us to invest significant financial and other resources. Our business and operating results will be harmed if our sales and marketing efforts do not generate significant increases in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reputation and brand recognition, our business and results of operations may be harmed.</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that maintaining and enhancing our reputation and brand recognition is critical to our relationships with existing clients and the customers or patients that they serve and to our ability to attract new clients. As our marketing efforts depend significantly on positive recommendations and referrals from our current and past SMB customers, a failure to maintain and provide high-quality solutions and services, or a market perception that we do not maintain or provide high-quality solutions and services, may harm our reputation and impair our ability to secure new customers. Any decisions we make regarding regulatory compliance, user privacy, payments and other issues, and any media, legislative or regulatory scrutiny of our business, or our current or former directors, employees, contractors, or vendors, could negatively affect our brands. If we do not successfully maintain and enhance the integrity, quality, efficiency and scalability of our software and systems, as well as our reputation and brand recognition among our customers and the end customers they serve, our business may not grow and we could lose existing customers, which would harm our business, results of operations and financial condition. For example, the success of our digital lead generation capabilities within our EverPro platform depends, in part, on our ability to establish and maintain relationships with quality and trustworthy home service professionals and home improvement contractors, such as home maintenance technicians and security alarm professionals operating in both residential and commercial settings. We provide our home service professionals with solutions to capture and manage lead generations to residential homeowners and business owners, who in turn want to work with home service professionals whom they can trust to provide quality workmanship. Unsatisfactory work performed by any of our recommended home service professionals could result in bad publicity and related damage to our reputation and/or litigation, which in turn may adversely affect our business, financial condition and results of operations.</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the promotion of our platforms and services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harmed. In addition, any factor that diminishes our reputation or that of our management, including failing to meet the expectations of our customers, could make it substantially more difficult for us to attract new customers.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retain our current customers, which are primarily SMBs, or sell additional functionality and services to them, our revenue growth may be adversely affected.</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increase our revenue, in addition to acquiring new customers, we must continue to retain existing clients and convince them to expand their use of our solutions and services by increasing the number of users and incenting them to pay for additional functionality. Many of our clients are SMBs, which can be more difficult to retain than large enterprises as SMBs often have higher rates of business failures and more limited resources, particularly in weaker economic environments, and are typically less able to make technology-related decisions based on factors other than price. Further, SMBs are fragmented in terms of size, geography, sophistication and nature of business and, consequently, are more challenging to serve at scale and in a cost-effective manner. As a result, we may be unable to retain existing clients or increase the usage of our solutions and services by them, which would have an adverse effect on our business, revenue and other operating results, and accordingly, on the trading price of our common stock.</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sell additional functionality to our existing customers may require more sophisticated and costly sales efforts, especially for our larger customers with more experienced management and established procurement functions. Similarly, the rate at which our customers purchase additional solutions from us depends on several factors, including general economic conditions and the pricing of additional functionality. SMBs are typically more susceptible to such factors and any adverse changes in the economic environment or business failures of our SMB customers may have a greater impact on us than on our competitors who do not focus on SMBs to the extent that we do. If our efforts to sell additional functionality to our clients are not successful, our business and growth prospects would suffer.</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some of our contracts are non-cancelable annual subscription contracts, most of our contracts with clients primarily consist of open-ended arrangements that can be terminated by either party without penalty, generally upon providing 30-day notice. Our clients have no obligation to renew their subscriptions for our solutions and services after the expiration of their subscription period. For us to maintain or improve our operating results, it is important that our customers continue to maintain their subscriptions on the same or more favorable terms. We cannot accurately predict renewal or expansion rates given the diversity of our customer base in terms of size, industry and geography. Our renewal and expansion rates may decline or fluctuate as a result of several factors, including consumer spending levels, client satisfaction with our solutions and services, decreases in the number of users, changes in the type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size of our customers, pricing changes, competitive conditions, the acquisition of our customers by other companies and general economic conditions. If our customers do not renew their subscriptions, our revenue and other operating results will decline and our business will suffer. If our renewal or expansion rates fall significantly below the expectations of the public market, securities analysts, or investors, the trading price of our common stock would likely decline.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we have key customers and a more pronounced customer concentration in certain markets. Consequently, the loss of any of our key customers or any significant reduction in their usage of our solutions and services may reduce our sales revenue and net profit. There can be no guarantee that our key customers will not in the future seek to source some or all of their solutions and services from competitors or begin to develop such solutions or services in-house. Any loss, change or other adverse event related to our key customer relationships could have an adverse effect on our business, results of operations and financial condition.</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Impairment in the value of our goodwill or intangible assets has adversely impacted and may in the future have a material adverse effect on our operating results and financial condition.</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 goodwill and intangible assets at fair value upon the acquisition of a business. Goodwill represents the excess of amounts paid for acquiring businesses over the fair value of the net assets acquired. The carrying value of goodwill is evaluated for impairment at least annually, or more frequently if conditions warrant, by comparing the carrying value of a reporting unit to its estimated fair value. Intangible assets with definite lives are reviewed for impairment whenever events or circumstances indicate that their carrying value may not be recoverable. Declines in operating results, divestitures, sustained market declines and other factors that impact the fair value of our reporting unit has and may in the future result in an impairment of goodwill or intangible assets and, in turn, a charge to net income (loss). These charges in the years ended December 31, 2024 and 2023 and any future charges have, and may in the future have a material adverse effect on our results of operations or financial condition.</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2024, in conjunction with our review of strategic alternatives for our Marketing Technology Solutions, and as a result of lower than expected financial performance and future forecasted growth rates we determined that the estimated fair value of our marketing technology solutions reporting unit was insufficient to recover the net carrying value of the reporting unit resulting in an impairment of goodwill of approximately $28.1 million. In connection with the definitive sale and purchase agreements to sell our Fitness Solutions, we tested the goodwill balance for impairment as of March 31, 2024. During the year ended December 31, 2024, we recognized $6.4 million of goodwill impairment charges representing the allocated goodwill to Fitness Solutions.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the Company evaluated the recoverability of our fitness asset group. As a result of our evaluation, we determined that the estimated fair value of our fitness asset group was insufficient to recover the net carrying value of the asset group resulting in an impairment charge of approximately $5.1 million during the three months ended December 31, 2023, of which $3.1 million related to intangible assets.</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and our third-party providers’ information technology systems, including Worldpay, PayPal and other payment processing partners, may fail, or our third-party providers may discontinue providing their services or technology generally or to us specifically, which in either case could interrupt our business, cause us to lose business and increase our costs.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our systems, technology and infrastructure to perform well on a consistent basis. From time to time in the past we have experienced (and in the future we may experience) occasional interruptions that make some or all of this framework and related information unavailable or that prevent us from providing solutions and services. Any such interruption could arise for any number of reasons. We also rely on third parties, such as Worldpay, PayPal and other payment processing partners, for specific services, software and hardware used in providing our solutions and services. Some of these organizations and service providers are our competitors or provide similar services and technology to our competitors, and we may not have long-term contracts with them. If these contracts are canceled or we are unable to renew them on commercially reasonable terms, or at all, our business, financial condition and results of operation could be adversely impacted. The termination by our service or technology providers of their agreements with us or their failure to perform their services efficiently and effectively may adversely affect our relationships with our clients and, if we cannot find alternate providers quickly, may cause those clients to terminate their processing agreements with us. We will continually work to expand and enhance the efficiency and scalability of our framework to improve the consumer and service professional experience, accommodate substantial increases in the number of visitors to our various platforms, ensure acceptable load times for our various solutions and services and keep up with changes in technology and user preferences. If we do not do so in a timely and cost-effective manner, the user experience and demand across our brands and businesses could be adversely affected, which could adversely affect our business, financial condition and results of operations.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information technology systems and operations or those of our third-party technology vendors could be exposed to damage or interruption from, among other things, fire, extreme weather events (including floods, storms, droughts and extreme temperatures) and other natural disasters, power loss, telecommunications failure, unauthorized entry, computer viruses, denial-of-service attacks, acts of</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7" w:name="page28"/>
    <w:bookmarkEnd w:id="27"/>
    <w:p>
      <w:pPr>
        <w:jc w:val="both"/>
        <w:spacing w:after="0" w:line="254" w:lineRule="auto"/>
        <w:rPr>
          <w:sz w:val="20"/>
          <w:szCs w:val="20"/>
          <w:color w:val="auto"/>
        </w:rPr>
      </w:pPr>
      <w:r>
        <w:rPr>
          <w:rFonts w:ascii="Times New Roman" w:cs="Times New Roman" w:eastAsia="Times New Roman" w:hAnsi="Times New Roman"/>
          <w:sz w:val="18"/>
          <w:szCs w:val="18"/>
          <w:color w:val="auto"/>
        </w:rPr>
        <w:t>terrorism, human error, vandalism or sabotage, financial insolvency and similar events. Extreme weather events, changing water levels, as well as changes in ambient temperature and precipitation patterns, may become more frequent or severe as a result of climate change. Our property and business interruption insurance may not be adequate to compensate us for all losses or failures that may occur, and the cost and availability of such insurance may be adversely impacted to the extent events become more frequent or severe. While we and the third parties upon whom we rely have certain backup systems in place for certain aspects of our respective frameworks, none of our frameworks are fully redundant and disaster recovery planning is not sufficient for all eventualities, particularly given some of the uncertainties associated with longer term projections, including those associated with climate change. Defects in our information technology systems or those of third parties, errors or delays in the processing of payment transactions, telecommunications failures or other difficulties could result in:</w:t>
      </w:r>
    </w:p>
    <w:p>
      <w:pPr>
        <w:spacing w:after="0" w:line="8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clients;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client and cardholder data;</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imposed by payment networks or bank sponsors;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business or reputation resulting from negative publicity;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fraud losses or other liabilities;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operating and development costs;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technical or other resources, among other consequences.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that such disruptions result in delays or cancellations of customer orders, or adversely impact the deployment of our solutions, our business, operating results and financial condition would be adversely affected.</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improve our margin, in particular within Marketing Technology Solutions, we may experience lower aggregate profitability and margins.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experienced significant revenue growth across our offering of solutions and services, certain solutions and services, such as our Marketing Technology Solutions, have lower margins as compared to our subscription and transaction fee services, such as our vertical Business Management Software and integrated payment solutions. For the year ended December 31, 2024, subscription and transaction fees and Marketing Technology Solutions generated 78.5% and 18.5%, respectively, of our total revenues. To the extent our lower margin solutions and services grow as a portion of our overall business, there is an adverse impact on our aggregate profitability and margins.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be unable to achieve satisfactory prices for our offerings or maintain prices at competitive levels across our offering of solutions and services. If we are unable to maintain our prices, or if our costs increase and we are unable to offset such an increase with a commensurate increase in our prices, our margins could decline. We will continue to be subject to significant pricing pressure and expect that we will continue to experience growth across our offerings, including in respect of our lower margin solutions, such as our Marketing Technology Solutions, which will likely have a material adverse effect on our margins.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future pandemic, epidemic or outbreak of an infectious disease could impact, our business, financial condition and results of operations, as well as the business or operations of third parties with whom we conduct business.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Potential future pandemics, epidemics or outbreaks of infectious disease may cause significant economic and financial market uncertainty and disruption and measures to contain infection may negatively impact SMBs and our operations. To the extent a pandemic, epidemic or outbreak of an infectious disease adversely affects our business, financial condition and results of operations, it may also have the effect of heightening many of the other risks described in this “Risk Factors” section.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Conversely, pandemics, epidemics and outbreaks may significantly and temporarily increase demand in certain industries and markets in which we operate. For example, COVID-19 generally increased demand for, and utilization of, telehealth services, and increased demand from customers shifting to technology-focused, digital-first business models. While such increases may help to offset the decline of business and demand in other industries, there can be no assurance that these levels of interest, demand and use will be similar in any future public health crisis. Federal and state budget shortfalls as a result of a public health crisis could lead to potential reductions in funding for Medicare and Medicaid. Further reductions in reimbursements from Medicare and Medicaid could lead to our Health Services customers postponing expenditures on information technology and related services.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possible that the increased prevalence of remote or hybrid work arrangements may also result in consumer and patient privacy, IT security and fraud risks.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economic and political risk, the business cycles of our clients and changes in the overall level of consumer and commercial spending, which could negatively impact our business, financial condition and results of operations.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general economic conditions that affect consumer confidence, consumer spending, consumer discretionary income and changes in consumer purchasing habits. A sustained deterioration in general economic conditions, particularly in the United States, or increases in interest rates, could adversely affect our financial performance by reducing the number or aggregate volume of transactions made using electronic payments and increasing interest payments on our debt. A reduction in the amount of consumer or commercial spending could result in a decrease in our revenue and profits. If our customers make fewer purchases or sales of products and services using electronic payments, or consumers spend less money through electronic payments, we will have fewer transactions to process at lower dollar amounts, resulting in lower revenue.</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While we attempt to minimize our exposure to economic or market fluctuations by serving a balanced mix of end markets and geographic regions, any significant or sustained downturn in a specific end market or geographic region can impact our business and that of our customers. These factors may make it difficult for our customers and us to accurately forecast and plan future business activities; neither we nor our customers can predict the timing, strength or duration of any economic downturn or subsequent recovery. Furthermore, if a significant portion of our customers are concentrated in a specific geographic area or industry, our business may be disproportionately affected by negative trends or economic downturns in those specific geographic areas or industries. These factors may also cause our customers to reduce their capital expenditures, alter the mix of services purchased and otherwise slow their spending on our services. In addition, due to these conditions, many of our competitors may be more inclined to take greater or unusual risks or accept terms and conditions in contracts that we might not deem acceptable. These conditions and factors may reduce the demand for our services and solutions, and more generally may adversely affect our business, results of operations and financial condition. </w:t>
      </w:r>
      <w:r>
        <w:rPr>
          <w:rFonts w:ascii="Times New Roman" w:cs="Times New Roman" w:eastAsia="Times New Roman" w:hAnsi="Times New Roman"/>
          <w:sz w:val="18"/>
          <w:szCs w:val="18"/>
          <w:color w:val="231F20"/>
        </w:rPr>
        <w:t>Similarly, new and changing laws, regulations,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executive orders and enforcement priorities can also create uncertainty about how such laws and regulations will be interpreted and applied, which may decrease customer spending and increase our costs.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weakening in the economy could have a negative impact on our customers, as well as the customers they serve who purchase solutions and services using the payment processing systems to which we provide access, which could, in turn, negatively affect our business, financial condition and results of operations. Many of our clients are SMBs. To continue to grow our revenue, we must add new SMB customers, sell additional solutions and services to existing SMB customers and encourage existing SMB customers to continue doing business with us. However, a weakening in the economy could force SMBs to close at higher than historical rates in part because many of them are not as well capitalized as larger organizations and are typically less able to make technology-related decisions based on factors other than price, which could expose us to potential credit losses and future transaction declines. Further, credit card issuers may reduce credit limits and become more selective in their card issuance practices. We also have a certain amount of fixed and semi-fixed costs, including rent, debt service and salaries, which could limit our ability to quickly adjust costs and respond to changes in our business and the economy.</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inflation, including wage inflation, increases in interest rates, currency volatility as well as monetary, fiscal and policy interventions by national or regional governments in anticipation of or reaction to such events could have negative impacts on our business by increasing our operating costs and our borrowing costs as well as decreasing the capital available for our customers to purchase our solutions and services or the levels of cash we maintain for working capital. The change in the United States presidential administration may result in economic volatility or other consequences that adversely impact SMBs or consumer spending and consequently negatively impact our business and results of operations.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manage our exchange rate and interest rate risk using hedging instruments. We cannot be certain such practices will be available and/or effective at mitigating foreign currency and interest rate risk to which we are exposed. If we are unsuccessful in detecting material exposures in a timely manner, any hedging strategies we deploy are not effective, or there are no hedging strategies available for certain exposures that are prudent given the associated risks and the potential mitigation of the underlying exposure achieved, our operating results or financial position could be adversely affected in the future.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retain our personnel and hire additional skilled personnel, we may be unable to achieve our goals.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future success depends upon our ability to attract, train and retain highly skilled employees and contract workers, particularly our management team, sales and marketing personnel, professional services personnel and software engineers. Any of our key personnel have worked for us for a significant amount of time or were recruited by us specifically due to their experience. Our success depends in part upon the reputation and influence within the industry of our senior managers who have, over the years, developed long standing and favorable relationships with our vendors, card associations, bank sponsors and other payment processing and service providers. Each of our executive officers and other key employees may terminate his or her relationship with us at any time and the loss of the services of one or a combination of our senior executives or members of our senior management team, including our Chief Executive Officer, Eric Remer, our President, Matthew Feierstein and our Chief Financial Officer, Ryan Siurek, may significantly delay or prevent the achievement of our business or development objectives and could materially harm our business. Further, contractual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obligations related to confidentiality and assignment of intellectual property rights may be ineffective or unenforceable, and departing employees may share our proprietary information with competitors in ways that could adversely impact us.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certain senior management personnel are substantially vested in their stock option grants or other equity compensation. While we periodically grant additional equity awards to management personnel and other key employees to provide additional incentives to remain employed by us, employees may be more likely to leave us if a significant portion of their equity compensation is fully vested.</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intense competition for qualified individuals from numerous other technology companies. Often, significant amounts of time and resources are required to train technical personnel and we may lose new employees to our competitors or other technology companies before we realize the benefit of our investment in recruiting and training them. We may be unable to attract and retain suitably qualified individuals who are capable of meeting our growing technical, operational and managerial requirements, on a timely basis or at all, and we have paid and may in the future be required to pay increased compensation in order to do so, including as a result of wage inflation. Because of the technical nature of our solutions and services and the dynamic market in which we compete, any failure to attract and retain qualified personnel, as well as our contract workers, could have a material adverse effect on our ability to generate sales or successfully develop new solutions, client and consulting services and enhancements of existing solutions and services. Also, to the extent we hire personnel from competitors, we may be subject to allegations that they have been improperly solicited or divulged proprietary or other confidential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achieving our objectives through acquisitions, dispositions or other strategic transactions.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Since April 2017, we have consummated 53 acquisitions and have generated significant growth through acquisitions. Although we expect to continue to acquire companies and other assets in the future, such acquisitions pose a number of challenges and risks, including the following:</w:t>
      </w:r>
    </w:p>
    <w:p>
      <w:pPr>
        <w:spacing w:after="0" w:line="5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suitable acquisition candidates or acquire additional assets at attractive valuations and on favorable terms;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suitable acquisition candidates;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compete successfully for identified acquisition candidates, complete acquisitions or accurately estimate the financial effect of acquisitions on our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or unanticipated acquisition costs;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integration and management of acquired businesses in a manner that permits the combined company to achieve the full revenue and cost synergies and other benefits anticipated to result from the acquisition, due to difficulties such as incompatible accounting, information management or other control systems;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an acquired company’s key employees or customers;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or undisclosed liabilities, incompatibilities and/or other obstacles to successful integration not discovered during the pre-acquisition due diligence process;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management resources to evaluate acquisition candidates and oversee the integration and operation of the acquired businesses;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the necessary debt or equity financing, on favorable terms or at all, to finance any of our potential acquisitions;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interest expense, restructuring charges and amortization expenses related to intangible assets;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dilution to our stockholders for acquisitions made utilizing our securities; and</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cash necessary to execute our acquisition strategy and/or the reduction of cash that would otherwise be available to fund operations or for other purposes.</w:t>
      </w:r>
    </w:p>
    <w:p>
      <w:pPr>
        <w:spacing w:after="0" w:line="5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While our acquisition strategy leverages our experience and utilizes internal criteria for evaluating acquisition candidates and prospective businesses, there can be no guarantee that each business will have all of the positive attributes we seek. If we complete an acquisition that does not meet some or all of our criteria, such acquisition may not be as successful as one involving a business that does meet most or all of our criteria. There can be no assurance that our criteria are accurate or helpful indicators of success, and we may fail or opt not to acquire successful businesses that do not otherwise satisfy our internal requirements and preferences. In addition, we may consider acquisitions outside of our existing vertical markets and in industries or services in which we have limited expertise or experience. While we will endeavor to evaluate the risks inherent in any particular acquisition candidate, there can be no assurance that we will adequately ascertain or assess all of the significant risk factors to such new markets, industries or services.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if we are able to complete acquisitions and other investments, such activities may not ultimately strengthen our competitive position or achieve our strategic goals and could be viewed negatively by existing or prospective customers, investors or other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0" w:name="page31"/>
    <w:bookmarkEnd w:id="30"/>
    <w:p>
      <w:pPr>
        <w:jc w:val="both"/>
        <w:spacing w:after="0" w:line="255" w:lineRule="auto"/>
        <w:rPr>
          <w:sz w:val="20"/>
          <w:szCs w:val="20"/>
          <w:color w:val="auto"/>
        </w:rPr>
      </w:pPr>
      <w:r>
        <w:rPr>
          <w:rFonts w:ascii="Times New Roman" w:cs="Times New Roman" w:eastAsia="Times New Roman" w:hAnsi="Times New Roman"/>
          <w:sz w:val="18"/>
          <w:szCs w:val="18"/>
          <w:color w:val="auto"/>
        </w:rPr>
        <w:t>stakeholders. We may not realize the anticipated benefits of any or all of our acquisitions or other investments in the time frame expected or at all. For example, the process of integrating operations could cause an interruption of, or loss of momentum in, the activities of one or more of our combined businesses and the possible loss of key personnel. Further, acquisitions and consolidations may also disrupt our ongoing business, divert our resources and require significant management attention that would otherwise be available for ongoing development of our current business. Acquisitions can also result in a complex corporate structure with different systems and procedures in place across various acquired entities, particularly during periods in which acquired entities are being integrated or transitioned to our preferred systems and procedures. Initiatives to integrate these disparate systems and procedures can be challenging and costly, and the risk of failure high.</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there can be no assurance that we will be able to identify suitable acquisition targets in the future, or to complete such acquisitions on acceptable terms or at all. If we are unable to identify acquisition targets that meet our investment criteria and close such transactions on acceptable terms, our potential for growth by way of acquisition may be restricted, which could have an adverse effect on achievement of our strategy and the resulting expected financial benefits.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occurrence of any of these factors may result in a decrease in any or all acquisition activity and otherwise adversely impact our operations, which may lead to less growth and a deterioration of our financial and operational condition.</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we may pursue dispositions and other strategic transactions, which could be material. For example, we have announced a strategic review of our Marketing Technology Solutions, which may not result in a successful sale or other dispositions. Dispositions and other strategic transactions may not have the anticipated impact on our business, may negatively impact revenues and may make it difficult to generate cash flows to meet our cash requirements.</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Revenues and profits generated through acquisitions may be less than anticipated, and we may fail to uncover all liabilities of acquisition targets through the due diligence process prior to an acquisition, resulting in unanticipated costs, losses or a decline in profits, as well as potential impairment charges. Claims against us relating to any acquisition may necessitate our seeking claims against the seller for which the seller may not indemnify us or that may exceed the seller’s indemnification obligations.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and determining the purchase price for a prospective acquisition, we estimate the future revenues and profits from that acquisition based largely on historical financial performance. Following an acquisition, we may experience some attrition in the number of clients serviced by an acquired provider of billing and payment solutions and marketing and customer retention services. Should the rate of post-acquisition client attrition exceed the rate we forecasted, the revenues and profits from the acquisition may be less than we estimated, which could result in losses or a decline in profits, as well as potential impairment charges. Moreover, the anticipated benefits of any acquisition, including our revenue or return on investment assumptions, may not be realized.</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perform a due diligence review of each of our acquisition targets. This due diligence review, however, may not adequately uncover all of the contingent or undisclosed liabilities we may incur as a consequence of the proposed acquisition, exposing us to potentially significant, unanticipated costs, as well as potential impairment charges. Although a seller generally may have indemnification obligations to us under an acquisition or merger agreement, these obligations usually will be subject to financial limitations, such as general deductibles and maximum recovery amounts, as well as time limitations. Certain transactions are also subject to limitations of the scope of a Representation and Warranty Insurance policy. We cannot assure you that our right to indemnification from any seller will be enforceable, collectible or sufficient in amount, scope or duration to fully offset the amount of any undiscovered or underestimated liabilities that we may incur. Any such liabilities, individually or in the aggregate, could have a material adverse effect on our business, results of operations and financial condition. In addition, our insurance does not cover all of our potential losses, and we are subject to various self-insured retentions and deductibles under our insurance. Although we believe we have sufficient reserves for contingencies, a judgment may be rendered against us in cases in which we could be uninsured or which exceed the amounts that we currently have reserved or anticipate incurring for such matters.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health and competitive position.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of December 31, 2024, we had cash, cash equivalents and restricted cash of $135.8 million, $190.0 million of available borrowing capacity under our New Revolver (as defined in Part II. Item 7. </w:t>
      </w:r>
      <w:r>
        <w:rPr>
          <w:rFonts w:ascii="Times New Roman" w:cs="Times New Roman" w:eastAsia="Times New Roman" w:hAnsi="Times New Roman"/>
          <w:sz w:val="18"/>
          <w:szCs w:val="18"/>
          <w:i w:val="1"/>
          <w:iCs w:val="1"/>
          <w:color w:val="auto"/>
        </w:rPr>
        <w:t>“Management’s Discussion and Analysis of Results of Operation and Financial Condition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and $532.1 million outstanding under our Credit Facilities (as defined in Part II. Item 7.</w:t>
      </w:r>
      <w:r>
        <w:rPr>
          <w:rFonts w:ascii="Times New Roman" w:cs="Times New Roman" w:eastAsia="Times New Roman" w:hAnsi="Times New Roman"/>
          <w:sz w:val="18"/>
          <w:szCs w:val="18"/>
          <w:i w:val="1"/>
          <w:iCs w:val="1"/>
          <w:color w:val="auto"/>
        </w:rPr>
        <w:t xml:space="preserve"> “Management’s Discussion and Analysis of Results of Operation and Financial Condition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Liquidity and Capital Resources”)</w:t>
      </w:r>
      <w:r>
        <w:rPr>
          <w:rFonts w:ascii="Times New Roman" w:cs="Times New Roman" w:eastAsia="Times New Roman" w:hAnsi="Times New Roman"/>
          <w:sz w:val="18"/>
          <w:szCs w:val="18"/>
          <w:color w:val="auto"/>
        </w:rPr>
        <w:t>. To service this debt and any additional debt we may incur in the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need to generate cash. Our ability to generate cash is subject, to a certain extent, to our ability to successfully execute our business strategy, including acquisition activity, as well as general economic, financial, competitive, regulatory and other factors beyond our control. There can be no assurance that our business will be able to generate sufficient cash flow from operations or that future borrowings or other financing will be available to us in an amount sufficient to enable us to service our debt and fund our other liquidity needs. To the extent we are required to use our cash flow from operations or the proceeds of any future financing to service our debt instead of funding working capital,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1" w:name="page32"/>
    <w:bookmarkEnd w:id="31"/>
    <w:p>
      <w:pPr>
        <w:jc w:val="both"/>
        <w:spacing w:after="0" w:line="255" w:lineRule="auto"/>
        <w:rPr>
          <w:sz w:val="20"/>
          <w:szCs w:val="20"/>
          <w:color w:val="auto"/>
        </w:rPr>
      </w:pPr>
      <w:r>
        <w:rPr>
          <w:rFonts w:ascii="Times New Roman" w:cs="Times New Roman" w:eastAsia="Times New Roman" w:hAnsi="Times New Roman"/>
          <w:sz w:val="18"/>
          <w:szCs w:val="18"/>
          <w:color w:val="auto"/>
        </w:rPr>
        <w:t>expenditures, acquisition activity or other general corporate purposes, we will be less able to plan for, or react to, changes in our business, industry and in the economy generally. This will place us at a competitive disadvantage compared to our competitors that have less debt. There can be no assurance that we will be able to refinance any of our debt on commercially reasonable terms or at all, or that the terms of that debt will allow any of the above alternative measures or that these measures would satisfy our scheduled debt service obligations. If we are unable to generate sufficient cash flow to repay or refinance our debt on favorable terms, it could significantly adversely affect our financial condition and the value of our outstanding debt. Our ability to restructure or refinance our debt will depend on the condition of the capital markets and our financial condition. Any refinancing of our debt could be at higher interest rates and may require us to comply with more onerous covenants, which could further restrict our business operations.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terms of our Credit Facilities contain, and any agreements evidencing or governing other future debt may contain, certain restrictive covenants that limit our ability, among other things, to engage in certain activities that are in our long-term best interests and align with our business strategies or operations, including our ability to:</w:t>
      </w:r>
    </w:p>
    <w:p>
      <w:pPr>
        <w:spacing w:after="0" w:line="68"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on property, assets or revenues;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additional debt or amend our debt and other material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make distributions and redeem or repurchase equity interests or issue preferred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debt;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business activities;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mergers and asset sales.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under certain circumstances, we will be required to satisfy and maintain a specified financial ratio under the terms of our Credit Facilities. While we have not previously breached and are not in breach of any of these covenants, there can be no guarantee that we will not breach these covenants in the future. Our ability to comply with these covenants and restrictions may be affected by events and factors beyond our control. Our failure to comply with any of these covenants or restrictions could result in an event of default under the terms of our indebtedness. An event of default would permit the lending banks to take certain actions, including terminating all outstanding commitments and declaring all amounts outstanding to be immediately due and payable, including all outstanding borrowings, accrued and unpaid interest thereon and all other amounts owing or payable with respect to such borrowings and any terminated commitments. In addition, the lenders would have the right to proceed against the collateral we granted to them, which includes substantially all of our assets. If payment of outstanding amounts under our Credit Facilities accelerated, our assets may be insufficient to repay such amounts in full, and our common stockholders could experience a partial or total loss of their investment.</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of 2002 (the “Sarbanes-Oxley Act”), the Dodd-Frank Wall Street Reform and Consumer Protection Act of 2010 (the “Dodd-Frank Act”), the listing requirements of The Nasdaq Stock Market and other applicable securities rules and regulations. Compliance with these rules and regulations has increased and will continue to increase our legal and financial compliance costs, make some activities more difficult, time consuming, or costly, and increase demand on our systems and resources, particularly after we are no longer an emerging growth company.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Although we have already hired additional employees to comply with these requirements, we may need to hire more employees in the future or engage outside consultants, which would increase our costs and expenses.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we are required, pursuant to Section 404 of the Sarbanes-Oxley Act,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assessment includes disclosure of any material weaknesses identified by our management in our internal control over financial reporting, as well as a statement that our independent registered public accounting firm has issued an opinion on the effectiveness of</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2" w:name="page33"/>
    <w:bookmarkEnd w:id="32"/>
    <w:p>
      <w:pPr>
        <w:jc w:val="both"/>
        <w:spacing w:after="0" w:line="254" w:lineRule="auto"/>
        <w:rPr>
          <w:sz w:val="20"/>
          <w:szCs w:val="20"/>
          <w:color w:val="auto"/>
        </w:rPr>
      </w:pPr>
      <w:r>
        <w:rPr>
          <w:rFonts w:ascii="Times New Roman" w:cs="Times New Roman" w:eastAsia="Times New Roman" w:hAnsi="Times New Roman"/>
          <w:sz w:val="18"/>
          <w:szCs w:val="18"/>
          <w:color w:val="auto"/>
        </w:rPr>
        <w:t>our internal control over financial reporting, provided that our independent registered public accounting firm will not be required to attest to the effectiveness of our internal control over financial reporting until our first annual report required to be filed with the SEC following the date (i) we are either an “accelerated filer” or a “large accelerated filer,” each as defined in the Exchange Act, and (ii) we are no longer an emerging growth company, as defined in the JOBS Act.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are also required to disclose changes made in our internal control and procedures on a quarterly basis. To comply with the requirements of being a public company, we may need to undertake various actions, such as implementing new internal controls and procedures and hiring accounting or internal audit staff.</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a material weakness in our internal control over financial reporting as of December 31, 2023 that has not been remediated as of December 31, 2024, as described in Part II, Item 9A. The material weakness identified in this Annual Report on Form 10-K relates to the lack of properly designed controls over certain of our order to cash revenue accounting processes. Specifically, adequate controls are not in place primarily as a result of (a) the lack of full system integration for certain of our order to cash systems and (b) control deficiencies within the manual controls designed to mitigate that risk. We have also previously identified a material weakness over internal control over financial reporting in the past.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taking remediation measures in response to the current material weakness we identified, we may need to expend additional resources and provide additional management oversight in order to establish effective disclosure controls and procedures and internal control over financial reporting. Implementing any appropriate changes to our internal controls may require specific compliance training of our employees, entail substantial costs, take a significant period of time to complete or divert management’s attention from other business concerns.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material weakness will not be considered remediated until our remediation plan has been fully implemented, the applicable controls operate for a sufficient period of time, and we have concluded, through testing, that the newly implemented and enhanced controls are operating effectively. At this time, we cannot predict the success of such efforts or the outcome of our assessment of the remediation efforts. We can give no assurance that our efforts will remediate this material weakness in our internal control over financial reporting, or that additional material weaknesses will not be identified in the future.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investor confidence in us and cause a decline in the price of our common stock. Additionally, ineffective internal control could expose us to an increased risk of financial reporting fraud and the misappropriation of assets and subject us to potential delisting from the stock exchange on which we list or to other regulatory investigations and civil or criminal sanctions.</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as we continue to scale and improve our operations, including our internal systems and processes, we are currently implementing, and in the future may seek to implement, a variety of critical systems, such as billing, human resource information systems, financial reporting and accounting systems. We cannot assure you that new systems, including any increases in scale or related improvements, will be successfully implemented or that appropriate personnel will be available to facilitate and manage these processes. Failure to implement necessary systems and procedures, transition to new systems and processes or hire the necessary personnel could result in higher costs, compromised internal reporting and processes and system errors or failures. The implementation and transition to any new critical system may be disruptive to our business if they do not work as planned or if we experience issues related to such implementation or transition, which could have a material adverse effect on our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general, under Section 382 of the Internal Revenue Code of 1986, as amended, or the Code, a corporation that undergoes an “ownership change” is subject to limitations on its ability to utilize its pre-ownership change Net Operating Losses (“NOLs”) to offset future taxable income.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within a specified testing period. Similar rules may apply under state tax laws. Our existing NOLs may be subject to limitations arising from previous ownership changes, and if there is a future change in our stock ownership (which may be outside of our control) that results in an ownership change, our ability to utilize NOLs could be further limited by Section 382 of the Code. U.S. federal NOLs generated in taxable years beginning on or before December 31, 2017, or pre-2017 NOLs, are subject to expiration while U.S. federal and certain state NOLs generated in taxable years beginning after December 31, 2017, or post- 2017 NOLs, are not subject to expiration. Additionally, for taxable years beginning after December 31, 2020, the deductibility of federal post-2017 NOLs is limited to 80% of our taxable income in such year, where taxable income is determined without regard to the NOL for such post-2017 NOLs. For these and other reasons, we may not be able to realize a tax benefit from the use of our NOLs.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3" w:name="page34"/>
    <w:bookmarkEnd w:id="3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healthcare regulation, healthcare industry standards and other requirements create risks and challenges with respect to our compliance efforts and our business strategies within Health Services.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healthcare industry is highly regulated and subject to frequently changing laws, regulations and industry standards. These laws and regulations may impact us directly or indirectly through our contracts with Health Services customers. Many healthcare laws and regulations are complex, and their application to specific solutions, services and relationships may not be clear. In particular, many existing healthcare laws and regulations, when enacted, did not anticipate the healthcare IT solutions and services that we provide, and these laws and regulations may be applied to our solutions and services in ways that we do not anticipate. In addition, federal and state efforts to reform or revise aspects of the healthcare industry or to revise or create additional legal or regulatory requirements could impact our operations, the use of our solutions and our ability to market new solutions, or could create unexpected liabilities for us. There can be no assurance that our business or operations will not be challenged or impacted by enforcement initiatives.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Scrutiny on environmental sustainability and social initiatives could increase our costs, harm our reputation and adversely impact our financial results.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Companies are subject to scrutiny by multiple stakeholders on climate change, human capital management, and a variety of other environmental, social and other sustainability (“ESG”) matters. Expectations regarding ESG initiatives and disclosures may result in increased costs, compliance or disclosure obligations, or other impacts to our business, financial condition, or results of operations.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may, from time to time, engage in certain voluntary initiatives (which may include disclosures, policies, and targets, among others) to improve the ESG profile of our operations and/or products or respond to stakeholder considers, such initiatives may be costly and may not have the desired effect. Expectations around companies’ management of ESG matters continues to evolve rapidly, in many instances due to factors that are out of our control. In particular, we may make statements or actions based on various frameworks, methodologies, or data that we believe to be reasonable but which may ultimately be determined to be erroneous or inconsistent with future regulatory requirements or best practices. Even if this is not the case, our current actions may subsequently be determined to be insufficient or not aligned to best practices by various stakeholders. If we are not effective in addressing ESG matters affecting our business, or setting and meeting relevant sustainability goals, we may be subject to various adverse impacts, including reputational damage and potential stakeholder engagement and/or litigation.</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this emphasis on ESG matters has resulted and may result in the adoption of new laws and regulations, including new reporting requirements. For example, various policymakers, such as the SEC, European Union and State of California, have adopted (or are considering adopting) requirements for companies to provide significantly expanded disclosures on, or take other actions regarding climate and/or other ESG topics. These requirements are not uniform across jurisdictions, and may be inconsistently applied, which can increase the complexity and cost of compliance, and increase the risk of enforcement or litigation relating to our ESG disclosures and initiatives. Moreover, some investors and financial institutions use ESG or sustainability scores, ratings or benchmarks to make financing, investment and voting decisions. Any reputational damage associated with ESG factors may also adversely impact our ability to recruit and retain employees, customers, and business partners. Simultaneously, there are efforts by some stakeholders to reduce companies’ efforts relating to certain ESG-related matters. Both advocates and opponents to certain ESG matters are increasingly resorting to a range of activism forms, including media campaigns and litigation, to advance their perspectives. To the extent we are subject to such activism, it may require us to incur costs or otherwise adversely impact our business. This and other stakeholder expectations will likely lead to increased costs as well as scrutiny that could heighten all of the risks identified in this risk factor. Such ESG matters may also impact our suppliers, customers, capital providers, and other stakeholders, which may compound or cause new impacts on our business, financial condition, or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or enforce, and we may incur significant costs in enforcing or defending, our intellectual property and other proprietary rights.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enforce and defend our intellectual property and other proprietary rights. We rely upon a combination of trademark, trade secret, copyright and other intellectual property laws, as well as license agreements and other contractual provisions, to protect our intellectual property and other proprietary rights. In addition, we attempt to protect our intellectual property and proprietary information by requiring our employees and consultants to enter into confidentiality, non-competition and assignment of inventions agreements. However, we cannot be certain that the steps we have taken or will take to protect and enforce our intellectual property and proprietary rights will be successful. Third parties may challenge, invalidate, circumvent, infringe, misappropriate or otherwise violate our intellectual property or the intellectual property of our third-party licensors, and any of these claims or actions may result in restrictions on our use of our intellectual property or the conduct of our business. Our intellectual property may not be sufficient to permit us to take advantage of current market trends or otherwise to provide competitive advantages, which could result in costly redesign efforts, discontinuance of certain service offerings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4" w:name="page35"/>
    <w:bookmarkEnd w:id="34"/>
    <w:p>
      <w:pPr>
        <w:jc w:val="both"/>
        <w:spacing w:after="0" w:line="253" w:lineRule="auto"/>
        <w:rPr>
          <w:sz w:val="20"/>
          <w:szCs w:val="20"/>
          <w:color w:val="auto"/>
        </w:rPr>
      </w:pPr>
      <w:r>
        <w:rPr>
          <w:rFonts w:ascii="Times New Roman" w:cs="Times New Roman" w:eastAsia="Times New Roman" w:hAnsi="Times New Roman"/>
          <w:sz w:val="18"/>
          <w:szCs w:val="18"/>
          <w:color w:val="auto"/>
        </w:rPr>
        <w:t>competitive harm. Others, including our competitors, may independently develop similar technology, duplicate our solutions and services, design around or reverse engineer our intellectual property, and in such cases neither we nor our third-party licensors may be able to assert intellectual property rights against such parties. We also rely, and expect to continue to rely on, certain services and intellectual property that we license from third parties for use in our product offerings and services. We cannot be certain that our licensors are not infringing upon the intellectual property rights of others or that our suppliers and licensors have sufficient rights to the third-party technology incorporated into our platform in all jurisdictions in which we may operate. Further, our contractual license arrangements may be subject to termination or renegotiation with unfavorable terms to us, and our third-party licensors may be subject to bankruptcy, insolvency and other adverse business dynamics, any of which might affect our ability to use and exploit the products licensed to us by these third-party licensors. We may have to litigate to enforce or determine the scope and enforceability of our intellectual property rights (including litigation against our third-party licensors), which is expensive, could cause a diversion of resources and may not prove successful. The loss of intellectual property protection or the inability to obtain the right to use third-party intellectual property could harm our business and ability to compete.</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existing U.S. federal and state intellectual property laws offer only limited protection and the laws of other countries in which we market our software solutions and services may afford little or no effective protection of our intellectual property. Therefore, our intellectual property rights may not be as strong or as easily enforced outside of the U.S.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patent, trademark and other intellectual property infringement claims, which may be time-consuming, and cause us to incur significant liability and increase our costs of doing business.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cannot be certain that our products and services and the operation of our business do not, or will not, infringe or otherwise violate the intellectual property rights of third parties. Third parties may assert infringement claims against us with respect to current or future solutions, including for patent infringement, breach of copyright, trademark, license usage or other intellectual property rights. There may be existing patents or patent applications of which we are unaware that could be pertinent to our business; many patent applications are filed confidentially in the United States and are not published until 18 months following the applicable filing date. Additionally, in recent years, individuals and groups have been purchasing intellectual property assets for the sole purpose of making claims of infringement and attempting to extract settlements from companies like ours. Even if we believe that intellectual property related claims are without merit, defending against such claims is time consuming and expensive and could result in the diversion of the time and attention of our management and employees. In addition, the outcome of litigation is uncertain, and any claim from third parties may result in a limitation on our ability to use the intellectual property subject to these claims. Claims of intellectual property infringement also might require us to redesign or reengineer our affected solutions or services, enter into costly settlement or license agreements, pay costly royalties, license fees or damage awards for which we may not have insurance, or face a temporary or permanent injunction prohibiting us from marketing or selling certain of our solutions or services. Even if we have an agreement for indemnification against such costs, the indemnifying party, if any in such circumstances, may be unable to uphold its contractual obligations. If we cannot or do not license the infringed technology on reasonable terms or substitute similar technology from another source, our revenue and earnings could be materially and adversely affected.</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or consultants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creation or development of intellectual property on our behalf to execute agreements assigning such intellectual property to us, we may be unsuccessful in having all such employees and contractors execute such an agreement. The assignment of intellectual property may not be self-executing or the assignment agreement may be breached, and we may be forced to bring claims against employees or third parties or defend claims that they may bring against us to determine the ownership of what we regard as our intellectual property. Any of the foregoing could have a material adverse effect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adversely affect our ability to offer our services and subject us to possible litigation.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use open source software in connection with the development and deployment of our solutions and services, and we expect to continue to use open source software in the future. Companies that use open source software in connection with their products have, from time to time, faced claims challenging the use of open source software and/or compliance with open source license terms. As a</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5" w:name="page36"/>
    <w:bookmarkEnd w:id="35"/>
    <w:p>
      <w:pPr>
        <w:jc w:val="both"/>
        <w:spacing w:after="0" w:line="254" w:lineRule="auto"/>
        <w:rPr>
          <w:sz w:val="20"/>
          <w:szCs w:val="20"/>
          <w:color w:val="auto"/>
        </w:rPr>
      </w:pPr>
      <w:r>
        <w:rPr>
          <w:rFonts w:ascii="Times New Roman" w:cs="Times New Roman" w:eastAsia="Times New Roman" w:hAnsi="Times New Roman"/>
          <w:sz w:val="18"/>
          <w:szCs w:val="18"/>
          <w:color w:val="auto"/>
        </w:rPr>
        <w:t>result, we could be subject to suits by parties claiming ownership of what we believe to be open source software or claiming noncompliance with open source licensing terms. Some open source software licenses require users who distribute software containing or linked to open source software to publicly disclose all or part of the source code to such software and/or make available any derivative works of the open source code, which could include valuable proprietary code of the user, on unfavorable terms or at no cost. While we monitor the use of open source software and try to ensure that none is used in a manner that would require us to disclose our proprietary source code or that would otherwise breach the terms of an open source agreement, such use could inadvertently occur, in part because open source license terms are often ambiguous and almost none of them have been interpreted by U.S. or foreign courts. Any requirement to disclose our proprietary source code or pay damages for breach of contract could have a material adverse effect on our business, financial condition and results of operations and could help our competitors develop products and services that are similar to or better than ours.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in addition to risks related to license requirements, use of certain open source software carries greater technical and legal risks than does the use of third-party commercial software. For example, open source software is generally provided without any support or warranties or other contractual protections regarding infringement or the quality of the code, including the existence of security vulnerabilities. To the extent that our platform depends upon the successful operation of open source software, any undetected errors or defects in open source software that we use could prevent the deployment or impair the functionality of our systems and injure our reputation. In addition, the public availability of such software may make it easier for others to compromise our platform. Any of the foregoing risks could materially and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w:t>
      </w:r>
    </w:p>
    <w:p>
      <w:pPr>
        <w:spacing w:after="0" w:line="1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and user bases, and thereby decrease our revenue.</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handling of data is subject to a variety of laws and regulations, including regulation by various government agencies, including the U.S. Federal Trade Commission (the “FTC”), and various state, local and foreign agencies. We collect personally identifiable information and other data from our customers and the end-customers they serve and use this information to provide services to such customers and end-customers, as well as to support, expand and improve our business.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U.S. and foreign governments have adopted or proposed limitations on the collection, distribution, use and storage of personal information of individuals. In the United States, the FTC and many state attorneys general are applying federal and state consumer protection laws as imposing standards for the online collection, use and dissemination of data, through websites or otherwise, and as regulating the presentation of website content. However, these obligations may be interpreted and applied in a manner that is inconsistent from one jurisdiction to another and may conflict with other requirements or our practices. At the state level, lawmakers continue to pass new laws concerning privacy and data security.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Similar laws have passed in other states, and are continuing to be proposed at the state and federal level. Recent and new state and federal legislation relating to privacy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HIPAA imposes privacy, security and breach notification obligations on “covered entities,” including certain health care providers, health plans, and health care clearinghouses, and their respective “business associates” that create, receive, maintain or transmit individually identifiable health information for or on behalf of a covered entity, with respect to safeguarding the privacy, security and transmission of individually identifiable health information, as well as their covered subcontractors. Entities that are found to be in violation of HIPAA, whether as the result of a breach of unsecured protected health information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Additionally, if we or our subcontractor business associates fail to comply with HIPAA or contractual requirements, or are otherwise involved in a HIPAA data breach, we may face significant fines and penalties, ongoing compliance requirements, reputational harm, contractual reimbursement, recoupment or other obligations, FTC enforcement actions and private litigation brought by impacted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6" w:name="page37"/>
    <w:bookmarkEnd w:id="36"/>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the FTC and many state Attorneys General continue to enforce federal and state consumer protection laws against companies for online collection, use, dissemination and security practices that appear to be unfair or deceptive. The FTC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 Attorneys General to regulate the collection, use, storage, and disclosure of personal information, through websites or otherwise, and to regulate the presentation of website content.</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Outside of the United States, many jurisdictions have laws or regulations dealing with the collection, use, sharing, or other processing of personal information, including laws in the European Economic Area (“EEA”), Canada, Middle East, Australia and South America. For example, the General Data Protection Regulation (“GDPR”), in the EEA and its equivalent in the United Kingdom (“UK”, and such equivalent, the “UK GDPR”), impose a strict data protection compliance regime (which will continue to be interpreted through guidance and decisions over the coming years. Failure to comply with these laws could result fines of up to the greater of €20 million ($22 million / £17 million) or 4% of global turnover, stop processing orders, or civil litigation.</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We expect the existing legal complexity and uncertainty regarding international personal data transfers to continue. As a result, we may have to make certain operational changes and we will have to implement revised standard contractual clauses and other relevant documentation for existing data transfers within required time frames.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Privacy, security and data protection laws and regulations, and any other such changes or new laws or regulations, could impose significant limitations, require changes to our business, or restrict our use or storage of personal information, which may increase our compliance expenses and make our business more costly or less efficient to conduct. In addition, any such changes could compromise our ability to develop an adequate marketing strategy and pursue our growth strategy effectively, which, in turn, could adversely affect our business, financial condition, and results of operations. The interpretations and measures conducted by us in our efforts to comply with the applicable data protection laws may have been or may prove to be insufficient or incorrect. If our privacy or data security measures or practices fail to comply with current or future laws and regulations, we may be subject to claims, legal proceedings or other actions by individuals or governmental authorities based on privacy or data protection regulations and our commitments to customers and users, as well as negative publicity and a potential loss of business. As we continue to expand into other foreign countries and jurisdictions, we may also be subject to additional laws and regulations that may affect how we conduct business. Moreover, if future laws and regulations limit our customers and users’ ability to use and share personal information or our ability to store, process and share personal information, demand for our solutions could decrease, our costs could increase, and our business, results of operations and financial condition could be harmed.</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framework governing the use of AI Technologies is rapidly evolving, and we cannot predict how future legislation and regulation will impact our ability to offer products or services that we develop which leverage AI Technologies.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AI Technologies throughout our business and are making significant investments in this area.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or standards may have on our business and may not always be able to anticipate how to respond to these laws or regulations.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Already, certain existing legal regimes (e.g., relating to data privacy) regulate certain aspects of AI Technologies, and new laws regulating AI Technologies are expected to enter into force in the United States and the EU in 2024. In the United States, the Biden administration issued a broad Executive Order on the Safe, Secure, and Trustworthy Development and Use of Artificial Intelligence (the “2023 AI Order”) that sets out principles intended to guide AI design and deployment for the public and private sector and signals the increase in governmental involvement and regulation over AI Technologies. The 2023 AI Order established certain new requirements for the training, testing and cybersecurity of sophisticated AI models and large-scale compute centers used to train AI models. The 2023 AI Order also instructed several other federal agencies to promulgate additional regulations within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timeframes from the date of the 2023 AI Order regarding the use and development of AI Technologies. Legislation related to AI Technologies has also been introduced at the federal level and is advancing at the state level.</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Europe, on May 21, 2024, the European Union legislators approved the EU Artificial Intelligence Act (the “EU AI Act”), which establishes a comprehensive, risk-based governance framework for AI in the EU market. The EU AI Act, as well as developing interpretation and application of the GDPR in respect of automated decision making, together with developing guidance and/or decisions in this area, may affect our use of AI Technologies and our ability to provide, improve or commercialize our services, require additional compliance measures and changes to our operations and processes, and result in increased compliance costs and potential increases in civil claims against us, and could adversely affect our business, operations and financial condition.</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Through our relationships with third parties, including payment processors such as Worldpay, we must comply with certain laws. Our failure to comply could materially harm our business.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local, state and federal laws, rules, regulations, licensing schemes and industry standards that govern our business include, or may in the future include, those relating to underwriting, foreign exchange, payments services (such as money transmission), anti-money laundering, combating terrorist financing, escheatment, international sanctions regimes and other applicable rules, regulations, and laws.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Evaluation of our compliance efforts, as well as the questions of whether and to what extent our solutions and services could be considered money transmission, are matters of regulatory interpretation and could change over time. We have taken the position that in all cases where we do not participate in the authorization of transactions, flow of funds or settlement of funds, that a solution or service does not meet the definition of a “money service business” under the Bank Secrecy Act, 31 USC 5311 (and therefore we are not subject to the requirements set forth in the BSA and its implementing regulations). In the future, if regulators disagree with our position with respect to money transmission or other potentially applicable laws, including those related to money transmission, or if new guidance or interpretations thereof are issued,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licenses or regulatory approvals, including state money transmitter licenses. There can be no assurance that we will be able to obtain or maintain any such licenses, and, even if we were able to do so, there could be substantial costs and potential changes to our solutions or services involved in maintaining such licenses, which could have a material and adverse effect on our business. In addition, we could be subject to fines or other enforcement action if we are found to violate disclosure, reporting, anti-money laundering, capitalization, corporate governance, or other requirements of such licenses. These factors could impose substantial additional costs, involve considerable delay to the development or provision of our solutions or services, require significant and costly operational changes, or prevent us from providing our solutions or services in any given market.</w:t>
      </w:r>
    </w:p>
    <w:p>
      <w:pPr>
        <w:spacing w:after="0" w:line="13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complex procurement laws and regulations with respect to government contracts, we could lose business and be liable for various penalties.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must comply with laws and regulations relating to the formation, administration and performance of government contracts, which affect how we conduct business with certain governmental entities. In complying with these laws and regulations, we may incur additional costs. Any non-compliance could result in the imposition of significant fines and penalties, including contractual damages, and impact our ability to obtain additional business in the future. Our governmental entity clients periodically review our compliance with their contracts and our performance under the terms of such contracts. If we fail to comply with these contracts, 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8" w:name="page39"/>
    <w:bookmarkEnd w:id="3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regulations, we may also suffer harm to our reputation, which could impair our ability to win awards of contracts in the future or receive renewals of existing contracts.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sending of commercial emails and text messages and certain other telephonic services must comply with the Telephone Consumer Protection Act, and future legislation, regulatory actions, or litigation could adversely affect our business.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United States regulates marketing by telephone and email and the laws and regulations governing the use of emails and telephone calls for marketing purposes continue to evolve, and changes in technology, the marketplace or consumer preferences may lead to the adoption of additional laws or regulations or changes in interpretation of existing laws or regulations. New laws or regulations, or changes to the manner in which existing laws and regulations or interpreted or enforced, may further restrict our ability to contact potential and existing customers by phone and email and could render us unable to communicate with consumers in a cost-effective fashion. For example, in the United States, the Controlling the Assault of Non-Solicited Pornography and Marketing Act of 2003 (the “CAN-SPAM Act”), among other things, obligates the sender of commercial emails to provide recipients with the ability to opt out of receiving future commercial emails from the sender.</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Telephone Consumer Protection Act (the “TCPA”) is a federal statute that protects consumers from unwanted telephone calls and faxes. Since its inception, the TCPA’s purview has extended to certain text messages sent to consumers. We must ensure that our services, including those that leverage text messaging, comply with the TCPA, including its implementing regulations and agency guidance. The scope and interpretation of the TCPA is continuously evolving and developing. While we strive to adhere to strict policies and procedures compliant with the TCPA, a court or the Federal Communications Commission (the “FCC”), as the agency that implements and enforces the TCPA, may disagree with our interpretation of the TCPA and subject us to penalties and other consequences for noncompliance.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to comply with obligations and restrictions related to telephone, text message and email marketing could subject us to lawsuits, fines, statutory damages, consent decrees, injunctions, adverse publicity and other losses that could harm our business. In addition, we provide certain services to our customers that involve text messaging that could be deemed to be automated dialing systems subject to restrictions under the TCPA. Consumers may bring, and have in the past brought, suit against us under the TCPA based on our services or our customers’ use of our services.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particular, determination by a court or regulatory agency that our services or our customers’ use of our services violate the TCPA could subject us to civil damages and penalties, could invalidate all or portions of some of our client contracts, could require us to change or terminate some portions of our business, could require us to refund portions of our services fees and could have an adverse effect on our business. Even an unsuccessful challenge by consumers or regulatory authorities to our services could result in adverse publicity and could require a costly response from us. In addition, any uncertainty regarding whether and how the TCPA applies to our business could increase our costs, limit our ability to grow, and have an adverse effect on our business.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Foreign Corrupt Practices Act (“FCPA”),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As we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As we increase our international business, our risks under these laws may increase.</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healthcare industry is heavily regulated at the local, state and federal levels. Our failure to comply with regulatory requirements could create liability for us or our customers, result in adverse publicity and negatively affect our 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one of our three key verticals is Health Services, our operations and relationships, and those of our customers, are regulated by a number of federal, state and local governmental entities. The healthcare industry is heavily regulated and laws, regulations and industry standards are constantly evolving due to the changing political, legislative and regulatory landscapes. There are a significant number of wide-ranging healthcare laws and regulations, including but not limited to those described below, that may be directly or indirectly applicable to our operations and relationships or the business practices of our clients. Healthcare laws and regulations may change rapidly, and it is frequently unclear how they apply to our business. Any failure of our solutions or services to comply with these laws and regulations could result in substantial civil or criminal liability and could, among other things, adversely affect demand for our services, invalidate all or portions of some of our contracts with our customers, require us to change or terminate some portions of our business, require us to refund portions of our revenue, cause us to be disqualified from serving customers doing business with government payers and give our customers the right to terminate our contracts with them, any one of which could have an adverse effect on our business, results of operations and financial condition.</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Healthcare Fraud</w:t>
      </w:r>
      <w:r>
        <w:rPr>
          <w:rFonts w:ascii="Times New Roman" w:cs="Times New Roman" w:eastAsia="Times New Roman" w:hAnsi="Times New Roman"/>
          <w:sz w:val="18"/>
          <w:szCs w:val="18"/>
          <w:color w:val="auto"/>
        </w:rPr>
        <w:t>. A number of federal and state laws, including the U.S. federal Anti-Kickback Statute (“AKS”) and laws prohibiting the submission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false or fraudulent claims, such as the False Claims Act apply to healthcare providers and others that provide, offer, solicit or receive payments to induce or reward referrals of items or services for which payment may be made under any federal or state healthcare program and, under certain state laws, any third-party payor. These laws are complex and their application to our specific services and relationships may not be clear and may be applied to our business in ways that we do not anticipate. Federal and state regulatory and law enforcement authorities have recently increased fraud and abuse enforcement activities, including in the healthcare IT industry. Additionally, from time to time, participants in the healthcare industry receive inquiries or subpoenas to produce documents in connection with government investigations.</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solutions and services include electronically transmitting claims for services and items rendered by providers to payers for approval and reimbursement. We also provide revenue cycle management services to our clients that include the coding, preparation, submission and collection of claims for medical service to payers for reimbursement. Such claims are governed by U.S. federal and state laws. The federal civil False Claims Act (“FCA”) imposes civil penalties on any persons that knowingly submit, or cause to be submitted, a false or fraudulent claim to a federal health care program such as Medicare or Medicaid. U.S. federal law may also impose criminal penalties for intentionally submitting such false claims. Further, the FCA contains a whistleblower provision that allows a private individual to file a lawsuit on behalf of the U.S. government and entitles that whistleblower to a percentage of any recoveries. In addition, the government may assert that a claim including items and services resulting from a violation of the AKS constitutes a false or fraudulent claim for purposes of the False Claims Act.</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possible that governmental authorities will conclude that our business practices may not comply with current or future statutes, regulations, agency guidance or case law involving applicable fraud and abuse or other healthcare laws and regulations. We may be subject to government investigations, and if our operations are found to be in violation of these laws, we may be subject to significant fines and penalties, including civil, criminal and administrative penalties, damages, exclusion from Medicare, Medicaid or other government-funded healthcare programs, integrity oversight and reporting obligations to resolve allegations of non-compliance, disgorgement, imprisonment, contractual damages, reputational harm, diminished profits and the curtailment or restructuring of our operations. Any investigation or proceeding related to these laws, even if unwarranted or without merit, may have a material adverse effect on our business, results of operations and financial condition.</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Security and Privacy of Health-Related Information</w:t>
      </w:r>
      <w:r>
        <w:rPr>
          <w:rFonts w:ascii="Times New Roman" w:cs="Times New Roman" w:eastAsia="Times New Roman" w:hAnsi="Times New Roman"/>
          <w:sz w:val="18"/>
          <w:szCs w:val="18"/>
          <w:color w:val="auto"/>
        </w:rPr>
        <w:t>. Federal, state and local laws regulate the privacy and security of health-related information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under which such health-related information may be used, disclosed, transmitted and maintained. For example, HIPAA regulations require the use of uniform electronic data transmission standards and code sets for certain health care claims and payment transactions submitted or received electronically. The privacy and security regulations promulgated under HIPAA regulate the use and disclosure of individually identifiable health information, and impose privacy and security requirements on covered entities and their business associates. HIPAA requires covered entities and business associates to develop and maintain policies with respect to the protection of, use and disclosure of PHI, including the adoption of administrative, physical and technical safeguards to protect electronic PHI and certain notification requirements in the event of a data breach. The Company’s operations could be negatively impacted by a violation of the HIPAA privacy, security or breach notification rules. Additionally, if the Company or any of its downstream / subcontractor business associates fails to comply with HIPAA or contractual requirements, or create or are otherwise involved in a HIPAA data breach, the Company may face significant fines and penalties, ongoing compliance requirements, reputational harm, contractual reimbursement, recoupment or other obligations and private litigation brought by impacted individuals.</w:t>
      </w:r>
    </w:p>
    <w:p>
      <w:pPr>
        <w:spacing w:after="0" w:line="8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Promoting Interoperability Programs and Health IT Certification. </w:t>
      </w:r>
      <w:r>
        <w:rPr>
          <w:rFonts w:ascii="Times New Roman" w:cs="Times New Roman" w:eastAsia="Times New Roman" w:hAnsi="Times New Roman"/>
          <w:sz w:val="18"/>
          <w:szCs w:val="18"/>
          <w:color w:val="auto"/>
        </w:rPr>
        <w:t>We are subject to laws and regulations governing our use of health record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a combination of our solutions has been certified as meeting standards for certified electronic health record technology, the regulatory standards to achieve certification will continue to evolve over time. We may incur increased development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costs and delays in delivering solutions if we need to upgrade our software or healthcare devices to be in compliance with these varying and evolving standards. In addition, further delays in interpreting these standards may result in postponement or cancellation of our clients’ decisions to purchase our software solutions. If our software solutions are not compliant with these evolving standards, our relationships with current customers, market position and sales could be impaired and we may have to invest significantly in changes to our software solutions.</w:t>
      </w:r>
    </w:p>
    <w:p>
      <w:pPr>
        <w:spacing w:after="0" w:line="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Information Blocking and Interoperability Rules</w:t>
      </w:r>
      <w:r>
        <w:rPr>
          <w:rFonts w:ascii="Times New Roman" w:cs="Times New Roman" w:eastAsia="Times New Roman" w:hAnsi="Times New Roman"/>
          <w:sz w:val="18"/>
          <w:szCs w:val="18"/>
          <w:color w:val="auto"/>
        </w:rPr>
        <w:t>. Federal rules implementing the 21st Century Cures Act require developers of certified EHRs and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products to adopt standardized application programming interfaces, which help individuals to securely and easily access structured and unstructured electronic health information formats using smartphones and other mobile devices. These rules create a potentially lengthy list of certification and maintenance of certification requirements that developers of EHRs and other health IT products must meet in order to maintain approved federal government certification status. Meeting and maintaining this certification status could require additional development costs. Under the 21st Century Cures Act, HHS has the regulatory authority to investigate and assess civil monetary penalties against health IT developers and/or providers found to be guilty of “information blocking.” Any failure to comply with these rules could have a material adverse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or may decline regardless of our operating performance, resulting in substantial losses for 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may fluctuate significantly in response to numerous factors, many of which are beyond our control, including:</w:t>
      </w:r>
    </w:p>
    <w:p>
      <w:pPr>
        <w:spacing w:after="0" w:line="11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conditions and 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results of operations or capital commitments;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stock market valuations and operating performance of other technology companies generally, or those in our industry in particular;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board of directors or management;</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certain affiliates of Providence Strategic Growth, Silver Lake or our executive officers and directors;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 actual changes in laws, regulations or government policies applicable to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debt or equity securities;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involving our capital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the United States;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(including the ongoing war in Ukraine), pandemics or other public health crises, incidents of terrorism or responses to these events;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 of this Annual Report on Form 10-K.</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stock market has recently experienced extreme price and volume fluctuations. The market prices of securities of companies have experienced fluctuations that often have been unrelated or disproportionate to their results of operations. Market fluctuations could result in extreme volatility in the price of shares of our common stock, which could cause a decline in the value of your investment. Price volatility may be greater if the public float and trading volume of shares of our common stock is low. Furthermore,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41" w:name="page42"/>
    <w:bookmarkEnd w:id="4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parties to our sponsor stockholders agreement hold a substantial portion of our outstanding common stock, and such parties interests may conflict with our interests and the interests of other stockholders.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parties to our sponsor stockholders agreement own approximately 83.0% of our common stock. We have agreed to nominate to our board of directors individuals designated by Providence Strategic Growth and Silver Lake in accordance with the sponsor stockholders agreement. Providence Strategic Growth and Silver Lake each retain the right to designate directors for so long as they beneficially own at least 5% of the aggregate number of shares of common stock outstanding. In addition, for so long as Providence Strategic Growth and Silver Lake collectively beneficially own at least 30% of the aggregate number of shares of common stock outstanding, certain actions by us or any of our subsidiaries require the prior written consent of each of Providence Strategic Growth and Silver Lake so long as such stockholder is entitled to designate at least two (2) directors for nomination to our board of directors. The actions that require prior written consent include: (i) change in control transactions, (ii) acquiring or disposing of assets or any business enterprise or division thereof for consideration in excess of $500.0 million in any single transaction or series of transactions, (iii) increasing or decreasing the size of our board of directors, (iv) terminating the employment of our chief executive officer or hiring a new chief executive officer, (v) initiating any liquidation, dissolution, bankruptcy or other insolvency proceeding involving us or any of our significant subsidiaries and (vi) any transfer, issue, issuance, sale or disposition of any shares of common stock, other equity securities, equity-linked securities or securities that are convertible into equity securities of us or our subsidiaries to any person or entity that is a non-strategic financial investor in a private placement transaction or series of transactions.</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when the parties to our sponsor stockholders agreement cease to own shares of our stock representing a majority of the total voting power, for so long as the parties to such agreement continue to own a significant percentage of our stock, they will still be able to significantly influence or effectively control the composition of our board of directors and the approval of actions requiring stockholder approval through their voting power. In addition, pursuant to the sponsor stockholder agreement, we are generally required to obtain the prior written consent of the parties to our sponsor stockholders agreement before we or our subsidiaries undertake certain actions. Accordingly, for such period of time, the parties to our sponsor stockholders agreement have significant influence with respect to our management, business plans and policies. In particular, for so long as the parties to our sponsor stockholders agreement continue to own a significant percentage of our stock, the parties to such agreement may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common stock as part of a sale of our Company and ultimately might affect the market price of our common stock.</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our amended and restated certificate of incorporation provides that the doctrine of “corporate opportunity” does not apply with respect to certain parties to our stockholders agreements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See “-Our amended and restated certificate of incorporation provides that the doctrine of “corporate opportunity” does not apply with respect to certain parties to our stockholders agreements and any director or stockholder who is not employed by us or our subsidiaries.”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by the parties to our stockholders agreements or other holders of our common stock, or the perception that such sales may occur, could depress the price of our common stock.</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parties to our stockholders agreements collectively own approximately 88.0% of our outstanding shares of common stock. In addition to the limitations on the sale and transfer of shares of common stock held by such stockholders as set forth in the stockholders agreements, subject to the restrictions described in the paragraph below, future sales of these shares in the public market will be subject to the volume and other restrictions of Rule 144 under the Securities Act, for so long as such parties are deemed to be our affiliates, unless the shares to be sold are registered with the SEC. These stockholders are entitled to rights with respect to the registration of their shares. We are unable to predict with certainty whether or when such parties will sell a substantial number of shares of our common stock. The sale by the parties to our stockholders agreements of a substantial number of shares, or a perception that such sales could occur, could significantly reduce the market price of our common stock.</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filed registration statements on Form S-8 registering under the Securities Act the shares of our common stock reserved for issuance under our incentive plan. If equity securities granted under our incentive plan are sold or it is perceived that they will be sold in the public market, the trading price of our common stock could decline substantially. These sales also could impede our ability to raise future capital.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2" w:name="page43"/>
    <w:bookmarkEnd w:id="4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under the corporate governance rules of The Nasdaq Stock Market and, as a result, qualify for, and rely on, exemptions from certain corporate governance requirements. You do not have the same protections afforded to stockholders of companies that are subject to such requirements.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affiliates of Providence Strategic Growth and Silver Lake own approximately 83.0% of our common stock and are parties, among others, to the sponsor stockholders agreement. The parties to the sponsor stockholders agreement have agreed to vote, or cause to vote, all of their outstanding shares of our common stock at any annual or special meeting of stockholders in which directors are elected, so as to cause the election of the director nominees designated by each party. As a result, we are a “controlled company” within the meaning of the corporate governance standards of the rules of The Nasdaq Stock Market (“Nasdaq”). Under these rules, a listed company of which more than 50% of the voting power is held by an individual, group or another company is a “controlled company” and may elect not to comply with certain corporate governance requirements, including:</w:t>
      </w:r>
    </w:p>
    <w:p>
      <w:pPr>
        <w:spacing w:after="0" w:line="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its board of directors consist of independent directors;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its director nominations be made, or recommended to the full board of directors, by its independent directors or by a nominations committee that is comprised entirely of independent directors and that it adopt a written charter or board resolution addressing the nominations process; and</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it have a compensation committee that is composed entirely of independent directors with a written charter addressing the committee’s purpose and responsibilities.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certain of the exemptions, namely the requirement that director nominations be made, or recommended, by the independent directors or by a nominations committee comprised entirely of independent directors. As long as we remain a “controlled company,” we may elect in the future to take advantage of any of these exemptions. As a result of any such election, our board of directors would not have a majority of independent directors, our compensation committee would not consist entirely of independent directors and our directors would not be nominated or selected by independent directors. Accordingly, you do not have the same protections afforded to stockholders of companies that are subject to all of the corporate governance requirements of the rules of Nasdaq.</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they publish negative reports about our business, our share price and trading volume could decline.</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our market and our competitors. We do not have any control over these analysts. If one or more of the analysts who cover us downgrade our shares or publish negative views on us or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compliance with the reduced reporting and disclosure requirements applicable to “emerging growth companies” may make our common stock less attractive to investors.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have elected to take advantage of certain exemptions and relief from various reporting requirements that are applicable to other public companies that are not “emerging growth companies.” These provisions include, but are not limited to: being exempt from compliance with the auditor attestation requirements of Section 404(b) of the Sarbanes-Oxley Act; being exempt from any rules that could be adopted by the Public Company Accounting Oversight Board requiring mandatory audit firm rotations or a supplement to the auditor’s report on financial statements; being subject to reduced disclosure obligations regarding executive compensation in our periodic reports and proxy statements; and not being required to hold nonbinding advisory votes on executive compensation or on any golden parachute payments not previously approved.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while we are an “emerging growth company,” we will not be required to comply with any new financial accounting standard until such standard is generally applicable to private companies. As a result, our financial statements may not be comparable to companies that are not “emerging growth companies” or elect not to avail themselves of this provision.</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remain an “emerging growth company” until as late as December 31, 2026, the fiscal year-end following the fifth anniversary of the completion of our initial public offering, though we may cease to be an “emerging growth company” earlier under certain circumstances, including if (i) we have more than $1.235 billion in annual revenue in any fiscal year, (ii) we become a “large accelerated filer,” with at least $700 million of equity securities held by non-affiliates as of the end of the second quarter of that fiscal year or (iii) we issue more than $1.0 billion of non-convertible debt over a three-year period. The exact implications of the JOBS Act are still subject to interpretations and guidance by the SEC and other regulatory agencies, and we cannot assure you that we will be able to take advantage of all of the benefits of the JOBS Act. In addition, 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43" w:name="page44"/>
    <w:bookmarkEnd w:id="4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increased costs as a result of operating as a public company, and our management is required to devote substantial time to new compliance initiatives.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the Dodd-Frank Act contains significant corporate governance and executive compensation related provisions that require the SEC to adopt additional rules and regulations in these areas such as “say on pay” and proxy access. Emerging growth companies are permitted to implement many of these requirements over a longer period and up to five years from the IPO. We intend to take advantage of this legislation for as long as we are permitted to do so. Once we become required to implement these requirements, we will incur additional compliance-related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continue to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adversely impact our net income or net loss, and may require us to reduce costs in other areas of our business or increase the prices of our solutions or services. For example, these rules and regulations have made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public company reporting and disclosure obligations may lead to threatened or actual litigation from time to time. If such claims are successful, our business, operating results and financial condition may be adversely affected, and even if the claims do not result in litigation or are resolved in our favor, these claims, and the time and resources necessary to resolve them and the diversion of management resources, could adversely affect our business, operating results and financial condition.</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amended and restated bylaws could make a merger, tender offer or proxy contest more difficult, limit attempts by our stockholders to replace or remove our current management and limit the market price of our common stock.</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provisions in our amended and restated certificate of incorporation and amended and restated bylaws contain provisions that may make the acquisition of our company more difficult, including the following:</w:t>
      </w:r>
    </w:p>
    <w:p>
      <w:pPr>
        <w:spacing w:after="0" w:line="54" w:lineRule="exact"/>
        <w:rPr>
          <w:sz w:val="20"/>
          <w:szCs w:val="20"/>
          <w:color w:val="auto"/>
        </w:rPr>
      </w:pPr>
    </w:p>
    <w:p>
      <w:pPr>
        <w:ind w:left="66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certain provisions of our amended and restated certificate of incorporation or amendments to our amended and restated bylaws generally require the approval of at least 66 2/3% of the voting power of our outstanding capital stock;</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staggered board;</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the parties to our sponsor stockholders agreement beneficially own, in the aggregate, at least a majority of the voting power of our outstanding capital stock, our stockholders may take action by consent without a meeting, and at any time when the parties to our sponsor stockholders agreement beneficially own, in the aggregate, less than the majority of the voting power of our outstanding capital stock, our stockholders may not take action by written consent, but may only take action at a meeting of stockholders;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does not provide for cumulative voting;</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may be filled only by our board of directors and not by stockholders, subject to the rights granted pursuant to the stockholders agreements;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our stockholders may only be called by the chairperson of our board of directors, our Chief Executive Officer or a majority of our board of directors;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otherwise consent in writing, restrict the forum for certain litigation against us to Delaware or the federal courts, as applicable;</w:t>
      </w:r>
    </w:p>
    <w:p>
      <w:pPr>
        <w:spacing w:after="0" w:line="6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authority to issue shares of undesignated preferred stock, the terms of which may be established and shares of which may be issued without further action by our stockholders; and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4" w:name="page45"/>
    <w:bookmarkEnd w:id="44"/>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(other than the parties to our stockholders agreements for nominations made pursuant to the terms of the stockholders agreements) to nominate candidates for election as directors or to bring matters before an annual meeting of stockholders.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have opted out of Section 203 of the Delaware General Corporation Law, but our amended and restated certificate of incorporation provides that engaging in any of a broad range of business combinations with any “interested stockholder” (generally defined as any person who, together with that person’s affiliates and associates, owns, 15% or more of our outstanding voting stock) for a period of three years following the date on which the stockholder became an “interested stockholder” is prohibited, provided, however, that, under our amended and restated certificate of incorporation, the parties to our sponsor stockholders agreement and their respective affiliates will not be deemed to be interested stockholders regardless of the percentage of our outstanding voting stock owned by them, and accordingly will not be subject to such restrictions.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alone or together,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common stock, and could also affect the price that some investors are willing to pay for our common stock.</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provided that the doctrine of “corporate opportunity” does not apply with respect to certain parties to our stockholders agreements and any director or stockholder who is not employed by us or our subsidiaries.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Pursuant to our amended and restated certificate of incorporation, we renounce, to the fullest extent permitted by law and in accordance with Section 122(17) of the Delaware General Corporation Law all interest and expectancy that we otherwise would be entitled to have in, and all rights to be offered an opportunity to participate in, any opportunity that may be presented to Providence Strategic Growth, Silver Lake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Providence Strategic Growth and Silver Lake or their affiliates and any director or stockholder who is not employed by us or our subsidiaries, therefore,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 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1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provided that the Court of Chancery of the State of Delaware is the sole and exclusive forum for certain stockholder litigation matters and the federal district courts of the United States is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otherwise consent in writing,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Section 22 of the Securities Act creates concurrent jurisdiction for federal and state courts over all claims brought to enforce any duty or liability created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5" w:name="page46"/>
    <w:bookmarkEnd w:id="45"/>
    <w:p>
      <w:pPr>
        <w:jc w:val="both"/>
        <w:spacing w:after="0" w:line="258" w:lineRule="auto"/>
        <w:rPr>
          <w:sz w:val="20"/>
          <w:szCs w:val="20"/>
          <w:color w:val="auto"/>
        </w:rPr>
      </w:pPr>
      <w:r>
        <w:rPr>
          <w:rFonts w:ascii="Times New Roman" w:cs="Times New Roman" w:eastAsia="Times New Roman" w:hAnsi="Times New Roman"/>
          <w:sz w:val="18"/>
          <w:szCs w:val="18"/>
          <w:color w:val="auto"/>
        </w:rPr>
        <w:t>by the Securities Act or the rules and regulations thereunder.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exclusive forum provision does not apply to claims seeking to enforce any liability or duty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federal court.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choice of forum provision in our amended and restated certificate of incorporation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or holding any interest in shares of our capital stock shall be deemed to have notice of and consented to the forum provisions in our amended and restated certificate of incorporation.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maintain and may expand our business that is located outside of the United States, our business is susceptible to risks associated with international operations.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operations outside of the United States, including in Canada, the UK, Australia, Jordan and New Zealand, which we may expand in the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Conducting and expanding international operations subjects us to new risks that we have not generally faced in the United States. These include:</w:t>
      </w:r>
    </w:p>
    <w:p>
      <w:pPr>
        <w:spacing w:after="0" w:line="99"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foreign currency exchange rate risk;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collecting payments internationally, and managing and staffing international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relationships with employees, independent contractors, subcontractors and suppliers in international locations;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travel, infrastructure and legal compliance costs associated with international locations;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wide variety of laws associated with international operations, including data privacy and security, taxes and customs;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fines, penalties and collateral consequences if we fail to comply with anti-bribery laws;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improper, unfair or corrupt business practices in certain geographies;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in connection with repatriation of earnings;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abroad, terrorist attacks and security concerns in general;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utilize and may in the future increase our utilization of independent contractors in a number of jurisdictions in which we operate, including India, Russia, Ukraine and Jordan. We currently depend on these independent contractors for certain software development activities. Our dependence on third-party contractors creates a number of risks, in particular, the risk that we may not maintain development quality, control, or effective management with respect to these business operations. In addition, poor relations between the United States and Russia, sanctions by the United States and the EU against Russia, ongoing conflict in Ukraine and Israel or the spreading or escalation of political tensions or economic instability in surrounding areas could have an adverse impact on our third-party software development in Russia, Ukraine and Jordan. In particular, increased tensions among the United States, the North Atlantic Treaty Organization and Russia, including the invasion of Ukraine by Russia, could increase the threat of armed conflict, cyberwarfare and economic instability that could disrupt or delay the operations of our resources in Russia and Ukraine, disrupt or delay our communications with such resources or the flow of funds to support their operations, or otherwise render our resources unavailable.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rules, assumptions and/or judgments could materially and adversely affect us.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Accounting rules and interpretations for certain aspects of our operations are highly complex and involve significant assumptions and judgment. These complexities could lead to a delay in the preparation and dissemination of our financial statements. Furthermore, changes in accounting rules and interpretations or in our accounting assumptions and/or judgments could significantly impact our financial statements. In some cases, we could be required to apply a new or revised standard retroactively, resulting in restating prior period financial statements. Any of these circumstances could have a material adverse effect on our business, prospects, liquidity,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the outcomes of such litigation could negatively impact our future financial condition and results of operations.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are, from time to time, subject to various litigation and legal proceedings. As a public company, we may be subject to proceedings across a variety of matters, including matters involving stockholder class actions, tax audits, unclaimed property audits and related matters, employment and others. For example, on January 31, 2024 plaintiff Vladimir Gusinsky Revocable Trust filed a putative class action lawsuit in the Court of Chancery of the State of Delaware against the Company, members of its Board of Directors (the “Board”) and the other parties to its sponsor stockholders agreement, dated June 30, 2021, Providence Strategic Growth II L.P., Providence Strategic Growth II-A L.P., Providence Strategic Growth III L.P., SLA Eclipse Co-Invest, L.P., and SLA CM Eclipse Holdings, L.P. (collectively, the “Sponsor Stockholders”), captioned </w:t>
      </w:r>
      <w:r>
        <w:rPr>
          <w:rFonts w:ascii="Times New Roman" w:cs="Times New Roman" w:eastAsia="Times New Roman" w:hAnsi="Times New Roman"/>
          <w:sz w:val="18"/>
          <w:szCs w:val="18"/>
          <w:i w:val="1"/>
          <w:iCs w:val="1"/>
          <w:color w:val="auto"/>
        </w:rPr>
        <w:t>Vladimir Gusinsky Revocable Trust v. Remer et. al</w:t>
      </w:r>
      <w:r>
        <w:rPr>
          <w:rFonts w:ascii="Times New Roman" w:cs="Times New Roman" w:eastAsia="Times New Roman" w:hAnsi="Times New Roman"/>
          <w:sz w:val="18"/>
          <w:szCs w:val="18"/>
          <w:color w:val="auto"/>
        </w:rPr>
        <w:t xml:space="preserve">, Case No. 2024-0077-PAF (Del Ch.). The complaint generally alleges violations of Section 141(a) of the Delaware General Corporation Law (“DGCL”) by providing the Sponsor Stockholders with an approval right over the Board’s ability to hire or fire the Company’s Chief Executive Officer (the “CEO Approval Right”) on the basis that it unlawfully limits the Board’s authority to manage the business and affairs of the Company. The plaintiff seeks declaratory judgment that the CEO Approval Right is invalid and void, and other declaratory and equitable relief for the class and/or the Company including attorneys’ and experts’ witness fees and other costs and expenses. On June 14, 2024, the Company filed its opening brief in support of its Motion to Dismiss, and on July 15, 2024, Plaintiff opposed that motion. On July 16, 2024, the court entered a stipulation and order dismissing the director defendants from the action. On August 29, 2024, the remaining defendants, the Company and Sponsor Stockholders (collectively, “Defendants”), filed their reply in support of the Motion to Dismiss, and pursuant to a stipulation between the parties, Plaintiff filed a sur-reply on September 26, 2024, which Defendants filed a response to on October 10, 2024. On October 15, 2024, Defendants filed a Motion to Dismiss for Lack of Subject Matter Jurisdiction, arguing that the claims alleged are not ripe for adjudication and on November 15, 2024 Plaintiff opposed that motion. On December 9, 2024, Defendants filed their reply in support of the Motion to Dismiss for Lack of Subject Matter Jurisdiction. On January 3, 2025, the Court entered a minute order deferring oral argument on the pending Motion to Dismiss until after the disposition of the appeal in </w:t>
      </w:r>
      <w:r>
        <w:rPr>
          <w:rFonts w:ascii="Times New Roman" w:cs="Times New Roman" w:eastAsia="Times New Roman" w:hAnsi="Times New Roman"/>
          <w:sz w:val="18"/>
          <w:szCs w:val="18"/>
          <w:i w:val="1"/>
          <w:iCs w:val="1"/>
          <w:color w:val="auto"/>
        </w:rPr>
        <w:t>Moelis &amp; Company v. West Palm Beach Firefighters’ Pension Fund</w:t>
      </w:r>
      <w:r>
        <w:rPr>
          <w:rFonts w:ascii="Times New Roman" w:cs="Times New Roman" w:eastAsia="Times New Roman" w:hAnsi="Times New Roman"/>
          <w:sz w:val="18"/>
          <w:szCs w:val="18"/>
          <w:color w:val="auto"/>
        </w:rPr>
        <w:t>, Case No. 340, 2024 (Del. Supr.).</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outcome of litigation and other legal proceedings and the magnitude of potential losses therefrom, particularly class action lawsuits and regulatory actions, is difficult to assess or quantify. Also, our insurance coverage may be insufficient, our assets may be insufficient to cover any amounts that exceed our insurance coverage, and we may have to pay damage awards or otherwise may enter into settlement arrangements in connection with such claims.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common stock.</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additional tax liabilities in connection with our operations or due to future legislation, each of which could materially impact our financial position and results of operation.</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federal and state income, sales, use, value added and other taxes in the United States and other countries in which we conduct business, and such laws and rates vary by jurisdiction. We do not collect sales and use, value added and similar taxes in all jurisdictions in which we have sales, based on our belief that such taxes are not applicable. Certain jurisdictions in which we do not collect sales, use, value added or other taxes on our sales may assert that such taxes are applicable, which could result in tax assessments, penalties and interest, and we may be required to collect such taxes in the future. Similarly, non-U.S. jurisdictions have imposed or proposed digital services taxes, including in connection with the Organization for Economic Co-Operation and Development’s (“OECD”) Base Erosion and Profit Shifting (“BEPS”) Project. These taxes, whether imposed unilaterally by non-U.S. jurisdictions or in response to multilateral measures (e.g., the “BEPS Project”), could result in taxation of companies that have customers in a particular jurisdiction but do not operate there through a permanent establishment. Changes to tax law or administration such as these, whether at the state level or the international level, could increase our tax administrative costs and tax risk and negatively affect our overall business,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47" w:name="page48"/>
    <w:bookmarkEnd w:id="47"/>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believe our tax practices and provisions are reasonable, the final determination of tax audits and any related litigation could be materially different from our historical tax practices, provisions and accruals. If we receive an adverse ruling as a result of an audit, or we unilaterally determine that we have misinterpreted provisions of the tax regulations to which we are subject, there could be a material effect on our tax provision, net income or cash flows in the period or periods for which that determination is made, which could materially impact our financial results. In addition, liabilities associated with taxes are often subject to an extended or indefinite statute of limitations period. Therefore, we may be subject to additional tax liability (including penalties and interest) for a particular year for extended periods of time. Further, any changes in the taxation of our activities, may increase our effective tax rate and adversely affect our financial position and results of operations. For example, the United States government may enact significant changes to the taxation of business entities (such as the 2022 United States Inflation Reduction Act which, among other changes, introduced a 15% corporate minimum tax on certain United States corporations and a 1% excise tax on certain stock redemptions by United States corporations). We are unable to predict what tax reforms may be proposed or enacted in the future or what effect such changes would on our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our business and we do not expect to declare or pay any dividends in the foreseeable future. Moreover, the terms of our existing Credit Agreement, and the expected terms of our Credit Facilities, restrict our ability to pay dividends, and any additional debt we may incur in the future may include similar restrictions. In addition, Delaware law may impose requirements that may restrict our ability to pay dividends to holders of our common stock. As a result, stockholders must rely on sales of their common stock after price appreciation as the only way to realize any future gains on their investment.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primarily depend on our subsidiaries for cash to fund operations and expenses, including future dividend payments, if any.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conduct significant business operations of our own. As a result, we are largely dependent upon cash distributions and other transfers from our subsidiaries to meet our obligations and to make future dividend payments, if any. We do not currently expect to declare or pay dividends on our common stock for the foreseeable future; however, the agreements governing the indebtedness of our subsidiaries impose restrictions on our subsidiaries’ ability to pay dividends or other distributions to us. See Part I, Item 2, “</w:t>
      </w:r>
      <w:r>
        <w:rPr>
          <w:rFonts w:ascii="Times New Roman" w:cs="Times New Roman" w:eastAsia="Times New Roman" w:hAnsi="Times New Roman"/>
          <w:sz w:val="18"/>
          <w:szCs w:val="18"/>
          <w:i w:val="1"/>
          <w:iCs w:val="1"/>
          <w:color w:val="auto"/>
        </w:rPr>
        <w:t>Management’s Discussion and Analysis of Financial Condition and Results of Operations-Liquidity and Capital Resources in this Annual Report on Form 10-K</w:t>
      </w:r>
      <w:r>
        <w:rPr>
          <w:rFonts w:ascii="Times New Roman" w:cs="Times New Roman" w:eastAsia="Times New Roman" w:hAnsi="Times New Roman"/>
          <w:sz w:val="18"/>
          <w:szCs w:val="18"/>
          <w:color w:val="auto"/>
        </w:rPr>
        <w:t>.” The deterioration of the earnings from, or other available assets of, our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any reason could impair their ability to make distributions to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77" w:lineRule="exact"/>
        <w:rPr>
          <w:sz w:val="20"/>
          <w:szCs w:val="20"/>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IT environment;</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48" w:name="page49"/>
    <w:bookmarkEnd w:id="48"/>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7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certain service providers, suppliers, and vendors that have access to our critical systems and information.</w:t>
      </w:r>
    </w:p>
    <w:p>
      <w:pPr>
        <w:spacing w:after="0" w:line="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(the “Board”) considers cybersecurity risk as part of its risk oversight function and has delegated to the Audit Committee (“Committee”) oversight of cybersecurity and other information technology risks. The Committee oversees management’s implementation of our cybersecurity risk management program.</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Committee receives quarterly reports from management on our cybersecurity risks. In addition, management updates the Committee, as necessary, regarding any material cybersecurity incidents, as well as any incidents with lesser impact potential.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reports to the full Board regarding its activities, including those related to cybersecurity. The full Board also receives briefings from</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on our cyber risk management program. Board members receive presentations on relevant cybersecurity topics from our Senior Vice President of Security Operations and internal security staff.</w:t>
      </w:r>
    </w:p>
    <w:p>
      <w:pPr>
        <w:spacing w:after="0" w:line="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team, including our Chief Information Security Officer (CISO)/Senior Vice President of Information Technology and Security (SVP), is responsible for assessing and managing, and mitigating cyber risk and security threats. The Security team has primary responsibility for our overall cybersecurity risk management program and supervises both internal cybersecurity personnel and external cybersecurity consultants and contractors. The Security team members have diverse experience in security strategy, architecture, and operations. Additionally, the CISO/SVP has more than 30 years’ experience leading transformative security and technology. The CISO/SVP has earned the following certifications: Certified Information Systems Manager, Department of Homeland Security, Certified Incident Command, Certified Technical Emergency Response Training, Certified Incident Response, and the penetration testing team leader holds Offensive Security Certified Professional and Certified Red Team Operator certifications and the additional Security Operations team members hold a Security + certification.</w:t>
      </w:r>
    </w:p>
    <w:p>
      <w:pPr>
        <w:spacing w:after="0" w:line="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Security Operations team, in coordination with our legal and compliance teams,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 Our Security Operations team meets monthly with key executives and management to provide updates regarding the Company’s cybersecurity efforts. For more information, see the section titled </w:t>
      </w:r>
      <w:r>
        <w:rPr>
          <w:rFonts w:ascii="Times New Roman" w:cs="Times New Roman" w:eastAsia="Times New Roman" w:hAnsi="Times New Roman"/>
          <w:sz w:val="18"/>
          <w:szCs w:val="18"/>
          <w:i w:val="1"/>
          <w:iCs w:val="1"/>
          <w:color w:val="auto"/>
        </w:rPr>
        <w:t>“Risk Factor— Unauthorized disclosure, destruction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modification of data, disruption of our software or services or cyber breaches could expose us to liability, protracted and costly litigation and damage our reputation.”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global corporate headquarters is located in Denver, Colorado, where we currently lease and occupy approximately 50,125 square feet of office space. The lease for this facility expires in 2031 with an option to extend the lease for an additional five years. In October 2023, the Company subleased approximately 24,000 square feet of the Denver office space for an initial three year period with an option for the subtenant to extend.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lease 12 additional office locations throughout the United States, two offices in Canada, and one office in Jordan, several of which include office spaces that are subleased to third parties. We do not own any real property.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these facilities are sufficient for our current needs and that additional space will be available to accommodate the expansion of our businesses should they be needed. Additionally, we also often take on leases when we acquire businesses, and we explore optimization of our overall lease footprint in conjunction with any new leases assumed in an acquisition.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are from time to time subject to various legal proceedings, claims and governmental inspections, audits, or investigations that arise in or outside the ordinary course of our business. The information contained in </w:t>
      </w:r>
      <w:r>
        <w:rPr>
          <w:rFonts w:ascii="Times New Roman" w:cs="Times New Roman" w:eastAsia="Times New Roman" w:hAnsi="Times New Roman"/>
          <w:sz w:val="18"/>
          <w:szCs w:val="18"/>
          <w:i w:val="1"/>
          <w:iCs w:val="1"/>
          <w:color w:val="auto"/>
        </w:rPr>
        <w:t>“Note 17 — Commitments and Contingencies”</w:t>
      </w:r>
      <w:r>
        <w:rPr>
          <w:rFonts w:ascii="Times New Roman" w:cs="Times New Roman" w:eastAsia="Times New Roman" w:hAnsi="Times New Roman"/>
          <w:sz w:val="18"/>
          <w:szCs w:val="18"/>
          <w:color w:val="auto"/>
        </w:rPr>
        <w:t xml:space="preserve"> in the Notes to the Consolidated Financial Statements is incorporated by reference into this Item.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2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93" w:lineRule="exact"/>
        <w:rPr>
          <w:sz w:val="20"/>
          <w:szCs w:val="20"/>
          <w:color w:val="auto"/>
        </w:rPr>
      </w:pPr>
    </w:p>
    <w:p>
      <w:pPr>
        <w:ind w:right="1980"/>
        <w:spacing w:after="0" w:line="44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“EVCM.”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7, 2025, there were 60 registered holders of record of our common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in the foreseeable future. We expect to retain future earnings, if any, to fund the development and growth of our business, including through acquisitions.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including under our Credit Facilities (as defined below).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2024, we repurchased $7.0 million in shares of our common stock under our stock repurchase program, including transaction fees and taxes. The stock repurchase activity under our stock repurchase program during the quarter ended December 31, 2024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Total number of shares</w:t>
            </w:r>
          </w:p>
        </w:tc>
        <w:tc>
          <w:tcPr>
            <w:tcW w:w="200" w:type="dxa"/>
            <w:vAlign w:val="bottom"/>
          </w:tcPr>
          <w:p>
            <w:pPr>
              <w:spacing w:after="0"/>
              <w:rPr>
                <w:sz w:val="17"/>
                <w:szCs w:val="17"/>
                <w:color w:val="auto"/>
              </w:rPr>
            </w:pPr>
          </w:p>
        </w:tc>
        <w:tc>
          <w:tcPr>
            <w:tcW w:w="164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Approximate dollar</w:t>
            </w:r>
          </w:p>
        </w:tc>
      </w:tr>
      <w:tr>
        <w:trPr>
          <w:trHeight w:val="203"/>
        </w:trPr>
        <w:tc>
          <w:tcPr>
            <w:tcW w:w="5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right="135"/>
              <w:spacing w:after="0"/>
              <w:rPr>
                <w:sz w:val="20"/>
                <w:szCs w:val="20"/>
                <w:color w:val="auto"/>
              </w:rPr>
            </w:pPr>
            <w:r>
              <w:rPr>
                <w:rFonts w:ascii="Times New Roman" w:cs="Times New Roman" w:eastAsia="Times New Roman" w:hAnsi="Times New Roman"/>
                <w:sz w:val="17"/>
                <w:szCs w:val="17"/>
                <w:color w:val="auto"/>
                <w:w w:val="97"/>
              </w:rPr>
              <w:t>Average</w:t>
            </w:r>
          </w:p>
        </w:tc>
        <w:tc>
          <w:tcPr>
            <w:tcW w:w="1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purchased as part of</w:t>
            </w:r>
          </w:p>
        </w:tc>
        <w:tc>
          <w:tcPr>
            <w:tcW w:w="184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value of shares that may</w:t>
            </w:r>
          </w:p>
        </w:tc>
      </w:tr>
      <w:tr>
        <w:trPr>
          <w:trHeight w:val="203"/>
        </w:trPr>
        <w:tc>
          <w:tcPr>
            <w:tcW w:w="5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Total number of</w:t>
            </w:r>
          </w:p>
        </w:tc>
        <w:tc>
          <w:tcPr>
            <w:tcW w:w="200" w:type="dxa"/>
            <w:vAlign w:val="bottom"/>
          </w:tcPr>
          <w:p>
            <w:pPr>
              <w:spacing w:after="0"/>
              <w:rPr>
                <w:sz w:val="17"/>
                <w:szCs w:val="17"/>
                <w:color w:val="auto"/>
              </w:rPr>
            </w:pPr>
          </w:p>
        </w:tc>
        <w:tc>
          <w:tcPr>
            <w:tcW w:w="900" w:type="dxa"/>
            <w:vAlign w:val="bottom"/>
          </w:tcPr>
          <w:p>
            <w:pPr>
              <w:jc w:val="center"/>
              <w:ind w:right="135"/>
              <w:spacing w:after="0"/>
              <w:rPr>
                <w:sz w:val="20"/>
                <w:szCs w:val="20"/>
                <w:color w:val="auto"/>
              </w:rPr>
            </w:pPr>
            <w:r>
              <w:rPr>
                <w:rFonts w:ascii="Times New Roman" w:cs="Times New Roman" w:eastAsia="Times New Roman" w:hAnsi="Times New Roman"/>
                <w:sz w:val="17"/>
                <w:szCs w:val="17"/>
                <w:color w:val="auto"/>
              </w:rPr>
              <w:t>price paid</w:t>
            </w:r>
          </w:p>
        </w:tc>
        <w:tc>
          <w:tcPr>
            <w:tcW w:w="1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publicly announced plans</w:t>
            </w:r>
          </w:p>
        </w:tc>
        <w:tc>
          <w:tcPr>
            <w:tcW w:w="184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yet be purchased under</w:t>
            </w:r>
          </w:p>
        </w:tc>
      </w:tr>
      <w:tr>
        <w:trPr>
          <w:trHeight w:val="265"/>
        </w:trPr>
        <w:tc>
          <w:tcPr>
            <w:tcW w:w="5180" w:type="dxa"/>
            <w:vAlign w:val="bottom"/>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shares purchased</w:t>
            </w: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color w:val="auto"/>
              </w:rPr>
              <w:t>per share</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 xml:space="preserve">or programs </w:t>
            </w:r>
            <w:r>
              <w:rPr>
                <w:rFonts w:ascii="Times New Roman" w:cs="Times New Roman" w:eastAsia="Times New Roman" w:hAnsi="Times New Roman"/>
                <w:sz w:val="22"/>
                <w:szCs w:val="22"/>
                <w:color w:val="auto"/>
                <w:w w:val="96"/>
                <w:vertAlign w:val="superscript"/>
              </w:rPr>
              <w:t>(1)</w:t>
            </w:r>
          </w:p>
        </w:tc>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color w:val="auto"/>
              </w:rPr>
              <w:t>the plans or programs</w:t>
            </w:r>
          </w:p>
        </w:tc>
      </w:tr>
      <w:tr>
        <w:trPr>
          <w:trHeight w:val="221"/>
        </w:trPr>
        <w:tc>
          <w:tcPr>
            <w:tcW w:w="5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60" w:type="dxa"/>
            <w:vAlign w:val="bottom"/>
            <w:gridSpan w:val="5"/>
          </w:tcPr>
          <w:p>
            <w:pPr>
              <w:jc w:val="right"/>
              <w:ind w:right="1175"/>
              <w:spacing w:after="0"/>
              <w:rPr>
                <w:sz w:val="20"/>
                <w:szCs w:val="20"/>
                <w:color w:val="auto"/>
              </w:rPr>
            </w:pPr>
            <w:r>
              <w:rPr>
                <w:rFonts w:ascii="Times New Roman" w:cs="Times New Roman" w:eastAsia="Times New Roman" w:hAnsi="Times New Roman"/>
                <w:sz w:val="17"/>
                <w:szCs w:val="17"/>
                <w:i w:val="1"/>
                <w:iCs w:val="1"/>
                <w:color w:val="auto"/>
              </w:rPr>
              <w:t>(in thousands, except per share and share amounts)</w:t>
            </w:r>
          </w:p>
        </w:tc>
      </w:tr>
      <w:tr>
        <w:trPr>
          <w:trHeight w:val="83"/>
        </w:trPr>
        <w:tc>
          <w:tcPr>
            <w:tcW w:w="5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40" w:type="dxa"/>
            <w:vAlign w:val="bottom"/>
          </w:tcPr>
          <w:p>
            <w:pPr>
              <w:spacing w:after="0"/>
              <w:rPr>
                <w:sz w:val="7"/>
                <w:szCs w:val="7"/>
                <w:color w:val="auto"/>
              </w:rPr>
            </w:pPr>
          </w:p>
        </w:tc>
      </w:tr>
      <w:tr>
        <w:trPr>
          <w:trHeight w:val="237"/>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October 1, 2024 - October 31, 2024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318,818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10.37</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318,818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36,132</w:t>
            </w: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November 1, 2024 - November 30,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158,062</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11.29</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158,062</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34,348</w:t>
            </w:r>
          </w:p>
        </w:tc>
      </w:tr>
      <w:tr>
        <w:trPr>
          <w:trHeight w:val="29"/>
        </w:trPr>
        <w:tc>
          <w:tcPr>
            <w:tcW w:w="5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7"/>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1, 2024 - December 31, 2024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146,191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11.57</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146,191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32,656</w:t>
            </w:r>
          </w:p>
        </w:tc>
      </w:tr>
      <w:tr>
        <w:trPr>
          <w:trHeight w:val="249"/>
        </w:trPr>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623,071</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623,071</w:t>
            </w: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2"/>
        </w:trPr>
        <w:tc>
          <w:tcPr>
            <w:tcW w:w="5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60" w:hanging="328"/>
        <w:spacing w:after="0" w:line="258"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14, 2022, our Board approved a stock repurchase program (as subsequently amended, the “Repurchase Program”) with authorization to purchase up to $50.0 million in shares of the Company’s common stock through the expiration of the program on December 21, 2022. On November 7, 2022, November 5, 2023, and May 21, 2024, our Board increased the authorization of the Repurchase Program by an additional $50.0 million in shares of the Company’s common stock on each date for a total authorization to repurchase up to $200.0 million in shares of the Company’s common stock, and most recently, extended the expiration of the Repurchase Program through December 31, 2025.</w:t>
      </w:r>
    </w:p>
    <w:p>
      <w:pPr>
        <w:spacing w:after="0" w:line="75"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under the program may be made in the open market, in privately negotiated transactions or otherwise, with the amount and timing of repurchases to be determined at our discretion, depending on market conditions and corporate needs. Open market repurchases will be structured to occur in accordance with applicable federal securities laws, including within the pricing and volume requirements of Rule 10b-18 under the Exchange Act. We may also, from time to time, enter into Rule 10b5-1 plans to facilitate repurchases of its shares under this authorization. The Repurchase Program does not obligate us to acquire any particular amount of common stock and may be modified, suspended or terminated at any time at the discretion of the Board. We expect to fund repurchases with existing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 whether made before or after the date of this Annual Report on Form 10-K, regardless of any general incorporation language in such filing, except as shall be expressly set forth by specific reference in such filing.</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following graph and related information shows a comparison of the cumulative total return for our common stock, Nasdaq Composite Index and Nasdaq US Small Cap Software Index between July 1, 2021 (the date our common stock commenced trading on the Nasdaq) through December 31, 2024. All values assume an initial investment of $100 and reinvestment of any dividends. The comparisons are based on historical data and are not indicative of,</w:t>
      </w:r>
    </w:p>
    <w:p>
      <w:pPr>
        <w:spacing w:after="0" w:line="1" w:lineRule="exact"/>
        <w:rPr>
          <w:sz w:val="20"/>
          <w:szCs w:val="20"/>
          <w:color w:val="auto"/>
        </w:rPr>
      </w:pPr>
    </w:p>
    <w:p>
      <w:pPr>
        <w:spacing w:after="0"/>
        <w:tabs>
          <w:tab w:leader="none" w:pos="880" w:val="left"/>
          <w:tab w:leader="none" w:pos="2160" w:val="left"/>
          <w:tab w:leader="none" w:pos="2960" w:val="left"/>
          <w:tab w:leader="none" w:pos="4240" w:val="left"/>
          <w:tab w:leader="none" w:pos="5120" w:val="left"/>
          <w:tab w:leader="none" w:pos="6220" w:val="left"/>
          <w:tab w:leader="none" w:pos="7780" w:val="left"/>
          <w:tab w:leader="none" w:pos="8600" w:val="left"/>
          <w:tab w:leader="none" w:pos="9500" w:val="left"/>
          <w:tab w:leader="none" w:pos="10780" w:val="left"/>
        </w:tabs>
        <w:rPr>
          <w:sz w:val="20"/>
          <w:szCs w:val="20"/>
          <w:color w:val="auto"/>
        </w:rPr>
      </w:pPr>
      <w:r>
        <w:rPr>
          <w:rFonts w:ascii="Times New Roman" w:cs="Times New Roman" w:eastAsia="Times New Roman" w:hAnsi="Times New Roman"/>
          <w:sz w:val="18"/>
          <w:szCs w:val="18"/>
          <w:color w:val="auto"/>
        </w:rPr>
        <w:t>nor</w:t>
      </w:r>
      <w:r>
        <w:rPr>
          <w:sz w:val="20"/>
          <w:szCs w:val="20"/>
          <w:color w:val="auto"/>
        </w:rPr>
        <w:tab/>
      </w:r>
      <w:r>
        <w:rPr>
          <w:rFonts w:ascii="Times New Roman" w:cs="Times New Roman" w:eastAsia="Times New Roman" w:hAnsi="Times New Roman"/>
          <w:sz w:val="18"/>
          <w:szCs w:val="18"/>
          <w:color w:val="auto"/>
        </w:rPr>
        <w:t>intended</w:t>
      </w:r>
      <w:r>
        <w:rPr>
          <w:sz w:val="20"/>
          <w:szCs w:val="20"/>
          <w:color w:val="auto"/>
        </w:rPr>
        <w:tab/>
      </w: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forecast,</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future</w:t>
      </w:r>
      <w:r>
        <w:rPr>
          <w:sz w:val="20"/>
          <w:szCs w:val="20"/>
          <w:color w:val="auto"/>
        </w:rPr>
        <w:tab/>
      </w:r>
      <w:r>
        <w:rPr>
          <w:rFonts w:ascii="Times New Roman" w:cs="Times New Roman" w:eastAsia="Times New Roman" w:hAnsi="Times New Roman"/>
          <w:sz w:val="18"/>
          <w:szCs w:val="18"/>
          <w:color w:val="auto"/>
        </w:rPr>
        <w:t>performance</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our</w:t>
      </w:r>
      <w:r>
        <w:rPr>
          <w:sz w:val="20"/>
          <w:szCs w:val="20"/>
          <w:color w:val="auto"/>
        </w:rPr>
        <w:tab/>
      </w:r>
      <w:r>
        <w:rPr>
          <w:rFonts w:ascii="Times New Roman" w:cs="Times New Roman" w:eastAsia="Times New Roman" w:hAnsi="Times New Roman"/>
          <w:sz w:val="18"/>
          <w:szCs w:val="18"/>
          <w:color w:val="auto"/>
        </w:rPr>
        <w:t>common</w:t>
      </w:r>
      <w:r>
        <w:rPr>
          <w:sz w:val="20"/>
          <w:szCs w:val="20"/>
          <w:color w:val="auto"/>
        </w:rPr>
        <w:tab/>
      </w:r>
      <w:r>
        <w:rPr>
          <w:rFonts w:ascii="Times New Roman" w:cs="Times New Roman" w:eastAsia="Times New Roman" w:hAnsi="Times New Roman"/>
          <w:sz w:val="18"/>
          <w:szCs w:val="18"/>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172200" cy="2143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722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7/1/21</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12/31/21</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12/31/22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12/31/23</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12/31/24</w:t>
            </w:r>
          </w:p>
        </w:tc>
      </w:tr>
      <w:tr>
        <w:trPr>
          <w:trHeight w:val="203"/>
        </w:trPr>
        <w:tc>
          <w:tcPr>
            <w:tcW w:w="5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EverCommerce Common Stock</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62.56</w:t>
            </w:r>
          </w:p>
        </w:tc>
      </w:tr>
      <w:tr>
        <w:trPr>
          <w:trHeight w:val="23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Nasdaq Composite Index</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103.37</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132.97</w:t>
            </w:r>
          </w:p>
        </w:tc>
      </w:tr>
      <w:tr>
        <w:trPr>
          <w:trHeight w:val="25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Nasdaq US Small Cap Software Index</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105.33</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sell any equity securities during the year ended December 31, 2024 that were not registered under the Securities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report to "EverCommerce Inc.," the “Company,” “we,” “us” and “our” refer to EverCommerce Inc. and its consolidated subsidiaries. The following discussion and analysis of our financial condition and results of operations should be read in conjunction with our consolidated financial statements and related notes appearing elsewhere in this Annual Report on Form 10-K. Additionally, our historical results are not necessarily indicative of the results that may be expected for any period in the future. An analysis of our results of operations and cash flows for the year ended December 31, 2022, including a discussion of the year ended December 31, 2023 as compared to the year ended December 31, 2022, has been reported previously in our Annual Report on Form 10-K for the year ended December 31, 2023 filed with the Securities and Exchange Commission (“SEC”) on March 14, 2024, under the heading “Management’s Discussion and Analysis of Financial Condition and Results of Operations.”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EverCommerce is a leading provider of integrated, vertically-tailored software-as-a-service (“SaaS”) solutions for service-based small- and medium-sized businesses (“service SMBs”). Our platform spans across the full lifecycle of interactions between consumers and service professionals with vertical-specific applications. Today, we serve more than 740,000 customers across three core verticals: EverPro for Home Services; EverHealth for Health Services; and EverWell for Wellness Services. Within our core verticals, our customers operate within numerous micro-verticals, ranging from home service professionals, such as home improvement contractors and home maintenance technicians, to physician practices and therapists within Health Services, to salon owners within Wellness. Our platform provides vertically-tailored SaaS solutions that address service SMBs’ increasingly specialized demands, as well as highly complementary solutions that provide fully-integrated offerings, allowing service SMBs and EverCommerce to succeed in the market, and provide end consumers more convenient service experiences.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integrated solutions. These solutions focus on addressing how service SMBs market their services, streamline operations and retain and engage their customers.</w:t>
      </w:r>
    </w:p>
    <w:p>
      <w:pPr>
        <w:spacing w:after="0" w:line="68" w:lineRule="exact"/>
        <w:rPr>
          <w:sz w:val="20"/>
          <w:szCs w:val="20"/>
          <w:color w:val="auto"/>
        </w:rPr>
      </w:pPr>
    </w:p>
    <w:p>
      <w:pPr>
        <w:jc w:val="both"/>
        <w:ind w:left="500" w:hanging="168"/>
        <w:spacing w:after="0" w:line="262" w:lineRule="auto"/>
        <w:tabs>
          <w:tab w:leader="none" w:pos="4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Management Software: </w:t>
      </w:r>
      <w:r>
        <w:rPr>
          <w:rFonts w:ascii="Times New Roman" w:cs="Times New Roman" w:eastAsia="Times New Roman" w:hAnsi="Times New Roman"/>
          <w:sz w:val="18"/>
          <w:szCs w:val="18"/>
          <w:color w:val="auto"/>
        </w:rPr>
        <w:t>Our vertically-tailored Business Management Software is the system of action at the center of a service business’s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focus on growing their customers, improving their services and driving more efficient operations.</w:t>
      </w:r>
    </w:p>
    <w:p>
      <w:pPr>
        <w:spacing w:after="0" w:line="68" w:lineRule="exact"/>
        <w:rPr>
          <w:rFonts w:ascii="Times New Roman" w:cs="Times New Roman" w:eastAsia="Times New Roman" w:hAnsi="Times New Roman"/>
          <w:sz w:val="18"/>
          <w:szCs w:val="18"/>
          <w:color w:val="auto"/>
        </w:rPr>
      </w:pPr>
    </w:p>
    <w:p>
      <w:pPr>
        <w:jc w:val="both"/>
        <w:ind w:left="500" w:hanging="168"/>
        <w:spacing w:after="0" w:line="257" w:lineRule="auto"/>
        <w:tabs>
          <w:tab w:leader="none" w:pos="49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Billing &amp; Payment Solutions: </w:t>
      </w:r>
      <w:r>
        <w:rPr>
          <w:rFonts w:ascii="Times New Roman" w:cs="Times New Roman" w:eastAsia="Times New Roman" w:hAnsi="Times New Roman"/>
          <w:sz w:val="18"/>
          <w:szCs w:val="18"/>
          <w:color w:val="auto"/>
        </w:rPr>
        <w:t>Our Billing &amp; Payment Solutions provide integrated payments, billing and invoicing automation and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intelligence and analytics. Our omni-channel payments capabilities include point-of-sale, eCommerce, online bill payments, recurring billing, electronic invoicing and mobile payments. Supported payment types include credit card, debit card and Automated Clearing House (“ACH”) processing. Our payments platform also provides a full suite of service commerce features, including customer management as well as cash flow reporting and analytics. These value-add features help small- and medium-sized businesses (“SMBs”) to ensure more timely billing and payments collection and provide improved cash flow visibility.</w:t>
      </w:r>
    </w:p>
    <w:p>
      <w:pPr>
        <w:spacing w:after="0" w:line="74" w:lineRule="exact"/>
        <w:rPr>
          <w:rFonts w:ascii="Times New Roman" w:cs="Times New Roman" w:eastAsia="Times New Roman" w:hAnsi="Times New Roman"/>
          <w:sz w:val="18"/>
          <w:szCs w:val="18"/>
          <w:b w:val="1"/>
          <w:bCs w:val="1"/>
          <w:color w:val="auto"/>
        </w:rPr>
      </w:pPr>
    </w:p>
    <w:p>
      <w:pPr>
        <w:jc w:val="both"/>
        <w:ind w:left="500" w:hanging="168"/>
        <w:spacing w:after="0" w:line="256" w:lineRule="auto"/>
        <w:tabs>
          <w:tab w:leader="none" w:pos="4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Customer Experience Solutions: </w:t>
      </w:r>
      <w:r>
        <w:rPr>
          <w:rFonts w:ascii="Times New Roman" w:cs="Times New Roman" w:eastAsia="Times New Roman" w:hAnsi="Times New Roman"/>
          <w:sz w:val="18"/>
          <w:szCs w:val="18"/>
          <w:color w:val="auto"/>
        </w:rPr>
        <w:t>Our Customer Experience Solutions modernize how businesses engage and interact with customers by leveraging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innovative, bespoke customer listening and communication solutions to improve the customer experience and increase retention. Our software provides customer listening capabilities with real-time customer surveying and analysis to allow standalone businesses and multi-location brands to receive VoC insights and manage the customer experience lifecycle. These applications include: customer health scoring, customer support systems, real-time alerts, NPS-based customer feedback collection, review generation and automation, reputation management, customer satisfaction surveying and a digital communication suite, among others. These tools help our customers gain actionable insights, increase customer loyalty and repeat purchases and improve customer experiences.</w:t>
      </w:r>
    </w:p>
    <w:p>
      <w:pPr>
        <w:spacing w:after="0" w:line="74" w:lineRule="exact"/>
        <w:rPr>
          <w:rFonts w:ascii="Times New Roman" w:cs="Times New Roman" w:eastAsia="Times New Roman" w:hAnsi="Times New Roman"/>
          <w:sz w:val="18"/>
          <w:szCs w:val="18"/>
          <w:color w:val="auto"/>
        </w:rPr>
      </w:pPr>
    </w:p>
    <w:p>
      <w:pPr>
        <w:jc w:val="both"/>
        <w:ind w:left="500" w:hanging="168"/>
        <w:spacing w:after="0" w:line="256" w:lineRule="auto"/>
        <w:tabs>
          <w:tab w:leader="none" w:pos="4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Marketing Technology Solutions: </w:t>
      </w:r>
      <w:r>
        <w:rPr>
          <w:rFonts w:ascii="Times New Roman" w:cs="Times New Roman" w:eastAsia="Times New Roman" w:hAnsi="Times New Roman"/>
          <w:sz w:val="18"/>
          <w:szCs w:val="18"/>
          <w:color w:val="auto"/>
        </w:rPr>
        <w:t>Our Marketing Technology Solutions work with our Customer Experience Solutions to help customers build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by invigorating marketing operations and improving return on investment across the customer lifecycle. These solutions help businesses to manage campaigns, generate quality leads, increase conversion and repeat sales, improve customer loyalty and provide a polished brand experience. Our solutions include: custom website design, development and hosting, responsive web design, marketing campaign design and management, search engine optimization, paid search and display advertising, social media and blog automation, call tracking, review monitoring and marketplace lead generation, among others. In March 2025, the Company announced the evaluation of strategic alternatives for our Marketing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2" w:name="page53"/>
    <w:bookmarkEnd w:id="52"/>
    <w:p>
      <w:pPr>
        <w:ind w:left="500"/>
        <w:spacing w:after="0" w:line="282" w:lineRule="auto"/>
        <w:rPr>
          <w:sz w:val="20"/>
          <w:szCs w:val="20"/>
          <w:color w:val="auto"/>
        </w:rPr>
      </w:pPr>
      <w:r>
        <w:rPr>
          <w:rFonts w:ascii="Times New Roman" w:cs="Times New Roman" w:eastAsia="Times New Roman" w:hAnsi="Times New Roman"/>
          <w:sz w:val="18"/>
          <w:szCs w:val="18"/>
          <w:color w:val="auto"/>
        </w:rPr>
        <w:t>Solutions with an expectation of a probable disposition by sale within the next 12 months. The Company expects to reflect Marketing Technology Solutions as discontinued operations beginning with its first quarter 2025 financial reporting.</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go to market with suites of solutions that are aligned to our three core verticals. Within each suite, our Business Management Software – the system of action at the center of a service business’ operation –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and expand into offerings via product development and acquisitions that cover all workflows and power the full scope of our customers’ businesses. This results in a self-reinforcing flywheel effect, enabling us to drive value for our customers and, in turn, improve customer stickiness, increase our market share and fuel our growth.</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three types of revenue: (i) Subscription and Transaction Fees, which are primarily recurring revenue streams, (ii) Marketing Technology Solutions, which includes both recurring and re-occurring revenue streams and (iii) Other revenue which consists primarily of one-time revenue streams. Our recurring revenue generally consists of monthly, quarterly and annual software and maintenance subscriptions, transaction revenue associated with integrated payments and billing solutions and monthly contracts for Marketing Technology Solutions. Additionally, our re-occurring revenue includes revenue related to the sale of marketing campaigns and lead generation under contractual arrangements with customers.</w:t>
      </w:r>
    </w:p>
    <w:p>
      <w:pPr>
        <w:spacing w:after="0" w:line="75" w:lineRule="exact"/>
        <w:rPr>
          <w:sz w:val="20"/>
          <w:szCs w:val="20"/>
          <w:color w:val="auto"/>
        </w:rPr>
      </w:pPr>
    </w:p>
    <w:p>
      <w:pPr>
        <w:jc w:val="both"/>
        <w:ind w:left="660" w:hanging="328"/>
        <w:spacing w:after="0" w:line="258"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and Transaction Fees revenue includes: (i) recurring monthly, quarterly and annual SaaS subscriptions and software license and maintenance fees from the sale of our Business Management, Customer Engagement and Billing and Payment solutions; (ii)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w:t>
      </w:r>
    </w:p>
    <w:p>
      <w:pPr>
        <w:spacing w:after="0" w:line="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Technology Solutions revenue includes: (i) recurring revenues for managing digital advertising programs on behalf of our customers including website hosting, search engine management and optimization, social media management and blog automation; and (ii) re-occurring fees paid by service professionals for consumer leads generated by our various platforms.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includes: (i) consulting, implementation, training and other professional services; (ii) website development; (iii) revenue from various business development partnerships; (iv) event income; and (v) hardware sales related to our business management or payment software solutions.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benefits from attractive unit economics. Approximately 97% of our revenue was recurring or re-occurring in both of the years ended December 31, 2024 and 2023, and we maintained an annualized net revenue retention rate of approximately 91% and 93% for the quarters ended December 31, 2024 and 2023, respectively. Our annualized pro forma net revenue retention rate was equal to the annualized net revenue retention rate for the quarters ended December 31, 2024 and 2023, respectively. Excluding our marketing technology solutions, our annualized net revenue retention rate for our core software and payments solutions was approximately 96% and 98% for the quarters ended December 31, 2024 and 2023, respectively. We believe the retention and growth of revenue from our existing customers is a helpful measure of the health of our business and our future growth prospects. Our ability to cross sell additional products and services to our existing customers can increase customer engagement with our suite of solutions and thus have a positive impact on our net pro forma revenue retention rate. For example, we have leveraged our land and expand strategy to cross sell solutions to our existing customers, which has supported our high net pro forma revenue retention rate by increasing customer utilization of our solutions, educating customers as to how our platform and synergies can support their businesses and, in turn, improving customer stickiness.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calculate our annualized net revenue retention rate based on the average of the annualized net revenue retention rate calculated for each month during the twelve-month period as of the most recent quarter end. Our calculation of net revenue retention rate for any fiscal period includes the positive recurring and re-occurring revenue impacts of selling new solutions to existing customers and the negative impacts of contraction and attrition among this set of customers. The annualized net revenue retention rate for a particular month is calculated as the recurring or re-occurring revenue gained/lost from existing customers, less the recurring or re-occurring revenue lost from cancelled customers as a percentage of total recurring or re-occurring revenue during the corresponding month of the prior year. For existing customers, we consider customers that existed 11 or more months prior to the current month and that do not have an end date (i.e., cancelled relationship) on or after the first day of the current month. For example, the recurring or re-occurring revenue gained/lost from existing customers in November 2024 is the difference between the recurring or re-occurring revenue generated in November 2024 and the same such revenue generated in November 2023, for customers with a start date prior to December 1, 2023 and no end date or cancelled relationship on or after November 1, 2024. For cancelled customers, we examine customers that cancelled their relationships on or after the first day of the month that is 12 months prior to the current month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18"/>
          <w:szCs w:val="18"/>
          <w:color w:val="auto"/>
        </w:rPr>
        <w:t>before the first day of the current month. For example, the recurring or reoccurring revenue lost from cancelled customers in November 2024 is the difference between the recurring or re-occurring revenue generated in November 2024 and the same such revenue generated in November 2023, for customers that cancelled on or after November 1, 2023 and before November 1, 2024. The annualized pro forma net revenue retention is calculated as the annualized net revenue retention rate adjusted as though acquisitions and dispositions that were closed during the prior period presented were closed on the first day of such period presented. Our annualized net revenue retention rate and pro forma net revenue retention rate may fluctuate as a result of a number of factors, including the growing level of our revenue base, the level of penetration within our customer base, expansion of solutions, new acquisitions and dispositions and our ability to retain our customers. Our calculation of annualized net revenue retention rate and annualized pro forma net revenue retention rate may differ from similarly titled metrics presented by other companies.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rate for any fiscal period includes the positive recurring and re-occurring revenue impacts of selling new solutions to existing customers and the negative impacts of contraction and attrition among this set of customers. Our net pro forma revenue retention rate may fluctuate as a result of a number of factors, including the growing level of our revenue base, the level of penetration within our customer base, expansion of solutions, new acquisitions and our ability to retain our customers. Our calculation of net pro forma revenue retention rate may differ from similarly titled metrics presented by other companies.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Climate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macroeconomic climate has seen in the recent years, and may continue to see, pressure from global developments such as international geopolitical conflicts, increased tariffs and proposed tariffs between the United States and other nations, terrorism, pandemics or health crises, rising inflation, fluctuations in the value of the US Dollar, rising interest rates and supply chain disruptions. These developments have had and may continue to have an adverse effect on our revenues and demand for our products and services, as well as on our costs of doing business. We have taken and will continue to take actions to help mitigate the impact of these economic challenges, but there can be no assurance as to the effectiveness of our efforts going forward.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Fitness Solutions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March 13, 2024, we entered into definitive sale and purchase agreements to sell our fitness solutions, comprised of North American Fitness and UK Fitness (“Fitness Solutions”), to Jonas Software (see </w:t>
      </w:r>
      <w:r>
        <w:rPr>
          <w:rFonts w:ascii="Times New Roman" w:cs="Times New Roman" w:eastAsia="Times New Roman" w:hAnsi="Times New Roman"/>
          <w:sz w:val="18"/>
          <w:szCs w:val="18"/>
          <w:i w:val="1"/>
          <w:iCs w:val="1"/>
          <w:color w:val="auto"/>
        </w:rPr>
        <w:t>Note 3. Acquisitions and Dispositions</w:t>
      </w:r>
      <w:r>
        <w:rPr>
          <w:rFonts w:ascii="Times New Roman" w:cs="Times New Roman" w:eastAsia="Times New Roman" w:hAnsi="Times New Roman"/>
          <w:sz w:val="18"/>
          <w:szCs w:val="18"/>
          <w:color w:val="auto"/>
        </w:rPr>
        <w:t xml:space="preserve"> included in this Annual Report on Form 10-K). The sale of North American Fitness closed simultaneously with signing and the sale of UK Fitness closed July 1, 2024. The divestiture did not qualify for reporting as a discontinued operation and therefore, its results were included in our unaudited condensed consolidated financial statements included in this Annual Report on Form 10-K through the applicable date of sale. During the year ended December 31, 2024, we recognized losses of $4.9 million related to the sale of Fitness Solutions, which are included in loss on sale and impairments on our consolidated statements of operations and comprehensive loss included in this Annual Report on Form 10-K. During the year ended December 31, 2024, we recognized $6.4 million of goodwill impairment charges representing the allocated goodwill to Fitness Solutions, which is included in loss on sale and impairments on the consolidated statements of operations and comprehensive loss included in this Annual Report on Form 10-K.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but also pose risks and challenges.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Sustaining our growth requires continued adoption of our solutions by new customers. Through organic growth of our business, the number of customers on our platform increased to approximately 740,000 at the end of 2024. Excluding the customers associated with the sale of our fitness assets, we served more than 690,000 customers at the end of 2023 (</w:t>
      </w:r>
      <w:r>
        <w:rPr>
          <w:rFonts w:ascii="Times New Roman" w:cs="Times New Roman" w:eastAsia="Times New Roman" w:hAnsi="Times New Roman"/>
          <w:sz w:val="18"/>
          <w:szCs w:val="18"/>
          <w:i w:val="1"/>
          <w:iCs w:val="1"/>
          <w:color w:val="auto"/>
        </w:rPr>
        <w:t>see Note 3. Acquisitions and Dispositions</w:t>
      </w:r>
      <w:r>
        <w:rPr>
          <w:rFonts w:ascii="Times New Roman" w:cs="Times New Roman" w:eastAsia="Times New Roman" w:hAnsi="Times New Roman"/>
          <w:sz w:val="18"/>
          <w:szCs w:val="18"/>
          <w:color w:val="auto"/>
        </w:rPr>
        <w:t xml:space="preserve"> included in this Annual Report on Form 10-K). We will continue to invest in our efficient go-to-market strategy as we further penetrate our addressable markets. Our financial performance will depend in large part on the overall demand for our solutions from service SMBs.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Revenue and Margin from Existing Customers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we have the opportunity to drive incremental revenue growth from our existing customer base through increased cross-selling and up-selling adjacent solutions. Our integrated SaaS solutions allow us to offer customers additional capabilities across their entire customer engagement lifecycle including digital payments, customer engagement and marketing technology. As we continue to develop, acquire and transform our solutions, we aim to continue adding value to our customers by displacing point-solution competitors and legacy, manual methods with our integrated digital offerings, increasing our revenue and improving customer experience and retention. A primary focus for revenue expansion focuses on cross-selling payments solutions to customers in an effort to prioritize margin growth. We also generate subscription and marketing technology revenue from cross-selling our Customer</w:t>
      </w: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54" w:name="page55"/>
    <w:bookmarkEnd w:id="54"/>
    <w:p>
      <w:pPr>
        <w:jc w:val="both"/>
        <w:spacing w:after="0" w:line="282" w:lineRule="auto"/>
        <w:rPr>
          <w:sz w:val="20"/>
          <w:szCs w:val="20"/>
          <w:color w:val="auto"/>
        </w:rPr>
      </w:pPr>
      <w:r>
        <w:rPr>
          <w:rFonts w:ascii="Times New Roman" w:cs="Times New Roman" w:eastAsia="Times New Roman" w:hAnsi="Times New Roman"/>
          <w:sz w:val="18"/>
          <w:szCs w:val="18"/>
          <w:color w:val="auto"/>
        </w:rPr>
        <w:t>Engagement and Marketing Technology Solutions across our customer base. These solutions increase customer loyalty, repeat purchases, improve customer experiences and help businesses to manage campaigns and generate quality leads.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into New Products and Micro-Verticals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our position in the service SMB ecosystem, as well as our relationships and level of engagement with our customers, we use insights gained through our customer relationships and lifecycle to identify additional solutions that are value-additive for our customers. These insights allow us to continually assess opportunities to develop or acquire solutions to further grow our business by expanding market share, cross-selling solutions and enhancing customer stickiness to improve customer retention. Additionally, we have completed acquisitions to enter new micro-verticals and geographies.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in Growth</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drive awareness and generate demand for our solutions in order to acquire new customers and develop new service SMB relationships, as we believe that we still have a significant market opportunity ahead of us. We will continue to expand efforts to market our solutions directly to SMBs through online digital marketing, raising brand awareness at conferences and events, and other marketing channels. We believe this investment, coupled with our attractive unit economics, will enable us to grow our customer base and continue our strategy of profitable growth.</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intend to increase our investment in our solutions to maintain our position as a leading provider of integrated SaaS solutions for service SMBs. To drive adoption and increase penetration within our base, we will continue to introduce new features and upgrade our technology solutions. We believe that investment in technology development will contribute to our long-term growth, but may also negatively impact our short-term profitability.</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2024, we continued to invest in scalable operations, including vertical market leadership, and necessary functions to support operating as a public company, including Sarbanes-Oxley compliance. Additionally, we continued to evaluate our suite of solutions and strategic options to drive investment in our highest growth solutions while simplifying our business to align with our transformation initiatives, including the divestiture of Fitness Solutions. In 2025 and beyond, incremental investments will be needed to support the ongoing transformation of our business and infrastructure, including Sarbanes-Oxley compliance. As part of our transformation initiatives, we expect to continue to evaluate our suite of solutions and may pursue dispositions of non-core assets and other strategic transactions. In March 2025, the Company announced the evaluation of strategic alternatives for our Marketing Technology Solutions with an expectation of a probable disposition by sale in 2025. The Company expects to reflect Marketing Technology Solutions as discontinued operations beginning with its first quarter 2025 financial reporting.</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acquire companies to accelerate our position as a market leader, fill gaps within our vertically tailored solutions, deepen our competitive moats in existing verticals and enter new verticals and geographies. We have acquired 53 companies since our inception, the majority of which were completed prior to 2022. While our pace of acquisition has slowed, we continue to pursue growth through a mix of organic revenue expansion and acquisitions. We have an established framework for identification, execution, integration and onboarding of targets, which leverages our significant acquisition experience and utilizes internal criteria for evaluating acquisition candidates and prospective businesses. These acquired solutions can bring deep industry expertise and vertically-tailored software solutions that provide additional sources of growth. We believe that our methodology, track record and reputation for sourcing, evaluating and integrating acquisitions positions us as an “acquirer-of-choice” for potential targets.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Although we expect to continue to acquire companies and other assets in the future, such acquisitions pose a number of challenges and risks. For additional information, see Part I. Item 1A. </w:t>
      </w:r>
      <w:r>
        <w:rPr>
          <w:rFonts w:ascii="Times New Roman" w:cs="Times New Roman" w:eastAsia="Times New Roman" w:hAnsi="Times New Roman"/>
          <w:sz w:val="18"/>
          <w:szCs w:val="18"/>
          <w:i w:val="1"/>
          <w:iCs w:val="1"/>
          <w:color w:val="auto"/>
        </w:rPr>
        <w:t>“Risk Factors—Risks Related to Our Business—Our recent growth rates may not be sustainable or indicative of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growth,” “—We may be unsuccessful in achieving our objectives through acquisitions, dispositions or other strategic transactions” and “—Revenues and profits generated through acquisitions may be less than anticipated, and we may fail to uncover all liabilities of acquisition targets through the due diligence process prior to an acquisition, resulting in unanticipated costs, losses or a decline in profits, as well as potential impairment charges. Claims against us relating to any acquisition may necessitate our seeking claims against the seller for which the seller may not indemnify us or that may exceed the seller’s indemnification obligations.”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and Financial Metrics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results and measures of performance determined in accordance with accounting principles generally accepted in the United States of America (“U.S. GAAP”), we believe the following key business and non-GAAP financial measures are useful in evaluating and comparing our financial and operational performance over multiple periods, identifying trends affecting our business, formulating business plans and making strategic decisions.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Revenue Growth Rate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 Forma Revenue Growth Rate is a key performance measure that our management uses to assess our consolidated operating performance from continuing operations over time. Management also uses this metric for planning and forecasting purposes.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year-over-year Pro Forma Revenue Growth Rate is calculated as though all acquisitions and divestitures completed as of the end of the latest period were closed as of the first day of the prior year period presented. In calculating Pro Forma Revenue Growth Rate, we add the revenue from acquisitions for the reporting periods prior to the date of acquisition (including estimated purchase accounting adjustments) and exclude revenue from divestitures for the reporting periods prior to the date of divestiture, and then calculate our revenue growth rate between the two reported periods. As a result, Pro Forma Revenue Growth Rate includes pro forma revenue from businesses acquired and excludes revenue from businesses divested during the period, including revenue generated during periods when we did not yet own the acquired businesses and excludes revenue prior to the divestiture of the business. In including such pre-acquisition revenue and excluding pre-divestiture revenue, Pro Forma Revenue Growth Rate allows us to measure the underlying revenue growth of our business as it stands as of the end of the respective period, which we believe provides insight into our then-current operations. Pro Forma Revenue Growth Rate does not represent organic revenue generated by our business as it stood at the beginning of the respective period. Pro Forma Revenue Growth Rates are not necessarily indicative of either future results of operations or actual results that might have been achieved had the acquisitions and divestitures been consummated on the first day of the prior year period presented. We believe that this metric is useful to investors in analyzing our financial and operational performance period over period and evaluating the growth of our business, normalizing for the impact of acquisitions and divestitures. This metric is particularly useful to management due to the number of acquired entities.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Revenue Growth Rate was 3.5% for the year ended December 31, 2024 as compared to the year ended December 31, 2023. Total revenues include post-acquisition revenue from Kickserv, which was acquired August 10, 2023 (see </w:t>
      </w:r>
      <w:r>
        <w:rPr>
          <w:rFonts w:ascii="Times New Roman" w:cs="Times New Roman" w:eastAsia="Times New Roman" w:hAnsi="Times New Roman"/>
          <w:sz w:val="18"/>
          <w:szCs w:val="18"/>
          <w:i w:val="1"/>
          <w:iCs w:val="1"/>
          <w:color w:val="auto"/>
        </w:rPr>
        <w:t>Note 3. Acquisitions and Dispositions</w:t>
      </w:r>
      <w:r>
        <w:rPr>
          <w:rFonts w:ascii="Times New Roman" w:cs="Times New Roman" w:eastAsia="Times New Roman" w:hAnsi="Times New Roman"/>
          <w:sz w:val="18"/>
          <w:szCs w:val="18"/>
          <w:color w:val="auto"/>
        </w:rPr>
        <w:t xml:space="preserve"> in this Annual Report on Form 10-K), of $3.0 million and $1.0 million during the years ended December 31, 2024 and 2023, respectively. Additionally, total revenues include pre-divestiture revenue from Fitness Solutions, which was divested in 2024 (see </w:t>
      </w:r>
      <w:r>
        <w:rPr>
          <w:rFonts w:ascii="Times New Roman" w:cs="Times New Roman" w:eastAsia="Times New Roman" w:hAnsi="Times New Roman"/>
          <w:sz w:val="18"/>
          <w:szCs w:val="18"/>
          <w:i w:val="1"/>
          <w:iCs w:val="1"/>
          <w:color w:val="auto"/>
        </w:rPr>
        <w:t>Note 3. Acquisitions and Dispositions</w:t>
      </w:r>
      <w:r>
        <w:rPr>
          <w:rFonts w:ascii="Times New Roman" w:cs="Times New Roman" w:eastAsia="Times New Roman" w:hAnsi="Times New Roman"/>
          <w:sz w:val="18"/>
          <w:szCs w:val="18"/>
          <w:color w:val="auto"/>
        </w:rPr>
        <w:t xml:space="preserve"> in this Annual Report on Form 10-K), of $8.1 million and $23.7 million during the years ended December 31, 2024 and 2023, respectively. Our Pro Forma Revenue Growth rate was 5.7% for the year ended December 31, 2024, reflective of the underlying growth in our business as a result of new customers and providing more solutions to existing customers.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is calculated as total revenue less cost of revenue (exclusive of depreciation and amortization), amortization of developed technology, amortization of capitalized software and depreciation expense (allocated to cost of revenues). We calculate Adjusted Gross Profit as gross profit adjusted to exclude non-cash charges of depreciation and amortization allocated to cost of revenues.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Gross Profit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indirect costs associated with our sales and marketing, product development, general and administrative activities and depreciation and amortization and the impact of our financing methods and income taxes. Adjusted Gross Profit should be viewed as a measure of operating performance that is a supplement to, and not a substitute for, operating income or loss, net earnings or loss and other GAAP measures of income (loss) or profitability.</w:t>
      </w:r>
    </w:p>
    <w:p>
      <w:pPr>
        <w:spacing w:after="0" w:line="20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following table presents a reconciliation of gross profit, the most directly comparable financial measure calculated in accordance with GAAP, to Adjusted Gross Profit on a consolidated basis.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40" w:type="dxa"/>
            <w:vAlign w:val="bottom"/>
          </w:tcPr>
          <w:p>
            <w:pPr>
              <w:spacing w:after="0"/>
              <w:rPr>
                <w:sz w:val="20"/>
                <w:szCs w:val="20"/>
                <w:color w:val="auto"/>
              </w:rPr>
            </w:pPr>
          </w:p>
        </w:tc>
      </w:tr>
      <w:tr>
        <w:trPr>
          <w:trHeight w:val="81"/>
        </w:trPr>
        <w:tc>
          <w:tcPr>
            <w:tcW w:w="8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698,765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675,369</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228,379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231,007</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developed technology</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15,451</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capitalized software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allocated to cost of revenue</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37"/>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448,601</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419,322</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21,785</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25,040</w:t>
            </w:r>
          </w:p>
        </w:tc>
      </w:tr>
      <w:tr>
        <w:trPr>
          <w:trHeight w:val="264"/>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gross profit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470,386</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444,362</w:t>
            </w: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Adjusted EBITDA is calculated as net loss adjusted to exclude interest and other expense, net, income tax expense (benefit), depreciation and amortization, other amortization, stock-based compensation expense and transaction-related and other non-recurring or unusual costs. Other amortization includes amortization for capitalized contract acquisition costs. Transaction-related costs are specific deal-related costs such as legal fees, financial and tax due diligence, consulting and escrow fees. Other non-recurring or unusual costs are expenses such as impairment charges, (gains) losses from divestitures, system implementation costs, executive separation costs, severance expense related to planned restructuring activities, and costs associated with integration and transformational improvements. Transaction-related and other non-recurring or unusual costs are excluded as they are not representative of our underlying operating performance.</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income (loss) to Adjusted EBITDA, helps investors make comparisons between our company and other companies that may have different capital structures, different tax rates and/or different forms of employee compensation. Adjusted EBITDA is used by our management team as an additional measure of our performance for purposes of business decision-making, including managing expenditures, and evaluating potential acquisitions. Period-to-period comparisons of Adjusted EBITDA help our management identify additional trends in our financial results that may not be shown solely by period-to-period comparisons of net income (loss) or income (loss) from continuing operations. In addition, we may use Adjusted EBITDA in the incentive compensation programs applicable to some of our employees. Our Management recognizes that Adjusted EBITDA has inherent limitations because of the excluded items, and may not be directly comparable to similarly titled metrics used by other companies. Adjusted EBITDA should be viewed as a measure of operating performance that is a supplement to, and not a substitute for, operating income or loss, net earnings or loss and other GAAP measures of income (loss).</w:t>
      </w:r>
    </w:p>
    <w:p>
      <w:pPr>
        <w:spacing w:after="0" w:line="8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loss, the most directly comparable financial measure calculated in accordance with GAAP, to Adjusted EBITDA on a consolidated basis.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40" w:type="dxa"/>
            <w:vAlign w:val="bottom"/>
          </w:tcPr>
          <w:p>
            <w:pPr>
              <w:spacing w:after="0"/>
              <w:rPr>
                <w:sz w:val="20"/>
                <w:szCs w:val="20"/>
                <w:color w:val="auto"/>
              </w:rPr>
            </w:pPr>
          </w:p>
        </w:tc>
      </w:tr>
      <w:tr>
        <w:trPr>
          <w:trHeight w:val="81"/>
        </w:trPr>
        <w:tc>
          <w:tcPr>
            <w:tcW w:w="8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(41,089)</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(45,620)</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35,559</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46,407</w:t>
            </w:r>
          </w:p>
        </w:tc>
      </w:tr>
      <w:tr>
        <w:trPr>
          <w:trHeight w:val="243"/>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104,201</w:t>
            </w:r>
          </w:p>
        </w:tc>
      </w:tr>
      <w:tr>
        <w:trPr>
          <w:trHeight w:val="243"/>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amortization</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25,559</w:t>
            </w:r>
          </w:p>
        </w:tc>
      </w:tr>
      <w:tr>
        <w:trPr>
          <w:trHeight w:val="243"/>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Transaction-related and other non-recurring or unusual costs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54,531</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17,695</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177,001</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155,619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Description of Certain Components of Financial Data</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concerning our accounting policies, see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this Annual Report on Form 10-K.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derive our revenue from three primary sources which are described in detail below: (i) Subscription and Transaction Fees, which are primarily recurring revenue streams, (ii) Marketing Technology Solutions, which includes both recurring and re-occurring revenue streams and (iii) Other revenue, which consists primarily of the sale of distinct professional services and hardware. Our revenue recognition policies are discussed in more detail under </w:t>
      </w:r>
      <w:r>
        <w:rPr>
          <w:rFonts w:ascii="Times New Roman" w:cs="Times New Roman" w:eastAsia="Times New Roman" w:hAnsi="Times New Roman"/>
          <w:sz w:val="18"/>
          <w:szCs w:val="18"/>
          <w:i w:val="1"/>
          <w:iCs w:val="1"/>
          <w:color w:val="auto"/>
        </w:rPr>
        <w:t>“Critical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Estimates.”</w:t>
      </w:r>
    </w:p>
    <w:p>
      <w:pPr>
        <w:spacing w:after="0" w:line="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Subscription and Transaction Fees</w:t>
      </w:r>
      <w:r>
        <w:rPr>
          <w:rFonts w:ascii="Times New Roman" w:cs="Times New Roman" w:eastAsia="Times New Roman" w:hAnsi="Times New Roman"/>
          <w:sz w:val="18"/>
          <w:szCs w:val="18"/>
          <w:color w:val="auto"/>
        </w:rPr>
        <w:t>: Revenue includes (i) recurring monthly, quarterly and annual SaaS subscriptions and software license and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from the sale of our Business Management, Customer Engagement and Billing and Payment solutions; (ii)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 Our revenue from payment processing fees is recorded net of credit card and ACH processing and interchange charges in the month the services are performed.</w:t>
      </w:r>
    </w:p>
    <w:p>
      <w:pPr>
        <w:spacing w:after="0" w:line="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Marketing Technology Solutions: </w:t>
      </w:r>
      <w:r>
        <w:rPr>
          <w:rFonts w:ascii="Times New Roman" w:cs="Times New Roman" w:eastAsia="Times New Roman" w:hAnsi="Times New Roman"/>
          <w:sz w:val="18"/>
          <w:szCs w:val="18"/>
          <w:color w:val="auto"/>
        </w:rPr>
        <w:t>Revenue includes (i) recurring revenues for managing digital advertising programs on behalf of our customers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website hosting, search engine management and optimization, social media management and blog automation; and (ii) re-occurring fees paid by service professionals for consumer leads generated by our various platforms.</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Revenue includes (i) consulting, implementation, training and other professional services; (ii) website development; (iii) revenue from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development partnerships; (iv) event income; and (v) hardware sales related to our business management or payment software solutions.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consists of expenses related to delivering our services and products and providing support to our customers and includes employee costs and related overhead, customer credit card processing fees, targeted mail costs, third party fulfillment costs and software hosting expenses.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cost of revenue as a percentage of revenue will fluctuate from period to period based on a variety of factors, including the mix of revenue between Subscription and Transaction Fees and Marketing Technology Solutions, labor costs, third-party expenses and acquisitions. In particular, Marketing Technology Solutions revenue generally has a higher cost of revenue as a percentage of revenue than our subscription and transaction fee revenue. For the year ended December 31, 2024, revenue from subscription and transaction fees increased 5.4% compared to the year ended December 31, 2023, whereas Marketing Technology Solutions revenue decreased 2.9%. To the extent our Marketing Technology Solutions revenue grows at a faster rate, whether by acquisition or otherwise, than our Subscription and Transaction Fees revenue, it could negatively impact our cost of revenues as a percentage of revenue.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and marketing expense consists primarily of employee costs for our sales and marketing personnel, including salaries, benefits, bonuses, stock-based compensation and sales commissions. Sales and marketing expenses also include advertising costs, travel-related expenses and costs to market and promote our products, direct customer acquisition costs, costs related to conferences and events and partner/broker commissions. Software and subscription services dedicated for use by our sales and marketing organization, and outside services contracted for sales and marketing purposes are also included in sales and marketing expense. Sales commissions that are incremental to obtaining a customer contract are deferred and amortized ratably over the estimated period of our relationship with that customer. We expect our sales and marketing expenses from continuing operations will increase in absolute dollars and may increase as a percentage of revenue for the foreseeable future as we continue to increase investments to support our growth.</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development expense consists primarily of employee costs for our product development personnel, including salaries, benefits, stock-based compensation and bonuses. Product development expenses also include third-party outsourced technology costs incurred in developing our platforms, and computer equipment, software and subscription services dedicated for use by our product development organization. We expect our product development expenses from continuing operations to increase in absolute dollars and increase as a percentage of revenue during 2025 as we continue to dedicate substantial resources to develop, improve and expand the functionality of our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consists of employee costs for our executive leadership, accounting, finance, legal, human resources and other administrative personnel, including salaries, benefits, bonuses and stock-based compensation. General and administrative expenses also include external legal, accounting and other professional services fees, rent, software and subscription services dedicated for use by our general and administrative employees and other general corporate expenses. We expect general and administrative expense from continuing operations to increase on an absolute dollar basis for the foreseeable future due to costs as a result of being a public company. As we are able to further scale our operations in the future, we would expect that general and administrative expenses would decrease as a percentage of revenue.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primarily relate to intangible assets, property and equipment and capitalized software.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Sale and Impairments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Loss on sale relates to the divestiture of Fitness Solutions. Impairments include goodwill impairment charges and operating lease impairments related to the Company’s decision to cease use of certain leased premises and sublease certain facilities.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and other expense, net, primarily consists of interest expense on long-term debt, net of interest income. It also includes amortization expense of financing costs and discounts, as well as realized and unrealized gains and losses related to interest rate swap agreements.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GAAP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(expense) benefit of net operating loss and tax credit carryforwards. Income taxes are recognized for the amount of taxes payable by the Company's corporate subsidiaries for the current year and for the impact of deferred tax assets and liabilities, which represent future tax consequences of events that have been recognized differently in the financial statements than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for the year ended December 31, 2024 compared to the same period in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78"/>
        </w:trPr>
        <w:tc>
          <w:tcPr>
            <w:tcW w:w="8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7"/>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40" w:type="dxa"/>
            <w:vAlign w:val="bottom"/>
          </w:tcPr>
          <w:p>
            <w:pPr>
              <w:spacing w:after="0"/>
              <w:rPr>
                <w:sz w:val="20"/>
                <w:szCs w:val="20"/>
                <w:color w:val="auto"/>
              </w:rPr>
            </w:pPr>
          </w:p>
        </w:tc>
      </w:tr>
      <w:tr>
        <w:trPr>
          <w:trHeight w:val="81"/>
        </w:trPr>
        <w:tc>
          <w:tcPr>
            <w:tcW w:w="8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548,344</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520,234</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Marketing technology solutions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129,271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133,162</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21,973</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698,765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675,369</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832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p>
      <w:pPr>
        <w:spacing w:after="0" w:line="2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 xml:space="preserve">Cost of revenues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(exclusive of depreciation and amortization presented separately below)</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 xml:space="preserve">Product development </w:t>
      </w:r>
      <w:r>
        <w:rPr>
          <w:rFonts w:ascii="Times New Roman" w:cs="Times New Roman" w:eastAsia="Times New Roman" w:hAnsi="Times New Roman"/>
          <w:sz w:val="23"/>
          <w:szCs w:val="23"/>
          <w:color w:val="auto"/>
          <w:vertAlign w:val="superscript"/>
        </w:rPr>
        <w:t>(1)</w:t>
      </w: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Loss on sale and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loss before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1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loss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Includes stock-based compensation expense as follows: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940"/>
        <w:spacing w:after="0"/>
        <w:tabs>
          <w:tab w:leader="none" w:pos="2460" w:val="left"/>
        </w:tabs>
        <w:rPr>
          <w:sz w:val="20"/>
          <w:szCs w:val="20"/>
          <w:color w:val="auto"/>
        </w:rPr>
      </w:pPr>
      <w:r>
        <w:rPr>
          <w:rFonts w:ascii="Times New Roman" w:cs="Times New Roman" w:eastAsia="Times New Roman" w:hAnsi="Times New Roman"/>
          <w:sz w:val="18"/>
          <w:szCs w:val="18"/>
          <w:color w:val="auto"/>
        </w:rPr>
        <w:t>228,379</w:t>
      </w:r>
      <w:r>
        <w:rPr>
          <w:sz w:val="20"/>
          <w:szCs w:val="20"/>
          <w:color w:val="auto"/>
        </w:rPr>
        <w:tab/>
      </w:r>
      <w:r>
        <w:rPr>
          <w:rFonts w:ascii="Times New Roman" w:cs="Times New Roman" w:eastAsia="Times New Roman" w:hAnsi="Times New Roman"/>
          <w:sz w:val="18"/>
          <w:szCs w:val="18"/>
          <w:color w:val="auto"/>
        </w:rPr>
        <w:t>231,007</w:t>
      </w:r>
    </w:p>
    <w:p>
      <w:pPr>
        <w:spacing w:after="0" w:line="63" w:lineRule="exact"/>
        <w:rPr>
          <w:sz w:val="20"/>
          <w:szCs w:val="20"/>
          <w:color w:val="auto"/>
        </w:rPr>
      </w:pPr>
    </w:p>
    <w:p>
      <w:pPr>
        <w:ind w:left="940"/>
        <w:spacing w:after="0"/>
        <w:tabs>
          <w:tab w:leader="none" w:pos="2460" w:val="left"/>
        </w:tabs>
        <w:rPr>
          <w:sz w:val="20"/>
          <w:szCs w:val="20"/>
          <w:color w:val="auto"/>
        </w:rPr>
      </w:pPr>
      <w:r>
        <w:rPr>
          <w:rFonts w:ascii="Times New Roman" w:cs="Times New Roman" w:eastAsia="Times New Roman" w:hAnsi="Times New Roman"/>
          <w:sz w:val="18"/>
          <w:szCs w:val="18"/>
          <w:color w:val="auto"/>
        </w:rPr>
        <w:t>122,505</w:t>
      </w:r>
      <w:r>
        <w:rPr>
          <w:sz w:val="20"/>
          <w:szCs w:val="20"/>
          <w:color w:val="auto"/>
        </w:rPr>
        <w:tab/>
      </w:r>
      <w:r>
        <w:rPr>
          <w:rFonts w:ascii="Times New Roman" w:cs="Times New Roman" w:eastAsia="Times New Roman" w:hAnsi="Times New Roman"/>
          <w:sz w:val="18"/>
          <w:szCs w:val="18"/>
          <w:color w:val="auto"/>
        </w:rPr>
        <w:t>123,561</w:t>
      </w:r>
    </w:p>
    <w:p>
      <w:pPr>
        <w:spacing w:after="0" w:line="63" w:lineRule="exact"/>
        <w:rPr>
          <w:sz w:val="20"/>
          <w:szCs w:val="20"/>
          <w:color w:val="auto"/>
        </w:rPr>
      </w:pPr>
    </w:p>
    <w:p>
      <w:pPr>
        <w:ind w:left="1040"/>
        <w:spacing w:after="0"/>
        <w:tabs>
          <w:tab w:leader="none" w:pos="2560" w:val="left"/>
        </w:tabs>
        <w:rPr>
          <w:sz w:val="20"/>
          <w:szCs w:val="20"/>
          <w:color w:val="auto"/>
        </w:rPr>
      </w:pPr>
      <w:r>
        <w:rPr>
          <w:rFonts w:ascii="Times New Roman" w:cs="Times New Roman" w:eastAsia="Times New Roman" w:hAnsi="Times New Roman"/>
          <w:sz w:val="18"/>
          <w:szCs w:val="18"/>
          <w:color w:val="auto"/>
        </w:rPr>
        <w:t>79,673</w:t>
      </w:r>
      <w:r>
        <w:rPr>
          <w:sz w:val="20"/>
          <w:szCs w:val="20"/>
          <w:color w:val="auto"/>
        </w:rPr>
        <w:tab/>
      </w:r>
      <w:r>
        <w:rPr>
          <w:rFonts w:ascii="Times New Roman" w:cs="Times New Roman" w:eastAsia="Times New Roman" w:hAnsi="Times New Roman"/>
          <w:sz w:val="18"/>
          <w:szCs w:val="18"/>
          <w:color w:val="auto"/>
        </w:rPr>
        <w:t>75,614</w:t>
      </w:r>
    </w:p>
    <w:p>
      <w:pPr>
        <w:spacing w:after="0" w:line="63" w:lineRule="exact"/>
        <w:rPr>
          <w:sz w:val="20"/>
          <w:szCs w:val="20"/>
          <w:color w:val="auto"/>
        </w:rPr>
      </w:pPr>
    </w:p>
    <w:p>
      <w:pPr>
        <w:ind w:left="940"/>
        <w:spacing w:after="0"/>
        <w:tabs>
          <w:tab w:leader="none" w:pos="2460" w:val="left"/>
        </w:tabs>
        <w:rPr>
          <w:sz w:val="20"/>
          <w:szCs w:val="20"/>
          <w:color w:val="auto"/>
        </w:rPr>
      </w:pPr>
      <w:r>
        <w:rPr>
          <w:rFonts w:ascii="Times New Roman" w:cs="Times New Roman" w:eastAsia="Times New Roman" w:hAnsi="Times New Roman"/>
          <w:sz w:val="18"/>
          <w:szCs w:val="18"/>
          <w:color w:val="auto"/>
        </w:rPr>
        <w:t>139,423</w:t>
      </w:r>
      <w:r>
        <w:rPr>
          <w:sz w:val="20"/>
          <w:szCs w:val="20"/>
          <w:color w:val="auto"/>
        </w:rPr>
        <w:tab/>
      </w:r>
      <w:r>
        <w:rPr>
          <w:rFonts w:ascii="Times New Roman" w:cs="Times New Roman" w:eastAsia="Times New Roman" w:hAnsi="Times New Roman"/>
          <w:sz w:val="18"/>
          <w:szCs w:val="18"/>
          <w:color w:val="auto"/>
        </w:rPr>
        <w:t>132,235</w:t>
      </w:r>
    </w:p>
    <w:p>
      <w:pPr>
        <w:spacing w:after="0" w:line="63" w:lineRule="exact"/>
        <w:rPr>
          <w:sz w:val="20"/>
          <w:szCs w:val="20"/>
          <w:color w:val="auto"/>
        </w:rPr>
      </w:pPr>
    </w:p>
    <w:p>
      <w:pPr>
        <w:ind w:left="1040"/>
        <w:spacing w:after="0"/>
        <w:tabs>
          <w:tab w:leader="none" w:pos="2460" w:val="left"/>
        </w:tabs>
        <w:rPr>
          <w:sz w:val="20"/>
          <w:szCs w:val="20"/>
          <w:color w:val="auto"/>
        </w:rPr>
      </w:pPr>
      <w:r>
        <w:rPr>
          <w:rFonts w:ascii="Times New Roman" w:cs="Times New Roman" w:eastAsia="Times New Roman" w:hAnsi="Times New Roman"/>
          <w:sz w:val="18"/>
          <w:szCs w:val="18"/>
          <w:color w:val="auto"/>
        </w:rPr>
        <w:t>88,824</w:t>
      </w:r>
      <w:r>
        <w:rPr>
          <w:sz w:val="20"/>
          <w:szCs w:val="20"/>
          <w:color w:val="auto"/>
        </w:rPr>
        <w:tab/>
      </w:r>
      <w:r>
        <w:rPr>
          <w:rFonts w:ascii="Times New Roman" w:cs="Times New Roman" w:eastAsia="Times New Roman" w:hAnsi="Times New Roman"/>
          <w:sz w:val="18"/>
          <w:szCs w:val="18"/>
          <w:color w:val="auto"/>
        </w:rPr>
        <w:t>104,201</w:t>
      </w:r>
    </w:p>
    <w:p>
      <w:pPr>
        <w:spacing w:after="0" w:line="63" w:lineRule="exact"/>
        <w:rPr>
          <w:sz w:val="20"/>
          <w:szCs w:val="20"/>
          <w:color w:val="auto"/>
        </w:rPr>
      </w:pPr>
    </w:p>
    <w:p>
      <w:pPr>
        <w:ind w:left="1040"/>
        <w:spacing w:after="0"/>
        <w:tabs>
          <w:tab w:leader="none" w:pos="2640" w:val="left"/>
        </w:tabs>
        <w:rPr>
          <w:sz w:val="20"/>
          <w:szCs w:val="20"/>
          <w:color w:val="auto"/>
        </w:rPr>
      </w:pPr>
      <w:r>
        <w:rPr>
          <w:rFonts w:ascii="Times New Roman" w:cs="Times New Roman" w:eastAsia="Times New Roman" w:hAnsi="Times New Roman"/>
          <w:sz w:val="18"/>
          <w:szCs w:val="18"/>
          <w:color w:val="auto"/>
        </w:rPr>
        <w:t>39,709</w:t>
      </w:r>
      <w:r>
        <w:rPr>
          <w:sz w:val="20"/>
          <w:szCs w:val="20"/>
          <w:color w:val="auto"/>
        </w:rPr>
        <w:tab/>
      </w:r>
      <w:r>
        <w:rPr>
          <w:rFonts w:ascii="Times New Roman" w:cs="Times New Roman" w:eastAsia="Times New Roman" w:hAnsi="Times New Roman"/>
          <w:sz w:val="18"/>
          <w:szCs w:val="18"/>
          <w:color w:val="auto"/>
        </w:rPr>
        <w:t>6,325</w:t>
      </w:r>
    </w:p>
    <w:p>
      <w:pPr>
        <w:spacing w:after="0" w:line="77" w:lineRule="exact"/>
        <w:rPr>
          <w:sz w:val="20"/>
          <w:szCs w:val="20"/>
          <w:color w:val="auto"/>
        </w:rPr>
      </w:pPr>
    </w:p>
    <w:p>
      <w:pPr>
        <w:ind w:left="940"/>
        <w:spacing w:after="0"/>
        <w:tabs>
          <w:tab w:leader="none" w:pos="2460" w:val="left"/>
        </w:tabs>
        <w:rPr>
          <w:sz w:val="20"/>
          <w:szCs w:val="20"/>
          <w:color w:val="auto"/>
        </w:rPr>
      </w:pPr>
      <w:r>
        <w:rPr>
          <w:rFonts w:ascii="Times New Roman" w:cs="Times New Roman" w:eastAsia="Times New Roman" w:hAnsi="Times New Roman"/>
          <w:sz w:val="18"/>
          <w:szCs w:val="18"/>
          <w:color w:val="auto"/>
        </w:rPr>
        <w:t>698,513</w:t>
      </w:r>
      <w:r>
        <w:rPr>
          <w:sz w:val="20"/>
          <w:szCs w:val="20"/>
          <w:color w:val="auto"/>
        </w:rPr>
        <w:tab/>
      </w:r>
      <w:r>
        <w:rPr>
          <w:rFonts w:ascii="Times New Roman" w:cs="Times New Roman" w:eastAsia="Times New Roman" w:hAnsi="Times New Roman"/>
          <w:sz w:val="18"/>
          <w:szCs w:val="18"/>
          <w:color w:val="auto"/>
        </w:rPr>
        <w:t>672,943</w:t>
      </w:r>
    </w:p>
    <w:p>
      <w:pPr>
        <w:spacing w:after="0" w:line="63" w:lineRule="exact"/>
        <w:rPr>
          <w:sz w:val="20"/>
          <w:szCs w:val="20"/>
          <w:color w:val="auto"/>
        </w:rPr>
      </w:pPr>
    </w:p>
    <w:p>
      <w:pPr>
        <w:ind w:left="2660" w:hanging="1401"/>
        <w:spacing w:after="0"/>
        <w:tabs>
          <w:tab w:leader="none" w:pos="2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2,426</w:t>
      </w:r>
    </w:p>
    <w:p>
      <w:pPr>
        <w:spacing w:after="0" w:line="63"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(35,559)(46,407)</w:t>
      </w:r>
    </w:p>
    <w:p>
      <w:pPr>
        <w:spacing w:after="0" w:line="76"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(35,307)(43,981)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-144780</wp:posOffset>
            </wp:positionV>
            <wp:extent cx="19030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43" w:lineRule="exact"/>
        <w:rPr>
          <w:sz w:val="20"/>
          <w:szCs w:val="20"/>
          <w:color w:val="auto"/>
        </w:rPr>
      </w:pPr>
    </w:p>
    <w:p>
      <w:pPr>
        <w:ind w:left="1040"/>
        <w:spacing w:after="0"/>
        <w:tabs>
          <w:tab w:leader="none" w:pos="2560" w:val="left"/>
        </w:tabs>
        <w:rPr>
          <w:sz w:val="20"/>
          <w:szCs w:val="20"/>
          <w:color w:val="auto"/>
        </w:rPr>
      </w:pPr>
      <w:r>
        <w:rPr>
          <w:rFonts w:ascii="Times New Roman" w:cs="Times New Roman" w:eastAsia="Times New Roman" w:hAnsi="Times New Roman"/>
          <w:sz w:val="18"/>
          <w:szCs w:val="18"/>
          <w:color w:val="auto"/>
        </w:rPr>
        <w:t>(5,782)</w:t>
      </w:r>
      <w:r>
        <w:rPr>
          <w:sz w:val="20"/>
          <w:szCs w:val="20"/>
          <w:color w:val="auto"/>
        </w:rPr>
        <w:tab/>
      </w:r>
      <w:r>
        <w:rPr>
          <w:rFonts w:ascii="Times New Roman" w:cs="Times New Roman" w:eastAsia="Times New Roman" w:hAnsi="Times New Roman"/>
          <w:sz w:val="18"/>
          <w:szCs w:val="18"/>
          <w:color w:val="auto"/>
        </w:rPr>
        <w:t>(1,639)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34290</wp:posOffset>
            </wp:positionV>
            <wp:extent cx="19030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57" w:lineRule="exact"/>
        <w:rPr>
          <w:sz w:val="20"/>
          <w:szCs w:val="20"/>
          <w:color w:val="auto"/>
        </w:rPr>
      </w:pPr>
    </w:p>
    <w:p>
      <w:pPr>
        <w:ind w:left="160"/>
        <w:spacing w:after="0"/>
        <w:tabs>
          <w:tab w:leader="none" w:pos="940" w:val="left"/>
          <w:tab w:leader="none" w:pos="2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(41,089)  $</w:t>
      </w:r>
      <w:r>
        <w:rPr>
          <w:sz w:val="20"/>
          <w:szCs w:val="20"/>
          <w:color w:val="auto"/>
        </w:rPr>
        <w:tab/>
      </w:r>
      <w:r>
        <w:rPr>
          <w:rFonts w:ascii="Times New Roman" w:cs="Times New Roman" w:eastAsia="Times New Roman" w:hAnsi="Times New Roman"/>
          <w:sz w:val="18"/>
          <w:szCs w:val="18"/>
          <w:color w:val="auto"/>
        </w:rPr>
        <w:t>(45,620)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34290</wp:posOffset>
            </wp:positionV>
            <wp:extent cx="1903095"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0309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36830</wp:posOffset>
            </wp:positionV>
            <wp:extent cx="18173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7380" w:space="720"/>
            <w:col w:w="3140"/>
          </w:cols>
          <w:pgMar w:left="320" w:top="1332" w:right="339" w:bottom="1440" w:gutter="0" w:footer="0" w:header="0"/>
          <w:type w:val="continuous"/>
        </w:sectPr>
      </w:pPr>
    </w:p>
    <w:tbl>
      <w:tblPr>
        <w:tblLayout w:type="fixed"/>
        <w:tblInd w:w="66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7"/>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80" w:type="dxa"/>
            <w:vAlign w:val="bottom"/>
          </w:tcPr>
          <w:p>
            <w:pPr>
              <w:spacing w:after="0"/>
              <w:rPr>
                <w:sz w:val="20"/>
                <w:szCs w:val="20"/>
                <w:color w:val="auto"/>
              </w:rPr>
            </w:pPr>
          </w:p>
        </w:tc>
      </w:tr>
      <w:tr>
        <w:trPr>
          <w:trHeight w:val="81"/>
        </w:trPr>
        <w:tc>
          <w:tcPr>
            <w:tcW w:w="7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w:t>
            </w: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7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26,491</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60" w:name="page61"/>
    <w:bookmarkEnd w:id="6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 (percentage of revenue)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key components of operating costs within our results of operations as a percentage of revenue for the year ended December 31, 2024 compared to the same period in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290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69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94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69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34"/>
        </w:trPr>
        <w:tc>
          <w:tcPr>
            <w:tcW w:w="6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36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16"/>
        </w:trPr>
        <w:tc>
          <w:tcPr>
            <w:tcW w:w="6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presented separately below)</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7"/>
        </w:trPr>
        <w:tc>
          <w:tcPr>
            <w:tcW w:w="6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43"/>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6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sale and impairments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64"/>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99.6 %</w:t>
            </w:r>
          </w:p>
        </w:tc>
        <w:tc>
          <w:tcPr>
            <w:tcW w:w="8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0"/>
        </w:trPr>
        <w:tc>
          <w:tcPr>
            <w:tcW w:w="6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revenue growth remains a key focus, we remain committed to continued expansion of gross margin, net income and Adjusted EBITDA through ongoing transformation initiatives. As a percentage of revenue, cost of revenues declined from 34.2% for the year ended December 31, 2023 to 32.7% for the year ended December 31, 2024, an improvement of approximately 150 basis points resulting in higher gross margin. Additionally, the combination of cost of revenue, sales and marketing, product development and general and administrative costs declined from 83.3% for the year ended December 31, 2023 to 81.6% for the year ended December 31, 2024, an improvement of approximately 170 basis points. A discussion on primary drivers of cost reductions resulting in improved margin follows in the subsequent sections.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5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23"/>
                <w:szCs w:val="23"/>
                <w:color w:val="auto"/>
              </w:rPr>
            </w:pPr>
          </w:p>
        </w:tc>
        <w:tc>
          <w:tcPr>
            <w:tcW w:w="15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Pr>
          <w:p>
            <w:pPr>
              <w:spacing w:after="0"/>
              <w:rPr>
                <w:sz w:val="23"/>
                <w:szCs w:val="23"/>
                <w:color w:val="auto"/>
              </w:rPr>
            </w:pPr>
          </w:p>
        </w:tc>
      </w:tr>
      <w:tr>
        <w:trPr>
          <w:trHeight w:val="27"/>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6"/>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6"/>
          </w:tcPr>
          <w:p>
            <w:pPr>
              <w:ind w:left="28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920" w:type="dxa"/>
            <w:vAlign w:val="bottom"/>
          </w:tcPr>
          <w:p>
            <w:pPr>
              <w:spacing w:after="0"/>
              <w:rPr>
                <w:sz w:val="20"/>
                <w:szCs w:val="20"/>
                <w:color w:val="auto"/>
              </w:rPr>
            </w:pPr>
          </w:p>
        </w:tc>
      </w:tr>
      <w:tr>
        <w:trPr>
          <w:trHeight w:val="81"/>
        </w:trPr>
        <w:tc>
          <w:tcPr>
            <w:tcW w:w="5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548,344</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520,234</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technology solutions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129,271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5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5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698,765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675,369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23,396</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-1113790</wp:posOffset>
            </wp:positionV>
            <wp:extent cx="51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-1113790</wp:posOffset>
            </wp:positionV>
            <wp:extent cx="51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Revenues increased $23.4 million, or 3.5%, for the year ended December 31, 2024 as compared to the year ended December 31, 2023. The growth of revenue from subscription and transaction fees was 5.4% during the year ended December 31, 2024 as compared to the prior year period, while the changes in marketing technology solutions and other revenues experienced more volatility in revenue generation than the delivery of services through our system of actions. The majority of our revenue growth is attributable to the successful delivery of system of action capabilities to our SMBs in our verticals of home services, health and wellness. The subscription and transaction revenue increases during the year ended December 31, 2024 consist primarily of increases from (a) business management software and (b) billing and payment solutions. Business management software revenues drove a $24.8 million increase in subscription and transaction revenues due to an expansion in our number of customers, certain price increases across our portfolio, and an increase in rebate revenue from contracted suppliers due to growth of membership subscriptions in group purchasing programs. Billing and payment solutions revenues drove an increase of $3.3 million, which was primarily due to higher transaction volumes processed through our payment platforms, partially offset by lower revenue in 2024 due to the Fitness Solutions divestiture. Subscription and transaction revenues also include $3.0 million and $1.0 million of post-acquisition revenue from Kickserv for the years ended December 31, 2024 and 2023, respectively, and pre-divestiture revenue from Fitness Solutions of $8.0 million and $23.3 million for the years ended December 31, 2024 and 2023, respectively (see </w:t>
      </w:r>
      <w:r>
        <w:rPr>
          <w:rFonts w:ascii="Times New Roman" w:cs="Times New Roman" w:eastAsia="Times New Roman" w:hAnsi="Times New Roman"/>
          <w:sz w:val="18"/>
          <w:szCs w:val="18"/>
          <w:i w:val="1"/>
          <w:iCs w:val="1"/>
          <w:color w:val="auto"/>
        </w:rPr>
        <w:t>Note 3. Acquisitions and Dispositions</w:t>
      </w:r>
      <w:r>
        <w:rPr>
          <w:rFonts w:ascii="Times New Roman" w:cs="Times New Roman" w:eastAsia="Times New Roman" w:hAnsi="Times New Roman"/>
          <w:sz w:val="18"/>
          <w:szCs w:val="18"/>
          <w:color w:val="auto"/>
        </w:rPr>
        <w:t xml:space="preserve"> in this Annual Report on Form 10-K). Marketing technology solutions revenues decreased $3.9 million during the year ended December 31, 2024,</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1" w:name="page62"/>
    <w:bookmarkEnd w:id="61"/>
    <w:p>
      <w:pPr>
        <w:jc w:val="both"/>
        <w:spacing w:after="0" w:line="266" w:lineRule="auto"/>
        <w:rPr>
          <w:sz w:val="20"/>
          <w:szCs w:val="20"/>
          <w:color w:val="auto"/>
        </w:rPr>
      </w:pPr>
      <w:r>
        <w:rPr>
          <w:rFonts w:ascii="Times New Roman" w:cs="Times New Roman" w:eastAsia="Times New Roman" w:hAnsi="Times New Roman"/>
          <w:sz w:val="18"/>
          <w:szCs w:val="18"/>
          <w:color w:val="auto"/>
        </w:rPr>
        <w:t>which was primarily due to a reduction in demand driven by decreases in consumer spending, partially offset by certain price increases and customer growth related to lead generation services. Other revenues decreased $0.8 million during the year ended December 31, 2024 driven by revenue related to project implementation and customer development services which did not recur in the current year.</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5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Pr>
          <w:p>
            <w:pPr>
              <w:spacing w:after="0"/>
              <w:rPr>
                <w:sz w:val="24"/>
                <w:szCs w:val="24"/>
                <w:color w:val="auto"/>
              </w:rPr>
            </w:pPr>
          </w:p>
        </w:tc>
      </w:tr>
      <w:tr>
        <w:trPr>
          <w:trHeight w:val="27"/>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gridSpan w:val="4"/>
          </w:tcPr>
          <w:p>
            <w:pPr>
              <w:ind w:left="28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920" w:type="dxa"/>
            <w:vAlign w:val="bottom"/>
          </w:tcPr>
          <w:p>
            <w:pPr>
              <w:spacing w:after="0"/>
              <w:rPr>
                <w:sz w:val="20"/>
                <w:szCs w:val="20"/>
                <w:color w:val="auto"/>
              </w:rPr>
            </w:pPr>
          </w:p>
        </w:tc>
      </w:tr>
      <w:tr>
        <w:trPr>
          <w:trHeight w:val="81"/>
        </w:trPr>
        <w:tc>
          <w:tcPr>
            <w:tcW w:w="5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25"/>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presented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4"/>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separately below)</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228,379</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231,007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(2,628)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5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revenues decreased by $2.6 million, or 1.1%, for the year ended December 31, 2024 as compared to the year ended December 31, 2023. The decrease is primarily comprised of a $5.7 million decrease in personnel and compensation expense, a $1.7 million reduction in outsourced services, and a $0.8 million reduction in lead generation and ad spend subject to resale to customers, partially offset by a $2.1 million increase in software hosting expense, a $1.9 million increase in application programming interface fees, and a $0.9 million increase in campaign mail expense.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5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Pr>
          <w:p>
            <w:pPr>
              <w:spacing w:after="0"/>
              <w:rPr>
                <w:sz w:val="24"/>
                <w:szCs w:val="24"/>
                <w:color w:val="auto"/>
              </w:rPr>
            </w:pPr>
          </w:p>
        </w:tc>
      </w:tr>
      <w:tr>
        <w:trPr>
          <w:trHeight w:val="27"/>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gridSpan w:val="4"/>
          </w:tcPr>
          <w:p>
            <w:pPr>
              <w:ind w:left="28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920" w:type="dxa"/>
            <w:vAlign w:val="bottom"/>
          </w:tcPr>
          <w:p>
            <w:pPr>
              <w:spacing w:after="0"/>
              <w:rPr>
                <w:sz w:val="20"/>
                <w:szCs w:val="20"/>
                <w:color w:val="auto"/>
              </w:rPr>
            </w:pPr>
          </w:p>
        </w:tc>
      </w:tr>
      <w:tr>
        <w:trPr>
          <w:trHeight w:val="81"/>
        </w:trPr>
        <w:tc>
          <w:tcPr>
            <w:tcW w:w="5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4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122,505</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123,561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(1,056)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5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by $1.1 million, or 0.9%, for the year ended December 31, 2024 as compared to the year ended December 31, 2023. The decrease was driven primarily by a $1.7 million reduction in personnel and compensation expense, a $1.2 million reduction in third-party commissions, partially offset by a $0.7 million increase in advertising, $0.8 million increase in outsourced services and $0.3 million in professional fees and consulting expenses.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5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Pr>
          <w:p>
            <w:pPr>
              <w:spacing w:after="0"/>
              <w:rPr>
                <w:sz w:val="24"/>
                <w:szCs w:val="24"/>
                <w:color w:val="auto"/>
              </w:rPr>
            </w:pPr>
          </w:p>
        </w:tc>
      </w:tr>
      <w:tr>
        <w:trPr>
          <w:trHeight w:val="27"/>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920" w:type="dxa"/>
            <w:vAlign w:val="bottom"/>
          </w:tcPr>
          <w:p>
            <w:pPr>
              <w:spacing w:after="0"/>
              <w:rPr>
                <w:sz w:val="20"/>
                <w:szCs w:val="20"/>
                <w:color w:val="auto"/>
              </w:rPr>
            </w:pPr>
          </w:p>
        </w:tc>
      </w:tr>
      <w:tr>
        <w:trPr>
          <w:trHeight w:val="81"/>
        </w:trPr>
        <w:tc>
          <w:tcPr>
            <w:tcW w:w="5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4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79,673</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4,059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7"/>
        </w:trPr>
        <w:tc>
          <w:tcPr>
            <w:tcW w:w="5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development expenses increased by $4.1 million, or 5.4%, for the year ended December 31, 2024 as compared to the year ended December 31, 2023. The increase was a result of an additional $2.2 million of personnel and compensation expense, $2.0 million of outsourced services, and $1.6 million of software and tools, driven by investments in our technology and teams to support our various solutions as well as centralized security operations, information technology and cloud engineering. The increase was partially offset by a $1.5 million decrease in professional fees and consulting expenses.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Pr>
          <w:p>
            <w:pPr>
              <w:spacing w:after="0"/>
              <w:rPr>
                <w:sz w:val="24"/>
                <w:szCs w:val="24"/>
                <w:color w:val="auto"/>
              </w:rPr>
            </w:pPr>
          </w:p>
        </w:tc>
      </w:tr>
      <w:tr>
        <w:trPr>
          <w:trHeight w:val="27"/>
        </w:trPr>
        <w:tc>
          <w:tcPr>
            <w:tcW w:w="5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6"/>
        </w:trPr>
        <w:tc>
          <w:tcPr>
            <w:tcW w:w="5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6"/>
        </w:trPr>
        <w:tc>
          <w:tcPr>
            <w:tcW w:w="5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2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920" w:type="dxa"/>
            <w:vAlign w:val="bottom"/>
          </w:tcPr>
          <w:p>
            <w:pPr>
              <w:spacing w:after="0"/>
              <w:rPr>
                <w:sz w:val="20"/>
                <w:szCs w:val="20"/>
                <w:color w:val="auto"/>
              </w:rPr>
            </w:pPr>
          </w:p>
        </w:tc>
      </w:tr>
      <w:tr>
        <w:trPr>
          <w:trHeight w:val="81"/>
        </w:trPr>
        <w:tc>
          <w:tcPr>
            <w:tcW w:w="5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4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139,423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132,235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7,188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7"/>
        </w:trPr>
        <w:tc>
          <w:tcPr>
            <w:tcW w:w="5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$7.2 million, or 5.4%, for the year ended December 31, 2024 as compared to the year ended December 31, 2023. The increase was driven primarily by an additional $4.4 million of personnel and compensation expense, a $2.4 million increase in software and tools, a $2.1 million increase in outsourced services, and a $1.6 million increase in</w:t>
      </w:r>
    </w:p>
    <w:p>
      <w:pPr>
        <w:sectPr>
          <w:pgSz w:w="11900" w:h="16838" w:orient="portrait"/>
          <w:cols w:equalWidth="0" w:num="1">
            <w:col w:w="11240"/>
          </w:cols>
          <w:pgMar w:left="320" w:top="13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stock-based compensation expense, partially offset by $2.5 million decrease in facility expense and $1.4 million decrease in bad debt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5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Pr>
          <w:p>
            <w:pPr>
              <w:spacing w:after="0"/>
              <w:rPr>
                <w:sz w:val="24"/>
                <w:szCs w:val="24"/>
                <w:color w:val="auto"/>
              </w:rPr>
            </w:pPr>
          </w:p>
        </w:tc>
      </w:tr>
      <w:tr>
        <w:trPr>
          <w:trHeight w:val="27"/>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6"/>
        </w:trPr>
        <w:tc>
          <w:tcPr>
            <w:tcW w:w="5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gridSpan w:val="4"/>
          </w:tcPr>
          <w:p>
            <w:pPr>
              <w:ind w:left="28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920" w:type="dxa"/>
            <w:vAlign w:val="bottom"/>
          </w:tcPr>
          <w:p>
            <w:pPr>
              <w:spacing w:after="0"/>
              <w:rPr>
                <w:sz w:val="20"/>
                <w:szCs w:val="20"/>
                <w:color w:val="auto"/>
              </w:rPr>
            </w:pPr>
          </w:p>
        </w:tc>
      </w:tr>
      <w:tr>
        <w:trPr>
          <w:trHeight w:val="81"/>
        </w:trPr>
        <w:tc>
          <w:tcPr>
            <w:tcW w:w="5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4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88,824</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104,201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(15,377)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5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decreased by $15.4 million, or 14.8%, for the year ended December 31, 2024 as compared to the year ended December 31, 2023. The reduction in depreciation and amortization was driven primarily by the reduced rate of replacement assets resulting from a slowdown in business acquisitions. Specifically, the decrease was driven primarily by $16.3 million in lower intangible assets’ amortization and a decrease of $0.8 million of property and equipment depreciation, partially offset by $1.8 million of additional capitalized software amortization.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Sale and Impairments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45"/>
        </w:trPr>
        <w:tc>
          <w:tcPr>
            <w:tcW w:w="5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Pr>
          <w:p>
            <w:pPr>
              <w:spacing w:after="0"/>
              <w:rPr>
                <w:sz w:val="24"/>
                <w:szCs w:val="24"/>
                <w:color w:val="auto"/>
              </w:rPr>
            </w:pPr>
          </w:p>
        </w:tc>
      </w:tr>
      <w:tr>
        <w:trPr>
          <w:trHeight w:val="27"/>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920" w:type="dxa"/>
            <w:vAlign w:val="bottom"/>
          </w:tcPr>
          <w:p>
            <w:pPr>
              <w:spacing w:after="0"/>
              <w:rPr>
                <w:sz w:val="20"/>
                <w:szCs w:val="20"/>
                <w:color w:val="auto"/>
              </w:rPr>
            </w:pPr>
          </w:p>
        </w:tc>
      </w:tr>
      <w:tr>
        <w:trPr>
          <w:trHeight w:val="81"/>
        </w:trPr>
        <w:tc>
          <w:tcPr>
            <w:tcW w:w="5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4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and impairments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39,709</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33,384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5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During the fourth quarter 2024, in conjunction with our review of strategic alternatives for our Marketing Technology Solutions, we evaluated the recoverability of our marketing technology reporting unit and determined that the estimated fair value was insufficient to recover the net carrying value of the reporting unit resulting in an impairment of goodwill of approximately $28.1 million (see </w:t>
      </w:r>
      <w:r>
        <w:rPr>
          <w:rFonts w:ascii="Times New Roman" w:cs="Times New Roman" w:eastAsia="Times New Roman" w:hAnsi="Times New Roman"/>
          <w:sz w:val="18"/>
          <w:szCs w:val="18"/>
          <w:i w:val="1"/>
          <w:iCs w:val="1"/>
          <w:color w:val="auto"/>
        </w:rPr>
        <w:t>Note 20. Subsequent Event</w:t>
      </w:r>
      <w:r>
        <w:rPr>
          <w:rFonts w:ascii="Times New Roman" w:cs="Times New Roman" w:eastAsia="Times New Roman" w:hAnsi="Times New Roman"/>
          <w:sz w:val="18"/>
          <w:szCs w:val="18"/>
          <w:color w:val="auto"/>
        </w:rPr>
        <w:t xml:space="preserve"> in this Annual Report on Form 10-K). In March 2024, we entered into definitive sale and purchase agreements to sell our Fitness Solutions (see </w:t>
      </w:r>
      <w:r>
        <w:rPr>
          <w:rFonts w:ascii="Times New Roman" w:cs="Times New Roman" w:eastAsia="Times New Roman" w:hAnsi="Times New Roman"/>
          <w:sz w:val="18"/>
          <w:szCs w:val="18"/>
          <w:i w:val="1"/>
          <w:iCs w:val="1"/>
          <w:color w:val="auto"/>
        </w:rPr>
        <w:t>Note 3. Acquisitions and Dispositions</w:t>
      </w:r>
      <w:r>
        <w:rPr>
          <w:rFonts w:ascii="Times New Roman" w:cs="Times New Roman" w:eastAsia="Times New Roman" w:hAnsi="Times New Roman"/>
          <w:sz w:val="18"/>
          <w:szCs w:val="18"/>
          <w:color w:val="auto"/>
        </w:rPr>
        <w:t xml:space="preserve"> included in this Annual Report on Form 10-K). During the year ended December 31, 2024, we recognized losses of $4.9 million related to the sale of Fitness Solutions and $6.4 million of goodwill impairment charges representing the allocated goodwill to Fitness Solutions. During the fourth quarter 2023, we determined that the estimated fair value of our fitness asset group was insufficient to recover the net carrying value of the asset group resulting in an</w:t>
      </w:r>
    </w:p>
    <w:p>
      <w:pPr>
        <w:spacing w:after="0" w:line="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impairment of long-lived assets of approximately $5.1 million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Additionally, we ceased use of certain leased premises and subleased certain facilities resulting in an impairment charge of $0.4 million and $1.2 million to impair the right-of-use lease assets to their fair value during the years ended December 31, 2024 and 2023, respectively.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5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Pr>
          <w:p>
            <w:pPr>
              <w:spacing w:after="0"/>
              <w:rPr>
                <w:sz w:val="24"/>
                <w:szCs w:val="24"/>
                <w:color w:val="auto"/>
              </w:rPr>
            </w:pPr>
          </w:p>
        </w:tc>
      </w:tr>
      <w:tr>
        <w:trPr>
          <w:trHeight w:val="27"/>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920" w:type="dxa"/>
            <w:vAlign w:val="bottom"/>
          </w:tcPr>
          <w:p>
            <w:pPr>
              <w:spacing w:after="0"/>
              <w:rPr>
                <w:sz w:val="20"/>
                <w:szCs w:val="20"/>
                <w:color w:val="auto"/>
              </w:rPr>
            </w:pPr>
          </w:p>
        </w:tc>
      </w:tr>
      <w:tr>
        <w:trPr>
          <w:trHeight w:val="81"/>
        </w:trPr>
        <w:tc>
          <w:tcPr>
            <w:tcW w:w="5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4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35,559</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(10,848)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7"/>
        </w:trPr>
        <w:tc>
          <w:tcPr>
            <w:tcW w:w="5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and other expense, net, decreased by $10.8 million, or 23.4%, for the year ended December 31, 2024 as compared to the year ended December 31, 2023 with the changes primarily driven by volatility of interest rates and the associated impact on the fair value of interest rate swaps. The decrease for the year ended December 31, 2024 was driven primarily by an unrealized gain of $6.4 million on interest rate swaps, as compared to an unrealized loss of $2.0 million in the comparative period, a $2.1 million increase in interest income, and a decrease of $1.9 million in interest expense as a result of lower variable base interest rates on the Company’s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46"/>
        </w:trPr>
        <w:tc>
          <w:tcPr>
            <w:tcW w:w="5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Pr>
          <w:p>
            <w:pPr>
              <w:spacing w:after="0"/>
              <w:rPr>
                <w:sz w:val="24"/>
                <w:szCs w:val="24"/>
                <w:color w:val="auto"/>
              </w:rPr>
            </w:pPr>
          </w:p>
        </w:tc>
      </w:tr>
      <w:tr>
        <w:trPr>
          <w:trHeight w:val="27"/>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4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920" w:type="dxa"/>
            <w:vAlign w:val="bottom"/>
          </w:tcPr>
          <w:p>
            <w:pPr>
              <w:spacing w:after="0"/>
              <w:rPr>
                <w:sz w:val="20"/>
                <w:szCs w:val="20"/>
                <w:color w:val="auto"/>
              </w:rPr>
            </w:pPr>
          </w:p>
        </w:tc>
      </w:tr>
      <w:tr>
        <w:trPr>
          <w:trHeight w:val="81"/>
        </w:trPr>
        <w:tc>
          <w:tcPr>
            <w:tcW w:w="5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4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(4,143)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252.8 %</w:t>
            </w:r>
          </w:p>
        </w:tc>
      </w:tr>
      <w:tr>
        <w:trPr>
          <w:trHeight w:val="27"/>
        </w:trPr>
        <w:tc>
          <w:tcPr>
            <w:tcW w:w="5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increased by $4.1 million, or 252.8%, for the year ended December 31, 2024 as compared to the year ended December 31, 2023, with the change driven primarily by an increase in U.S. federal and state income taxes and discrete items, including the sale of Fitness Solutions and the goodwill impairment of the marketing technology reporting unit.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our primary sources of liquidity have been net cash provided by operating activities, proceeds from equity issuances and proceeds from long-term debt.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utilize liquidity for items such as strategic investments in the ongoing transformation of our business and infrastructure, our business acquisitions (such as Kickserv) and share repurchases authorized through our Repurchase Program. For a description of our recent acquisitions, see </w:t>
      </w:r>
      <w:r>
        <w:rPr>
          <w:rFonts w:ascii="Times New Roman" w:cs="Times New Roman" w:eastAsia="Times New Roman" w:hAnsi="Times New Roman"/>
          <w:sz w:val="18"/>
          <w:szCs w:val="18"/>
          <w:i w:val="1"/>
          <w:iCs w:val="1"/>
          <w:color w:val="auto"/>
        </w:rPr>
        <w:t>Note 3. Acquisitions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Dispositions </w:t>
      </w:r>
      <w:r>
        <w:rPr>
          <w:rFonts w:ascii="Times New Roman" w:cs="Times New Roman" w:eastAsia="Times New Roman" w:hAnsi="Times New Roman"/>
          <w:sz w:val="18"/>
          <w:szCs w:val="18"/>
          <w:color w:val="auto"/>
        </w:rPr>
        <w:t>in the notes to the consolidated financial statements included in this Annual Report on Form 10-K. Absent significant deterioration of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we expect that working capital requirements, capital expenditures, acquisitions, the Company’s Repurchase Program (as defined below), debt servicing and lease obligations will be our principal needs for liquidity going forward.</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we had cash, cash equivalents and restricted cash of $135.8 million, $190.0 million of available borrowing capacity under our Revolver (as defined below) and $532.1 million outstanding under our Term Loan (as defined below). We believe that our existing cash, cash equivalents and restricted cash, availability under our Credit Facilities, and our cash flows from operations will be sufficient to fund our working capital requirements and planned capital expenditures, and to service our debt obligations for at least the next twelve months. However, our future working capital requirements will depend on many factors, including our rate of revenue growth, the timing and size of future acquisitions, and the timing of introductions of new products and services. If needed, additional funds may not be available on terms favorable to us, or at all. If we are unable to raise additional funds when desired, our business, financial condition and results of operations could be adversely affected. See Part I, Item 1A</w:t>
      </w:r>
      <w:r>
        <w:rPr>
          <w:rFonts w:ascii="Times New Roman" w:cs="Times New Roman" w:eastAsia="Times New Roman" w:hAnsi="Times New Roman"/>
          <w:sz w:val="18"/>
          <w:szCs w:val="18"/>
          <w:i w:val="1"/>
          <w:iCs w:val="1"/>
          <w:color w:val="auto"/>
        </w:rPr>
        <w:t>.“Risk Factors.”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cash flow data:</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8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40" w:type="dxa"/>
            <w:vAlign w:val="bottom"/>
          </w:tcPr>
          <w:p>
            <w:pPr>
              <w:spacing w:after="0"/>
              <w:rPr>
                <w:sz w:val="20"/>
                <w:szCs w:val="20"/>
                <w:color w:val="auto"/>
              </w:rPr>
            </w:pPr>
          </w:p>
        </w:tc>
      </w:tr>
      <w:tr>
        <w:trPr>
          <w:trHeight w:val="81"/>
        </w:trPr>
        <w:tc>
          <w:tcPr>
            <w:tcW w:w="8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113,163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104,605</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(38,020)</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(66,630)</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39,603</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$113.2 million for the year ended December 31, 2024, compared to $104.6 million for the year ended December 31, 2023. Changes in net cash provided by operating activities resulted primarily from cash received from net sales within our subscription and transaction fees and marketing technology solutions. Other drivers of the changes in net cash provided by operating activities include payments for personnel expenses for our employees, costs related to delivering our services and products, partner commissions, advertising and interest on our long-term debt.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cash provided for the year ended December 31, 2024 compared to the year ended December 31, 2023 was primarily due to an increase in cash collections from our subscription and transaction fees and marketing technology solutions, which includes revenues from payment processing of approximately $28.0 million and higher interest income of $2.0 million, partially offset by</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made to support the growth of our business including personnel expenses of $13.8 million, an increase in costs directly related to the delivery of our services and products of $7.0 million, and an increase in taxes of $1.4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net cash used in investing activities of $12.3 million was related primarily to costs to develop software of $17.4 million and $1.5 million for purchases of property and equipment, partially offset by proceeds from the sale of Fitness Solutions, net of transaction costs, cash and restricted cash sold for approximately $6.6 million.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net cash used in investing activities of $38.0 million was related primarily to costs to develop software of $20.0 million, the acquisition of Kickserv, net of cash acquired, for approximately $15.0 million and $3.0 million for purchases of property and equipment.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net cash used in financing activities of $59.6 million was related primarily to the repurchase and retirement of shares of our common stock of $57.7 million.</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net cash used in financing activities of $66.6 million was related primarily to the repurchase and retirement of shares of our common stock of $67.3 million.</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regarding our repurchase and retirement of shares of our common stock, refer to </w:t>
      </w:r>
      <w:r>
        <w:rPr>
          <w:rFonts w:ascii="Times New Roman" w:cs="Times New Roman" w:eastAsia="Times New Roman" w:hAnsi="Times New Roman"/>
          <w:sz w:val="18"/>
          <w:szCs w:val="18"/>
          <w:i w:val="1"/>
          <w:iCs w:val="1"/>
          <w:color w:val="auto"/>
        </w:rPr>
        <w:t>Note 11. Equity</w:t>
      </w:r>
      <w:r>
        <w:rPr>
          <w:rFonts w:ascii="Times New Roman" w:cs="Times New Roman" w:eastAsia="Times New Roman" w:hAnsi="Times New Roman"/>
          <w:sz w:val="18"/>
          <w:szCs w:val="18"/>
          <w:color w:val="auto"/>
        </w:rPr>
        <w:t xml:space="preserve"> in the notes to the consolidated financial statements included in this Annual Report on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0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are party to a credit agreement, as amended, that provides for one term loan for an aggregate principal amount of $550.0 million (“Term Loan”), a revolver with a capacity of $190.0 million (“Revolver”) and a sub-limit of the Revolver available for letters of credit up to an aggregate face amount of $20.0 million. These debt arrangements are collectively referred to herein as the “Credit Facilities”.</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Simultaneously with the execution of the Credit Facilities, we and various of our subsidiaries entered into a collateral agreement and guarantee agreement. Pursuant to the guarantee agreement, EverCommerce Intermediate Inc. and various of our subsidiaries are guarantors of the obligations under the Credit Facilities. Pursuant to the collateral agreement, the Credit Facilities are secured by liens on substantially all of our assets, including our intellectual property and the equity interests of our various subsidiaries, including EverCommerce Solutions Inc.</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Facilities contain certain affirmative and negative covenants, including, among other things, restrictions on indebtedness, issuance of preferred equity interests, liens, fundamental changes and asset sales, investments, negative pledges, repurchases of stock, dividends and other distributions, and transactions with affiliates. In addition, we are subject to a financial covenant with respect to the Revolver whereby, if the aggregate principal amount of revolving loans (excluding letters of credit) outstanding on the last day of any fiscal quarter exceeds 35% of the aggregate commitments available under the Revolver, then our first lien leverage ratio as of the last day of such fiscal quarter must be 7.50 to 1.00 or less.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ABR borrowings, interest payments are due on a quarterly basis on the last business day of each March, June, September and December. With respect to Eurocurrency borrowings, interest payments are due on the last business day of the interest period applicable to the borrowing and, in the case of a Eurocurrency borrowing with an interest period of more than three months’ duration, each day prior to the last day of such interest period that occurs at intervals of three months’ duration after the first day of such interest period.</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as of July 1, 2023, borrowings under the Credit Facilities bear interest at the Company’s option at ABR plus an applicable rate, or at a forward-looking term rate based upon the secured overnight financing rate (“SOFR”), plus (i) (a) with respect to the Term Loan, credit spread adjustments of 0.11448%, 0.26161%, 0.42826% and 0.71513% for interest periods of one, three, six and twelve months, respectively, and (b) with respect to revolving loans, a credit spread adjustment of 0.0% (“Adjusted SOFR”) plus (ii) an applicable rate, in each case with such applicable rate based on the Company’s first lien net leverage ratio. The ABR represents the highest of the prime rate, Federal Reserve Bank of New York rate plus ½ of 1%, and the Adjusted SOFR for a one month interest period plus 1%. The applicable rate for the Term Loan and the Revolver was 3.0% for Adjusted SOFR borrowings and 2.0% for ABR borrowings, in each case subject to change based on our first lien net leverage ratio.</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13, 2024, the Company entered into an amendment (the “Amendment”) to the Credit Facilities to reduce the applicable margin and remove the credit spread adjustment from the existing Term Loan in their entirety in an aggregate principal amount of $533.5 million. Following the Amendment, the Term Loan bears interest, at the borrower’s election, at (x) a forward-looking term rate based upon SOFR plus an applicable margin of 2.50%, with a minimum forward-looking SOFR rate 0.50% or (y) ABR plus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65" w:name="page66"/>
    <w:bookmarkEnd w:id="65"/>
    <w:p>
      <w:pPr>
        <w:jc w:val="both"/>
        <w:spacing w:after="0" w:line="266" w:lineRule="auto"/>
        <w:rPr>
          <w:sz w:val="20"/>
          <w:szCs w:val="20"/>
          <w:color w:val="auto"/>
        </w:rPr>
      </w:pPr>
      <w:r>
        <w:rPr>
          <w:rFonts w:ascii="Times New Roman" w:cs="Times New Roman" w:eastAsia="Times New Roman" w:hAnsi="Times New Roman"/>
          <w:sz w:val="18"/>
          <w:szCs w:val="18"/>
          <w:color w:val="auto"/>
        </w:rPr>
        <w:t>applicable margin of 1.50%, with a minimum ABR of 1.50%, in each case, with no step-downs. The credit spread adjustment was removed in connection with the Amendment. The refinanced Term Loan priced at par and refinanced all of the existing term loans outstanding under the Credit Agreement immediately prior to giving effect to the Amendment.</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in late 2022, we executed a series of three interest rate swaps (for total notional amounts of $425 million) to convert a portion of the floating rate component of our Term Loan to a fixed rate. Effective October 31, 2022, we entered into an interest rate swap agreement in connection with the Company’s Credit Facilities for a notional amount of $200.0 million (the “Initial Swap”). The Initial Swap has a term of five years with a fixed rate in the agreement of 4.212% as amended in June 2023. Additionally, effective March 31, 2023, the Company entered into a second interest rate swap agreement in connection with our Credit Facilities for a notional amount of $100.0 million (the “Second Swap”). The Second Swap has a term of approximately 4.5 years with a fixed rate in the agreement of 3.951%, as amended in June 2023. Additionally, effective September 20, 2024, the Company entered into a third interest rate swap agreement in connection with our Credit Facilities for a notional amount of $125.0 million (the “Third Swap”). The Third Swap has a term of approximately 3.0 years with a fixed rate in the agreement of 3.395%.</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Revolver has a variable commitment fee, which is based on our first lien leverage ratio. We expect the commitment fee to range from 0.25% to 0.375% per annum. We are obligated to pay a fixed fronting fee for letters of credit of 0.125% per annum.</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borrowed under the Revolver may be repaid and re-borrowed through maturity of the Revolver in July 2026. The Term Loans mature in July 2028. The Term Loan may be repaid or prepaid but may not be re-borrowed.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there was $532.1 million outstanding under our Credit Facilities, all of which was related to the Term Loan as no amounts were outstanding under the Revolver. The effective interest rate on the Term Loan was approximately 8.6% for the year ended December 31, 2024, excluding the effect of any interest rate swap agreements.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were in compliance with the covenants under the Credit Facilities.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14, 2022, our Board approved a stock repurchase program (as subsequently amended, the “Repurchase Program”) with authorization to purchase up to $50.0 million in shares of the Company’s common stock through the expiration of the program on December 21, 2022. On November 7, 2022, November 5, 2023, and May 21, 2024, our Board increased the authorization of the Repurchase Program by an additional $50.0 million in shares of the Company’s common stock on each date for a total authorization to repurchase up to $200.0 million in shares of the Company’s common stock, and most recently extended the expiration of the Repurchase Program through December 31, 2025. Repurchases under the program may be made in the open market, in privately negotiated transactions or otherwise, with the amount and timing of repurchases to be determined at the Company’s discretion, depending on market conditions and corporate needs. The Repurchase Program does not obligate the Company to acquire any particular amount of common stock and may be modified, suspended or terminated at any time at the discretion of the Board. The Company expects to fund repurchases with existing cash on hand.</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repurchased and retired 5.7 million shares of common stock for $57.7 million, including transaction fees and taxes, during the year ended December 31, 2024. As of December 31, 2024, $32.7 million remains available under the Repurchase Program.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Notes 9. Leases, 10. Long-Term Debt and 17. Commitments and Contingencies</w:t>
      </w:r>
      <w:r>
        <w:rPr>
          <w:rFonts w:ascii="Times New Roman" w:cs="Times New Roman" w:eastAsia="Times New Roman" w:hAnsi="Times New Roman"/>
          <w:sz w:val="18"/>
          <w:szCs w:val="18"/>
          <w:color w:val="auto"/>
        </w:rPr>
        <w:t xml:space="preserve"> in the notes to the consolidated financial statements included in this Annual Report on Form 10-K for a discussion of our operating lease, debt and contractual obligations,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statements are prepared in accordance with U.S. GAAP. The preparation of our financial statements in conformity with U.S. GAAP requires us to make estimates and assumptions that affect certain reported amounts of assets and liabilities and disclosure of contingent assets and liabilities at the date of the financial statements and the reported amounts of revenue and expenses during the reporting period.</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While our significant accounting policies are described in further detail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this Annual Report on Form 10-K, we believe that the following accounting policies are those most critical to the judgments and estimates used in the preparation of our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are derived from subscription and transaction fees, marketing technology solutions, and other revenues. We recognize revenue when our customers obtain control of goods or services in an amount that reflects the consideration that we expect to receive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66" w:name="page67"/>
    <w:bookmarkEnd w:id="66"/>
    <w:p>
      <w:pPr>
        <w:jc w:val="both"/>
        <w:spacing w:after="0" w:line="266" w:lineRule="auto"/>
        <w:rPr>
          <w:sz w:val="20"/>
          <w:szCs w:val="20"/>
          <w:color w:val="auto"/>
        </w:rPr>
      </w:pPr>
      <w:r>
        <w:rPr>
          <w:rFonts w:ascii="Times New Roman" w:cs="Times New Roman" w:eastAsia="Times New Roman" w:hAnsi="Times New Roman"/>
          <w:sz w:val="18"/>
          <w:szCs w:val="18"/>
          <w:color w:val="auto"/>
        </w:rPr>
        <w:t>in exchange for those goods or services. In determining the total consideration that we expect to receive, we include variable consideration only to the extent that it is probable that a significant reversal of cumulative revenue will not occur when the uncertainty is resolved. There have not been any material changes during 2024 in the underlying estimates and assumptions in determining probability of variable consideration.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and Transaction Fees: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revenue primarily consists of the sale of SaaS offerings, software licenses and related support services and payment processing services.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within our software subscription services is dictated by the nature of the underlying performance obligation. SaaS offerings and license support services are generally recognized ratably over the contractual period that the services are delivered, beginning on the date our service is made available to customers, while on-premise perpetual or term licenses are generally recognized at the point in time when the software is made available to the customer to download or use. Subscription revenue-related contracts can be both short and long-term, with stated contract terms that range from one month to five years. Our contracts may contain termination for convenience provisions that allow the Company, customer or both parties the ability to terminate for convenience, either at any time or upon providing a specified notice period, without a penalty.</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Transaction fees relate to payment processing and group purchasing program administration services. In fulfillment of our payment processing services, we partner with third-party merchants and processors who assist us in fulfillment of our obligations to customers. We have concluded that we do not possess the ability to control the underlying services provided by third parties in the fulfillment of our obligations to customers and therefore recognize revenue net of interchange fees retained by the card issuing financial institutions and fees charged by payment networks. Transaction services contracts with customers are generally for a term of one month and automatically renew each month.</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receive rebates from contracted suppliers in exchange for our program administration services. Rebates earned are based on a defined percentage of the purchase price of goods and services sold to members. Administration services contracts with customers are generally for an annual or monthly term and renew automatically upon lapse of the current term.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Technology Solutions: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technology solutions consist of digital advertising management and consumer connection services.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generated from digital advertising management services is recognized on a ratable basis over the service period as the customer simultaneously receives and consumes the benefits of the management services evenly throughout the contract period. Revenue generated from consumer connection services may be recognized at either a point-in-time or an over-time basis as each connection is delivered.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technology solutions service related contracts are typically short-term with stated contract terms that are less than one year.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revenues generally consist of fees associated with the sale of distinct professional services and hardware. Contract terms for other revenue arrangements are generally short-term, with stated contract terms that are less than one year.</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professional services associated with our subscription revenue generally relate to standard implementation, configuration, installation, or training services applied to both SaaS and on-premise deployment models. Marketing revenue related professional service fees are derived from website design, creation or enhancement services. Professional service revenue is recognized over time as the services are performed, as the customer simultaneously receives and consumes the benefit of these services.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 and Standalone Selling Price: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contracts at times include the sale of multiple promised goods or services that have been determined to be distinct. The transaction price for contracts with multiple performance obligations is allocated based on the relative stand-alone selling price of each performance obligation within the contract.</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Judgement can be involved when determining the stand-alone selling price of products and services. For the majority of the Company’s SaaS, on-premise license and professional services, we establish a stand-alone selling price based on observable selling prices to similar classes of customers. If the stand-alone selling price is not observable through past transactions, we estimate the stand-alone selling price taking into consideration available information such as market conditions and internally approved pricing guidelines related to the performance obligation. As permitted under ASC 606, at times we have established the stand-alone selling price of performance obligations as a range and utilize this range to determine whether there is a discount that needs to be allocated based on the relative stand-alone selling price of the various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67" w:name="page68"/>
    <w:bookmarkEnd w:id="67"/>
    <w:p>
      <w:pPr>
        <w:jc w:val="both"/>
        <w:spacing w:after="0" w:line="261" w:lineRule="auto"/>
        <w:rPr>
          <w:sz w:val="20"/>
          <w:szCs w:val="20"/>
          <w:color w:val="auto"/>
        </w:rPr>
      </w:pPr>
      <w:r>
        <w:rPr>
          <w:rFonts w:ascii="Times New Roman" w:cs="Times New Roman" w:eastAsia="Times New Roman" w:hAnsi="Times New Roman"/>
          <w:sz w:val="18"/>
          <w:szCs w:val="18"/>
          <w:color w:val="auto"/>
        </w:rPr>
        <w:t>At contract inception, we perform a review of each performance obligation’s selling price against the established stand-alone selling price range. If any performance obligations are priced outside of the established stand-alone selling price range, we reallocate the total transaction price to each performance obligation based on the relative stand-alone selling price for each performance. The established range is reassessed on a periodic basis when facts and circumstances surrounding these established ranges change.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Recoverability</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perform an impairment test annually in the fourth quarter or whenever events or changes in circumstances indicate that the carrying value of goodwill might not be fully recoverable. In accordance with applicable accounting guidance, a company can assess qualitative factors to determine whether it is necessary to perform a goodwill impairment test or may elect to proceed directly to a quantitative goodwill impairment test. For the year ended December 31, 2023 the Company performed a quantitative assessment, which resulted in substantial excess of estimated fair value over net carrying value for each reporting unit. The qualitative annual impairment assessment for the year ended December 31, 2024 excluded the marketing technology reporting unit as discussed below. For the quantitative assessment, we use a weighted combination of a discounted cash flow model (known as the income approach) and comparisons to publicly traded companies engaged in similar businesses (known as the market approach). The income approach requires us to use a number of assumptions, including market factors specific to the business, the amount and timing of estimated future cash flows over an extended period of time, long-term growth rates for the business and a rate of return that considers the relative risk of achieving the cash flows and the time value of money. As part of the market approach, we make judgments about the comparability of publicly traded companies engaged in similar businesses. For the qualitative assessments, we reviewed factors including macroeconomic conditions, industry and market conditions, cost factors, overall financial performance, changes in any key personnel, any changes in composition of carrying amount of our assets and changes in our stock price. There were no reasonable changes to the methods and assumptions that would have resulted in an impairment. In the future, if there are material changes in the underlying estimates and assumptions pertaining to the impairment assessment, the financial statements could be materially impacted. For the years ended December 31, 2023 and 2022, we determined that it was more likely than not that the fair value of each of our reporting units was more than the respective related carrying amounts, including goodwill, and therefore did not record any goodwill impairment.</w:t>
      </w:r>
    </w:p>
    <w:p>
      <w:pPr>
        <w:spacing w:after="0" w:line="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performed a qualitative annual impairment assessment for the year ended December 31, 2024 and 2022, which resulted in substantial excess of estimated fair value over net carrying value for each reporting unit, except for the marketing technology reporting unit for the year ended December 31, 2024 as further described below. As a result of this qualitative assessment for the year ended December 31, 2024, we performed a further quantitative evaluation for the marketing technology reporting unit.</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During the fourth quarter 2024, in conjunction with our review of strategic alternatives for our Marketing Technology Solutions, and as a result of lower than expected financial performance and future forecasted growth rates we determined that the estimated fair value of our marketing technology reporting unit was insufficient to recover the net carrying value of the reporting unit resulting in an impairment of goodwill of approximately $28.1 million (see </w:t>
      </w:r>
      <w:r>
        <w:rPr>
          <w:rFonts w:ascii="Times New Roman" w:cs="Times New Roman" w:eastAsia="Times New Roman" w:hAnsi="Times New Roman"/>
          <w:sz w:val="18"/>
          <w:szCs w:val="18"/>
          <w:i w:val="1"/>
          <w:iCs w:val="1"/>
          <w:color w:val="auto"/>
        </w:rPr>
        <w:t>Note</w:t>
      </w:r>
    </w:p>
    <w:p>
      <w:pPr>
        <w:spacing w:after="0" w:line="1" w:lineRule="exact"/>
        <w:rPr>
          <w:sz w:val="20"/>
          <w:szCs w:val="20"/>
          <w:color w:val="auto"/>
        </w:rPr>
      </w:pPr>
    </w:p>
    <w:p>
      <w:pPr>
        <w:jc w:val="both"/>
        <w:ind w:firstLine="8"/>
        <w:spacing w:after="0" w:line="255" w:lineRule="auto"/>
        <w:tabs>
          <w:tab w:leader="none" w:pos="283"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Subsequent Event </w:t>
      </w:r>
      <w:r>
        <w:rPr>
          <w:rFonts w:ascii="Times New Roman" w:cs="Times New Roman" w:eastAsia="Times New Roman" w:hAnsi="Times New Roman"/>
          <w:sz w:val="18"/>
          <w:szCs w:val="18"/>
          <w:color w:val="auto"/>
        </w:rPr>
        <w:t>included in this Annual Report on Form 10-K). In connection with the definitive sale and purchase agreements to sell our fitness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solutions, we tested the goodwill balance for impairment as of March 31, 2024 and recognized a goodwill impairment of $6.4 million representing the allocated goodwill for Fitness Solutions (see </w:t>
      </w:r>
      <w:r>
        <w:rPr>
          <w:rFonts w:ascii="Times New Roman" w:cs="Times New Roman" w:eastAsia="Times New Roman" w:hAnsi="Times New Roman"/>
          <w:sz w:val="18"/>
          <w:szCs w:val="18"/>
          <w:i w:val="1"/>
          <w:iCs w:val="1"/>
          <w:color w:val="auto"/>
        </w:rPr>
        <w:t>Note 3. Acquisitions and Dispositions</w:t>
      </w:r>
      <w:r>
        <w:rPr>
          <w:rFonts w:ascii="Times New Roman" w:cs="Times New Roman" w:eastAsia="Times New Roman" w:hAnsi="Times New Roman"/>
          <w:sz w:val="18"/>
          <w:szCs w:val="18"/>
          <w:color w:val="auto"/>
        </w:rPr>
        <w:t xml:space="preserve"> included in this Annual Report on Form 10-K).</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Intangible assets are initially valued at fair value using generally accepted valuation methods appropriate for the type of intangible asset. Intangible assets with definite lives are amortized over their estimated useful lives and are reviewed for impairment if indicators of impairment arise. Indicators we reviewed included whether there was a significant decrease in market prices of our assets, a significant adverse change in the extent or manner in which our assets are being used, a significant adverse change in legal factors affecting our assets and a cash flow loss. During the fourth quarter 2023, we determined that the estimated fair value of our fitness asset group was insufficient to recover the net carrying value of the asset group resulting in an impairment of long-lived assets of approximately $5.1 million, of which $3.1 million was attributable to intangible assets. The Company did not identify indicators of impairment for the year ended December 31, 2022. In the future, if there are material changes in the underlying estimates and assumptions pertaining to the impairment assessment, the financial statements could be materially impacted.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income tax assets and liabilities are determined based upon the net tax effect of the differences between the financial statement carrying amounts and the tax basis of assets and liabilities and are measured using the enacted tax rate expected to apply to taxable income or loss in the years in which the differences are expected to be reversed. A valuation allowance is used to reduce some or all of the deferred tax assets if, based upon the weight of available evidence, it is more likely than not that those deferred tax assets will not be realized. In making such determination, we consider all available positive and negative evidence, including future reversals of existing taxable temporary differences, projected future taxable income, tax planning strategies, recent financial operations and their associated valuation allowances,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68" w:name="page69"/>
    <w:bookmarkEnd w:id="68"/>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when it is more likely than not, based on the technical merits of the position, that the tax position will be sustained upon examination, including the resolution of any related appeals or litigation. The tax benefits recognized in the consolidated financial statements from such a position are measured as the largest benefit that has a greater than fifty percent likelihood of being realized upon ultimate resolution.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an additional $13.0 million and $4.1 million in valuation allowance on our deferred tax assets in 2024 and 2023, respectively, using the aforementioned approach. The Company recorded $0.1 million and $0.2 million in unrecognized tax benefits for the years ended December 31, 2024 and 2023, respectively.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Valuation allowances are currently assessed based on scheduling the reversal of temporary differences, without consideration to future projections of income, given the Company’s history of losses. This approach may change in the future, requiring the use of estimates or assumptions with regard to future taxable income in assessing the need for and quantum of valuation allowances.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this Annual Report on Form 10-K for a discussion of accounting pronouncements recently adopted and recently issued accounting pronouncements not yet adopted and their potential impact to our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Under the Jumpstart Our Business Startups Act of 2012</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qualifies as an “emerging growth company” under the Jumpstart Our Business Startups Act of 2012, or the JOBS Act. Accordingly, the Company is provided the option to adopt new or revised accounting guidance either (i) within the same periods as those otherwise applicable to non-emerging growth companies or (ii) within the same time periods as private companies.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to adopt new or revised accounting guidance within the same time period as private companies, unless management determines it is preferable to take advantage of early adoption provisions offered within the applicable guidance.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business. Market risk represents the risk of loss that may impact our financial position due to adverse changes in financial market prices and rates. Our market risk exposure is primarily a result of fluctuations in interest rates and foreign currency exchange risk. We do not hold or issue financial instruments for speculative or trading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hold cash and cash equivalents for working capital purposes. We do not have material exposure to market risk with respect to investments. We have mitigated a majority of our market risks related to fluctuations in interest rates on amounts borrowed under the Credit Facility by entering into interest rate swap agreements, which cover $425.0 million of our $532.1 million outstanding under our Term Loan as of December 31, 2024. Following an amendment in December 2024, the Term Loan bears interest, at the borrower’s election, at (x) a forward-looking term rate based upon SOFR plus an applicable margin of 2.50%, with a minimum forward-looking SOFR rate 0.50% or (y) ABR plus an applicable margin of 1.50%, with a minimum ABR of 1.50%, in each case, with no step-downs. As of December 31, 2024, we had no amounts outstanding under our Revolving Loan.</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Beginning in late 2022, we executed a series of three interest rate swaps (for total notional amounts of $425 million) to convert a portion of the floating rate component of our Term Loan to a fixed rate. Effective October 31, 2022, the Company entered into the Initial Swap in connection with the Company’s Credit Facilities for a notional amount of $200.0 million. The Initial Swap has a term of five years with a fixed rate in the agreement of 4.2120%, as amended in June 2023. Additionally, effective March 31, 2023, the Company entered into a Second Swap in connection with the Company’s Credit Facilities for a notional amount of $100.00 million. The Second Swap agreement has a term of approximately 4.5 years with a fixed rate in the agreement of 3.951%, as amended in June 2023. On September 20, 2024, the Company entered into a Third Swap in connection with the Company’s Credit Facilities for a notional amount of $125.0 million. The Third Swap agreement has a term of approximately 3.0 years with a fixed rate in the agreement of 3.395%.</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outstanding balance of the Credit Facilities as of December 31, 2024, for every 100 basis point increase in the Adjusted SOFR rate, we would incur approximately $1.1 million of additional annual interest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foreign currency risks related to certain of our foreign subsidiaries, primarily in Canada, Jordan, the United Kingdom, New Zealand and Australia. The functional currencies of our significant foreign operations include the Canadian dollar, Great British pound, Australian dollar and the New Zealand dollar. We do not believe that a 10% change in the relative value of the U.S. dollar to other foreign currencies would have a material effect on our cash flows and operating results.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do not hedge foreign currency exposure. We may in the future hedge our foreign currency exposure and may use currency forward contracts, currency options or other common derivative financial instruments to reduce foreign currency risk. It is difficult to predict the effect that future hedging activities would have on our operating results.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8"/>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800" w:type="dxa"/>
            <w:vAlign w:val="bottom"/>
          </w:tcPr>
          <w:p>
            <w:pPr>
              <w:spacing w:after="0"/>
              <w:rPr>
                <w:sz w:val="20"/>
                <w:szCs w:val="20"/>
                <w:color w:val="auto"/>
              </w:rPr>
            </w:pPr>
          </w:p>
        </w:tc>
      </w:tr>
      <w:tr>
        <w:trPr>
          <w:trHeight w:val="445"/>
        </w:trPr>
        <w:tc>
          <w:tcPr>
            <w:tcW w:w="10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10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4"/>
        </w:trPr>
        <w:tc>
          <w:tcPr>
            <w:tcW w:w="10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0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0042)</w:t>
            </w:r>
          </w:p>
        </w:tc>
        <w:tc>
          <w:tcPr>
            <w:tcW w:w="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II-23</w:t>
            </w:r>
          </w:p>
        </w:tc>
      </w:tr>
      <w:tr>
        <w:trPr>
          <w:trHeight w:val="243"/>
        </w:trPr>
        <w:tc>
          <w:tcPr>
            <w:tcW w:w="10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II-24</w:t>
            </w:r>
          </w:p>
        </w:tc>
      </w:tr>
      <w:tr>
        <w:trPr>
          <w:trHeight w:val="27"/>
        </w:trPr>
        <w:tc>
          <w:tcPr>
            <w:tcW w:w="10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0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 for the years ended December 31, 2024, 2023 and 2022</w:t>
            </w:r>
          </w:p>
        </w:tc>
        <w:tc>
          <w:tcPr>
            <w:tcW w:w="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II-25</w:t>
            </w:r>
          </w:p>
        </w:tc>
      </w:tr>
      <w:tr>
        <w:trPr>
          <w:trHeight w:val="243"/>
        </w:trPr>
        <w:tc>
          <w:tcPr>
            <w:tcW w:w="10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 ended December 31, 2024, 2023 and 2022</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II-26</w:t>
            </w:r>
          </w:p>
        </w:tc>
      </w:tr>
      <w:tr>
        <w:trPr>
          <w:trHeight w:val="27"/>
        </w:trPr>
        <w:tc>
          <w:tcPr>
            <w:tcW w:w="10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0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2023 and 2022</w:t>
            </w:r>
          </w:p>
        </w:tc>
        <w:tc>
          <w:tcPr>
            <w:tcW w:w="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II-27</w:t>
            </w:r>
          </w:p>
        </w:tc>
      </w:tr>
      <w:tr>
        <w:trPr>
          <w:trHeight w:val="243"/>
        </w:trPr>
        <w:tc>
          <w:tcPr>
            <w:tcW w:w="10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II-28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71" w:name="page72"/>
    <w:bookmarkEnd w:id="71"/>
    <w:p>
      <w:pPr>
        <w:ind w:left="35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EverCommerce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EverCommerce Inc. (the Company) as of December 31, 2024 and 2023, the related consolidated statements of operations and comprehensive loss,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72" w:name="page73"/>
    <w:bookmarkEnd w:id="7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36"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22"/>
          <w:szCs w:val="22"/>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5195570</wp:posOffset>
            </wp:positionH>
            <wp:positionV relativeFrom="paragraph">
              <wp:posOffset>27940</wp:posOffset>
            </wp:positionV>
            <wp:extent cx="19202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4"/>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92,609</w:t>
            </w: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for expected credit losses of $5.5 million and $6.2 million at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 and 2023,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45,417</w:t>
            </w: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22,434</w:t>
            </w:r>
          </w:p>
        </w:tc>
      </w:tr>
      <w:tr>
        <w:trPr>
          <w:trHeight w:val="23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218,314</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180,147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w:t>
            </w: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Capitalized software,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42,722</w:t>
            </w: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226,840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315,519</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886,304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927,431</w:t>
            </w:r>
          </w:p>
        </w:tc>
      </w:tr>
      <w:tr>
        <w:trPr>
          <w:trHeight w:val="236"/>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1,421,268</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1,518,064</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w:t>
            </w: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66,265</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24,082</w:t>
            </w: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 deposits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3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110,726</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117,376</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debt, net of current maturities and deferred financing costs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522,442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526,696</w:t>
            </w: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47,956</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670,442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692,028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5"/>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$0.00001 par value, 50,000,000 shares authorized and no shares issued or outstanding as of</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December 31, 2024 and 2023</w:t>
            </w:r>
          </w:p>
        </w:tc>
        <w:tc>
          <w:tcPr>
            <w:tcW w:w="3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$0.00001 par value, 2,000,000,000 shares authorized and 183,725,236 and 186,934,031 shares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at December 31, 2024 and 2023,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1,426,206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1,454,026</w:t>
            </w:r>
          </w:p>
        </w:tc>
      </w:tr>
      <w:tr>
        <w:trPr>
          <w:trHeight w:val="243"/>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(661,064)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(619,975)</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750,826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826,036</w:t>
            </w:r>
          </w:p>
        </w:tc>
      </w:tr>
      <w:tr>
        <w:trPr>
          <w:trHeight w:val="263"/>
        </w:trPr>
        <w:tc>
          <w:tcPr>
            <w:tcW w:w="81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1,421,268</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1,518,064</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548,344</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520,234</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465,345</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technology solutions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129,271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134,596</w:t>
            </w: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20,805</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698,765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675,369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620,746</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presented separately below)</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228,379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217,375</w:t>
            </w: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123,561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119,059</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71,622</w:t>
            </w: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139,423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132,235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132,483</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110,801</w:t>
            </w: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sale and impairments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698,513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672,943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651,340</w:t>
            </w:r>
          </w:p>
        </w:tc>
        <w:tc>
          <w:tcPr>
            <w:tcW w:w="0" w:type="dxa"/>
            <w:vAlign w:val="bottom"/>
          </w:tcPr>
          <w:p>
            <w:pPr>
              <w:spacing w:after="0"/>
              <w:rPr>
                <w:sz w:val="1"/>
                <w:szCs w:val="1"/>
                <w:color w:val="auto"/>
              </w:rPr>
            </w:pPr>
          </w:p>
        </w:tc>
      </w:tr>
      <w:tr>
        <w:trPr>
          <w:trHeight w:val="237"/>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(30,594)</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(35,559)</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(46,407)</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(33,902)</w:t>
            </w:r>
          </w:p>
        </w:tc>
        <w:tc>
          <w:tcPr>
            <w:tcW w:w="0" w:type="dxa"/>
            <w:vAlign w:val="bottom"/>
          </w:tcPr>
          <w:p>
            <w:pPr>
              <w:spacing w:after="0"/>
              <w:rPr>
                <w:sz w:val="1"/>
                <w:szCs w:val="1"/>
                <w:color w:val="auto"/>
              </w:rPr>
            </w:pPr>
          </w:p>
        </w:tc>
      </w:tr>
      <w:tr>
        <w:trPr>
          <w:trHeight w:val="237"/>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 before income tax (expense) benefit</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(35,307)</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(43,981)</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0" w:type="dxa"/>
            <w:vAlign w:val="bottom"/>
          </w:tcPr>
          <w:p>
            <w:pPr>
              <w:spacing w:after="0"/>
              <w:rPr>
                <w:sz w:val="1"/>
                <w:szCs w:val="1"/>
                <w:color w:val="auto"/>
              </w:rPr>
            </w:pPr>
          </w:p>
        </w:tc>
      </w:tr>
      <w:tr>
        <w:trPr>
          <w:trHeight w:val="237"/>
        </w:trPr>
        <w:tc>
          <w:tcPr>
            <w:tcW w:w="67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(41,089)</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(45,620)</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gain:</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(loss) gain, net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67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and diluted weighted-average shares of common stock outstanding used in computing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184,897,709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188,938,892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194,624,968</w:t>
            </w:r>
          </w:p>
        </w:tc>
        <w:tc>
          <w:tcPr>
            <w:tcW w:w="0" w:type="dxa"/>
            <w:vAlign w:val="bottom"/>
          </w:tcPr>
          <w:p>
            <w:pPr>
              <w:spacing w:after="0"/>
              <w:rPr>
                <w:sz w:val="1"/>
                <w:szCs w:val="1"/>
                <w:color w:val="auto"/>
              </w:rPr>
            </w:pPr>
          </w:p>
        </w:tc>
      </w:tr>
      <w:tr>
        <w:trPr>
          <w:trHeight w:val="234"/>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per share</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80" w:type="dxa"/>
            <w:vAlign w:val="bottom"/>
          </w:tcPr>
          <w:p>
            <w:pPr>
              <w:spacing w:after="0"/>
              <w:rPr>
                <w:sz w:val="16"/>
                <w:szCs w:val="16"/>
                <w:color w:val="auto"/>
              </w:rPr>
            </w:pPr>
          </w:p>
        </w:tc>
        <w:tc>
          <w:tcPr>
            <w:tcW w:w="13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8"/>
                <w:szCs w:val="18"/>
                <w:color w:val="auto"/>
              </w:rPr>
            </w:pPr>
          </w:p>
        </w:tc>
        <w:tc>
          <w:tcPr>
            <w:tcW w:w="1300" w:type="dxa"/>
            <w:vAlign w:val="bottom"/>
            <w:tcBorders>
              <w:bottom w:val="single" w:sz="8" w:color="auto"/>
            </w:tcBorders>
            <w:gridSpan w:val="3"/>
            <w:vMerge w:val="continue"/>
          </w:tcPr>
          <w:p>
            <w:pPr>
              <w:spacing w:after="0"/>
              <w:rPr>
                <w:sz w:val="18"/>
                <w:szCs w:val="18"/>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3"/>
        </w:trPr>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jc w:val="right"/>
              <w:ind w:right="111"/>
              <w:spacing w:after="0" w:line="153" w:lineRule="exact"/>
              <w:rPr>
                <w:sz w:val="20"/>
                <w:szCs w:val="20"/>
                <w:color w:val="auto"/>
              </w:rPr>
            </w:pPr>
            <w:r>
              <w:rPr>
                <w:rFonts w:ascii="Times New Roman" w:cs="Times New Roman" w:eastAsia="Times New Roman" w:hAnsi="Times New Roman"/>
                <w:sz w:val="16"/>
                <w:szCs w:val="16"/>
                <w:b w:val="1"/>
                <w:bCs w:val="1"/>
                <w:color w:val="auto"/>
              </w:rPr>
              <w:t>Paid-In</w:t>
            </w:r>
          </w:p>
        </w:tc>
        <w:tc>
          <w:tcPr>
            <w:tcW w:w="3100" w:type="dxa"/>
            <w:vAlign w:val="bottom"/>
            <w:gridSpan w:val="6"/>
          </w:tcPr>
          <w:p>
            <w:pPr>
              <w:ind w:left="20"/>
              <w:spacing w:after="0" w:line="153" w:lineRule="exact"/>
              <w:rPr>
                <w:sz w:val="20"/>
                <w:szCs w:val="20"/>
                <w:color w:val="auto"/>
              </w:rPr>
            </w:pPr>
            <w:r>
              <w:rPr>
                <w:rFonts w:ascii="Times New Roman" w:cs="Times New Roman" w:eastAsia="Times New Roman" w:hAnsi="Times New Roman"/>
                <w:sz w:val="16"/>
                <w:szCs w:val="16"/>
                <w:b w:val="1"/>
                <w:bCs w:val="1"/>
                <w:color w:val="auto"/>
              </w:rPr>
              <w:t>Accumulated Comprehensive Stockholders’</w:t>
            </w:r>
          </w:p>
        </w:tc>
        <w:tc>
          <w:tcPr>
            <w:tcW w:w="0" w:type="dxa"/>
            <w:vAlign w:val="bottom"/>
          </w:tcPr>
          <w:p>
            <w:pPr>
              <w:spacing w:after="0"/>
              <w:rPr>
                <w:sz w:val="1"/>
                <w:szCs w:val="1"/>
                <w:color w:val="auto"/>
              </w:rPr>
            </w:pPr>
          </w:p>
        </w:tc>
      </w:tr>
      <w:tr>
        <w:trPr>
          <w:trHeight w:val="239"/>
        </w:trPr>
        <w:tc>
          <w:tcPr>
            <w:tcW w:w="3980" w:type="dxa"/>
            <w:vAlign w:val="bottom"/>
          </w:tcPr>
          <w:p>
            <w:pPr>
              <w:spacing w:after="0"/>
              <w:rPr>
                <w:sz w:val="20"/>
                <w:szCs w:val="20"/>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195,384</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$ 1,500,643</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(513,230)</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985,648</w:t>
            </w:r>
          </w:p>
        </w:tc>
        <w:tc>
          <w:tcPr>
            <w:tcW w:w="0" w:type="dxa"/>
            <w:vAlign w:val="bottom"/>
          </w:tcPr>
          <w:p>
            <w:pPr>
              <w:spacing w:after="0"/>
              <w:rPr>
                <w:sz w:val="1"/>
                <w:szCs w:val="1"/>
                <w:color w:val="auto"/>
              </w:rPr>
            </w:pPr>
          </w:p>
        </w:tc>
      </w:tr>
      <w:tr>
        <w:trPr>
          <w:trHeight w:val="225"/>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 Employee Stock</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issued upon vesting of restricted</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units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26,818</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26,818</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option exercises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0" w:type="dxa"/>
            <w:vAlign w:val="bottom"/>
          </w:tcPr>
          <w:p>
            <w:pPr>
              <w:spacing w:after="0"/>
              <w:rPr>
                <w:sz w:val="1"/>
                <w:szCs w:val="1"/>
                <w:color w:val="auto"/>
              </w:rPr>
            </w:pPr>
          </w:p>
        </w:tc>
      </w:tr>
      <w:tr>
        <w:trPr>
          <w:trHeight w:val="243"/>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(4,952)</w:t>
            </w: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(42,994)</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(42,994)</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Release of valuation allowance related to prior equity</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43"/>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loss, net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(59,816)</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(59,816)</w:t>
            </w:r>
          </w:p>
        </w:tc>
        <w:tc>
          <w:tcPr>
            <w:tcW w:w="0" w:type="dxa"/>
            <w:vAlign w:val="bottom"/>
          </w:tcPr>
          <w:p>
            <w:pPr>
              <w:spacing w:after="0"/>
              <w:rPr>
                <w:sz w:val="1"/>
                <w:szCs w:val="1"/>
                <w:color w:val="auto"/>
              </w:rPr>
            </w:pPr>
          </w:p>
        </w:tc>
      </w:tr>
      <w:tr>
        <w:trPr>
          <w:trHeight w:val="26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191,447</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$ 1,489,935</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(573,046)</w:t>
            </w: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906,693</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80" w:type="dxa"/>
            <w:vAlign w:val="bottom"/>
            <w:shd w:val="clear" w:color="auto" w:fill="CCEEFF"/>
          </w:tcPr>
          <w:p>
            <w:pPr>
              <w:ind w:left="140"/>
              <w:spacing w:after="0" w:line="192" w:lineRule="exact"/>
              <w:rPr>
                <w:sz w:val="20"/>
                <w:szCs w:val="20"/>
                <w:color w:val="auto"/>
              </w:rPr>
            </w:pPr>
            <w:r>
              <w:rPr>
                <w:rFonts w:ascii="Times New Roman" w:cs="Times New Roman" w:eastAsia="Times New Roman" w:hAnsi="Times New Roman"/>
                <w:sz w:val="18"/>
                <w:szCs w:val="18"/>
                <w:color w:val="auto"/>
              </w:rPr>
              <w:t>Issuance of common stock for Employee Stock</w:t>
            </w: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Plan</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0" w:type="dxa"/>
            <w:vAlign w:val="bottom"/>
          </w:tcPr>
          <w:p>
            <w:pPr>
              <w:spacing w:after="0"/>
              <w:rPr>
                <w:sz w:val="1"/>
                <w:szCs w:val="1"/>
                <w:color w:val="auto"/>
              </w:rPr>
            </w:pPr>
          </w:p>
        </w:tc>
      </w:tr>
      <w:tr>
        <w:trPr>
          <w:trHeight w:val="225"/>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issued upon vesting of restricted</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units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25,559</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25,559</w:t>
            </w:r>
          </w:p>
        </w:tc>
        <w:tc>
          <w:tcPr>
            <w:tcW w:w="0" w:type="dxa"/>
            <w:vAlign w:val="bottom"/>
          </w:tcPr>
          <w:p>
            <w:pPr>
              <w:spacing w:after="0"/>
              <w:rPr>
                <w:sz w:val="1"/>
                <w:szCs w:val="1"/>
                <w:color w:val="auto"/>
              </w:rPr>
            </w:pPr>
          </w:p>
        </w:tc>
      </w:tr>
      <w:tr>
        <w:trPr>
          <w:trHeight w:val="243"/>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 exercises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including taxes</w:t>
            </w:r>
          </w:p>
        </w:tc>
        <w:tc>
          <w:tcPr>
            <w:tcW w:w="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(6,880)</w:t>
            </w:r>
          </w:p>
        </w:tc>
        <w:tc>
          <w:tcPr>
            <w:tcW w:w="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(67,621)</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(67,621)</w:t>
            </w:r>
          </w:p>
        </w:tc>
        <w:tc>
          <w:tcPr>
            <w:tcW w:w="0" w:type="dxa"/>
            <w:vAlign w:val="bottom"/>
          </w:tcPr>
          <w:p>
            <w:pPr>
              <w:spacing w:after="0"/>
              <w:rPr>
                <w:sz w:val="1"/>
                <w:szCs w:val="1"/>
                <w:color w:val="auto"/>
              </w:rPr>
            </w:pPr>
          </w:p>
        </w:tc>
      </w:tr>
      <w:tr>
        <w:trPr>
          <w:trHeight w:val="223"/>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Adoption of ASC 326, </w:t>
            </w:r>
            <w:r>
              <w:rPr>
                <w:rFonts w:ascii="Times New Roman" w:cs="Times New Roman" w:eastAsia="Times New Roman" w:hAnsi="Times New Roman"/>
                <w:sz w:val="18"/>
                <w:szCs w:val="18"/>
                <w:i w:val="1"/>
                <w:iCs w:val="1"/>
                <w:color w:val="auto"/>
              </w:rPr>
              <w:t>Current Expected Credit</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Losses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gain, net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43"/>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(45,620)</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(45,620)</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186,934</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$ 1,454,026</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(619,975)</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826,036</w:t>
            </w:r>
          </w:p>
        </w:tc>
        <w:tc>
          <w:tcPr>
            <w:tcW w:w="0" w:type="dxa"/>
            <w:vAlign w:val="bottom"/>
          </w:tcPr>
          <w:p>
            <w:pPr>
              <w:spacing w:after="0"/>
              <w:rPr>
                <w:sz w:val="1"/>
                <w:szCs w:val="1"/>
                <w:color w:val="auto"/>
              </w:rPr>
            </w:pPr>
          </w:p>
        </w:tc>
      </w:tr>
      <w:tr>
        <w:trPr>
          <w:trHeight w:val="225"/>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for Employee Stock</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8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3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Purchase Plan</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6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0" w:type="dxa"/>
            <w:vAlign w:val="bottom"/>
          </w:tcPr>
          <w:p>
            <w:pPr>
              <w:spacing w:after="0"/>
              <w:rPr>
                <w:sz w:val="1"/>
                <w:szCs w:val="1"/>
                <w:color w:val="auto"/>
              </w:rPr>
            </w:pPr>
          </w:p>
        </w:tc>
      </w:tr>
      <w:tr>
        <w:trPr>
          <w:trHeight w:val="108"/>
        </w:trPr>
        <w:tc>
          <w:tcPr>
            <w:tcW w:w="39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issued upon vesting of restricted</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units, net of shares withheld for employee</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0" w:type="dxa"/>
            <w:vAlign w:val="bottom"/>
          </w:tcPr>
          <w:p>
            <w:pPr>
              <w:spacing w:after="0"/>
              <w:rPr>
                <w:sz w:val="1"/>
                <w:szCs w:val="1"/>
                <w:color w:val="auto"/>
              </w:rPr>
            </w:pPr>
          </w:p>
        </w:tc>
      </w:tr>
      <w:tr>
        <w:trPr>
          <w:trHeight w:val="243"/>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26,491</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26,491</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 exercises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0" w:type="dxa"/>
            <w:vAlign w:val="bottom"/>
          </w:tcPr>
          <w:p>
            <w:pPr>
              <w:spacing w:after="0"/>
              <w:rPr>
                <w:sz w:val="1"/>
                <w:szCs w:val="1"/>
                <w:color w:val="auto"/>
              </w:rPr>
            </w:pPr>
          </w:p>
        </w:tc>
      </w:tr>
      <w:tr>
        <w:trPr>
          <w:trHeight w:val="225"/>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(57,909)</w:t>
            </w:r>
          </w:p>
        </w:tc>
        <w:tc>
          <w:tcPr>
            <w:tcW w:w="18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3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including taxes</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98"/>
              </w:rPr>
              <w:t>(5,708)</w:t>
            </w:r>
          </w:p>
        </w:tc>
        <w:tc>
          <w:tcPr>
            <w:tcW w:w="26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(57,909)</w:t>
            </w:r>
          </w:p>
        </w:tc>
        <w:tc>
          <w:tcPr>
            <w:tcW w:w="0" w:type="dxa"/>
            <w:vAlign w:val="bottom"/>
          </w:tcPr>
          <w:p>
            <w:pPr>
              <w:spacing w:after="0"/>
              <w:rPr>
                <w:sz w:val="1"/>
                <w:szCs w:val="1"/>
                <w:color w:val="auto"/>
              </w:rPr>
            </w:pPr>
          </w:p>
        </w:tc>
      </w:tr>
      <w:tr>
        <w:trPr>
          <w:trHeight w:val="108"/>
        </w:trPr>
        <w:tc>
          <w:tcPr>
            <w:tcW w:w="39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loss, net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0" w:type="dxa"/>
            <w:vAlign w:val="bottom"/>
          </w:tcPr>
          <w:p>
            <w:pPr>
              <w:spacing w:after="0"/>
              <w:rPr>
                <w:sz w:val="1"/>
                <w:szCs w:val="1"/>
                <w:color w:val="auto"/>
              </w:rPr>
            </w:pPr>
          </w:p>
        </w:tc>
      </w:tr>
      <w:tr>
        <w:trPr>
          <w:trHeight w:val="243"/>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Disposition of Fitness Solutions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(41,089)</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(41,089)</w:t>
            </w:r>
          </w:p>
        </w:tc>
        <w:tc>
          <w:tcPr>
            <w:tcW w:w="0" w:type="dxa"/>
            <w:vAlign w:val="bottom"/>
          </w:tcPr>
          <w:p>
            <w:pPr>
              <w:spacing w:after="0"/>
              <w:rPr>
                <w:sz w:val="1"/>
                <w:szCs w:val="1"/>
                <w:color w:val="auto"/>
              </w:rPr>
            </w:pPr>
          </w:p>
        </w:tc>
      </w:tr>
      <w:tr>
        <w:trPr>
          <w:trHeight w:val="23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183,725</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$ 1,426,206</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(661,064)</w:t>
            </w:r>
          </w:p>
        </w:tc>
        <w:tc>
          <w:tcPr>
            <w:tcW w:w="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(14,318)</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750,826</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20"/>
          </w:cols>
          <w:pgMar w:left="1280" w:top="117" w:right="1299" w:bottom="1440" w:gutter="0" w:footer="0" w:header="0"/>
        </w:sectPr>
      </w:pPr>
    </w:p>
    <w:bookmarkStart w:id="75" w:name="page76"/>
    <w:bookmarkEnd w:id="75"/>
    <w:p>
      <w:pPr>
        <w:jc w:val="center"/>
        <w:ind w:left="4080"/>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31" w:lineRule="exact"/>
        <w:rPr>
          <w:sz w:val="20"/>
          <w:szCs w:val="20"/>
          <w:color w:val="auto"/>
        </w:rPr>
      </w:pPr>
    </w:p>
    <w:p>
      <w:pPr>
        <w:jc w:val="cente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left="4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1323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loss</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323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323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Deferred taxes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 and non-cash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323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Loss on sale and impairments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Bad debt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323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right="2960"/>
        <w:spacing w:after="0" w:line="313" w:lineRule="auto"/>
        <w:rPr>
          <w:sz w:val="20"/>
          <w:szCs w:val="20"/>
          <w:color w:val="auto"/>
        </w:rPr>
      </w:pPr>
      <w:r>
        <w:rPr>
          <w:rFonts w:ascii="Times New Roman" w:cs="Times New Roman" w:eastAsia="Times New Roman" w:hAnsi="Times New Roman"/>
          <w:sz w:val="18"/>
          <w:szCs w:val="18"/>
          <w:color w:val="auto"/>
        </w:rPr>
        <w:t>(Gain) loss on interest rate swap valuation adjustments Other non-cash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71323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323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323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323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Deferred revenue</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32320"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Capitalization of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323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20" w:right="180"/>
        <w:spacing w:after="0" w:line="318" w:lineRule="auto"/>
        <w:rPr>
          <w:sz w:val="20"/>
          <w:szCs w:val="20"/>
          <w:color w:val="auto"/>
        </w:rPr>
      </w:pPr>
      <w:r>
        <w:rPr>
          <w:rFonts w:ascii="Times New Roman" w:cs="Times New Roman" w:eastAsia="Times New Roman" w:hAnsi="Times New Roman"/>
          <w:sz w:val="18"/>
          <w:szCs w:val="18"/>
          <w:color w:val="auto"/>
        </w:rPr>
        <w:t>Proceeds from disposition of fitness solutions, net of transaction costs, cash and restricted cash Acquisition,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wp:posOffset>
            </wp:positionV>
            <wp:extent cx="7132320"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1323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Payments on long-term debt</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323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20" w:right="1660"/>
        <w:spacing w:after="0" w:line="316" w:lineRule="auto"/>
        <w:rPr>
          <w:sz w:val="20"/>
          <w:szCs w:val="20"/>
          <w:color w:val="auto"/>
        </w:rPr>
      </w:pPr>
      <w:r>
        <w:rPr>
          <w:rFonts w:ascii="Times New Roman" w:cs="Times New Roman" w:eastAsia="Times New Roman" w:hAnsi="Times New Roman"/>
          <w:sz w:val="18"/>
          <w:szCs w:val="18"/>
          <w:color w:val="auto"/>
        </w:rPr>
        <w:t>Proceeds from common stock issuance for Employee Stock Purchase Plan Employee taxes paid for RSU withholdings Repurchase and retirement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323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1323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13232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32320" cy="1974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323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p>
      <w:pPr>
        <w:spacing w:after="0" w:line="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paid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32320"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paid for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23399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547"/>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(41,089)</w:t>
            </w:r>
          </w:p>
        </w:tc>
        <w:tc>
          <w:tcPr>
            <w:tcW w:w="8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(45,620)</w:t>
            </w:r>
          </w:p>
        </w:tc>
        <w:tc>
          <w:tcPr>
            <w:tcW w:w="8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(59,816)</w:t>
            </w:r>
          </w:p>
        </w:tc>
      </w:tr>
      <w:tr>
        <w:trPr>
          <w:trHeight w:val="540"/>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88,824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104,201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110,801</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26,818</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(7,477)</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540"/>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(13,206)</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6"/>
        </w:trPr>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113,163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104,605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64,802</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493"/>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(15,514)</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0" w:type="dxa"/>
            <w:vAlign w:val="bottom"/>
          </w:tcPr>
          <w:p>
            <w:pPr>
              <w:spacing w:after="0"/>
              <w:rPr>
                <w:sz w:val="23"/>
                <w:szCs w:val="2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(18,080)</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493"/>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(42,994)</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(47,309)</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6"/>
        </w:trPr>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540"/>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97,559</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135,782</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96,179</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95,824</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95"/>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45,548</w:t>
            </w:r>
          </w:p>
        </w:tc>
        <w:tc>
          <w:tcPr>
            <w:tcW w:w="8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46,011</w:t>
            </w:r>
          </w:p>
        </w:tc>
        <w:tc>
          <w:tcPr>
            <w:tcW w:w="8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30,077</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20" w:space="420"/>
            <w:col w:w="3680"/>
          </w:cols>
          <w:pgMar w:left="340" w:top="1346" w:right="339" w:bottom="864"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1900" w:h="16838" w:orient="portrait"/>
          <w:cols w:equalWidth="0" w:num="1">
            <w:col w:w="11220"/>
          </w:cols>
          <w:pgMar w:left="340" w:top="1346" w:right="339" w:bottom="864" w:gutter="0" w:footer="0" w:header="0"/>
          <w:type w:val="continuous"/>
        </w:sect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346" w:right="339" w:bottom="864"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the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EverCommerce Inc. and subsidiaries (the “Company” or “EverCommerce”) is a leading provider of integrated software as a service (“SaaS”) solutions or services for service based small and medium sized businesses (“service SMBs”). Our platforms span across the full lifecycle of interactions between consumers and service professionals with vertical-specific applications. As of December 31, 2024, the Company served more than 740,000 customers across three core verticals: EverPro for Home Services; EverHealth for Health Services; and EverWell for Wellness Services. Within the core verticals, customers operate within numerous micro-verticals, ranging from home service professionals, such as construction contractors and home maintenance technicians, to physician practices and therapists in the Health Services industry, to salon owners in the Wellness sectors. The platform provides vertically-tailored SaaS solutions that address service SMBs’ increasingly nuanced demands, as well as highly complementary solutions that provide fully-integrated offerings, allowing service SMBs and EverCommerce to succeed in the market, and provide end consumers more convenient service experiences. The Company is headquartered in Denver, Colorado, and has operations across the United States, Canada, Jordan, United Kingdom, Australia and New Zealand.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(collectively, the “financial statements”) include the operations of EverCommerce and all wholly-owned subsidiaries and have been prepared in accordance with accounting principles generally accepted in the United States of America (“U.S. GAAP”). All material intercompany transactions have been eliminated in consolidation.</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13, 2024, the Company entered into definitive sale and purchase agreements to sell our fitness solutions to Jonas Fitness Portfolio Holdco Inc. (“Jonas Software”) (see Note 3. Acquisitions and Dispositions). The sale of American Service Finance LLC., ASF Payment Solutions ULC and Technique Fitness Inc. (collectively, “North American Fitness”), closed simultaneous with signing. The sale of EverCommerce UK, including wholly-owned subsidiaries Fitii UK (MyPTHub and MyPTHub LLC) and ClubWise UK and its wholly-owned subsidiary ClubWise Australia (collectively, “UK Fitness” and together with North American Fitness, “Fitness Solutions”), closed on July 1, 2024. The divestiture did not qualify for reporting as a discontinued operation. As a result, our unaudited condensed consolidated financial statements include the results of North American Fitness and UK Fitness for all periods through the applicable date of sale.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certain reported amounts of assets and liabilities and disclosure of contingent assets and liabilities at the date of the financial statements and the reported amounts of revenue and expenses during the reporting period. Estimates are subject to uncertainties due to the levels of subjectivity and judgment necessary to account for highly uncertain matters or the susceptibility of such matters to change. Significant items subject to such estimates include: valuing identified intangible assets and acquired goodwill and establishing estimated useful lives for intangible assets in connection with business combinations; the estimation of the recoverability of goodwill and other intangible assets; income tax uncertainties, including valuation allowance for deferred tax assets and value of any uncertain tax positions; recognizing bad debt expense from expected credit losses; recognizing stock-based compensation expens</w:t>
      </w:r>
      <w:r>
        <w:rPr>
          <w:rFonts w:ascii="Times New Roman" w:cs="Times New Roman" w:eastAsia="Times New Roman" w:hAnsi="Times New Roman"/>
          <w:sz w:val="18"/>
          <w:szCs w:val="18"/>
          <w:color w:val="auto"/>
          <w:strike w:val="1"/>
        </w:rPr>
        <w:t>e</w:t>
      </w:r>
      <w:r>
        <w:rPr>
          <w:rFonts w:ascii="Times New Roman" w:cs="Times New Roman" w:eastAsia="Times New Roman" w:hAnsi="Times New Roman"/>
          <w:sz w:val="18"/>
          <w:szCs w:val="18"/>
          <w:color w:val="auto"/>
        </w:rPr>
        <w:t xml:space="preserve"> and estimating standalone selling price, when applicable, for the allocation of transaction price when multiple performance obligations are included in a contract with a customer.</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our estimates on an ongoing basis. The Company bases these estimates on historical and anticipated results, trends, and various other assumptions the Company believes are reasonable under the circumstances, including assumptions as to future events. These estimates form the basis for making judgments about the carrying values of assets and liabilities and recognized revenue and expenses that are not readily apparent from other sources. Changes in estimates are recorded in the period in which they become known. Actual results could differ from those estimates and assumptions.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results of a business acquired in a business combination are included in the Company’s financial statements from the date of acquisition with the associated purchase price allocated to the identifiable assets and liabilities of the acquired business at their acquisition date fair values. The excess of the purchase price over the amount allocated to the identifiable assets and liabilities, if any, is recorded as goodwill. Based on the nature of the businesses that the Company acquires, goodwill arising from acquisitions typically consists of synergies with previously acquired businesses and economies of scale resulting from centralizing shared service functions. Acquisition-related transaction costs are expensed in the period in which the costs are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Determining the fair value of assets acquired and liabilities assumed requires management to make significant judgments and estimates, including the selection of valuation methodologies, estimates of future revenue and cash flows, discount rates and selection of comparable companies.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cash accounts at domestic and foreign financial institutions. At times and for cash maintained at domestic institutions, certain account balances may exceed Federal Deposit Insurance Corporation (“FDIC”) insurance coverage. The Company has not experienced any losses on such accounts, and management believes that the Company’s risk of loss is remote. Market conditions can impact the viability of these institutions. In the event of failure of any of the financial institutions where we maintain our cash and cash equivalents, there can be no assurance that we will be able to access uninsured funds in a timely manner or at all.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acquired to be cash equivalents.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consists of funds that are contractually restricted as to usage or withdrawal. Restricted cash relates to cash collected from our customers’ clients that will be remitted to our customers subsequent to period-end, generally within a time period no longer than one month.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and do not bear interest. The Company maintains an allowance for estimated credit losses inherent in its accounts receivable portfolio. In establishing the expected credit loss, management considers historical losses adjusted to take into account current market conditions and the customers’ financial condition, the amount of receivables in dispute and customer paying patterns. Balances that remain outstanding after the Company has used reasonable collection efforts are written off through a charge to the valuation allowance and a credit to accounts receivable.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Property and equipment acquired in purchase accounting are recorded at fair value at the date of acquisition. Expenditures for maintenance and repairs are charged to expense as incurred. Depreciation is computed using the straight-line method over the following estimated useful lives.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7"/>
        </w:trPr>
        <w:tc>
          <w:tcPr>
            <w:tcW w:w="4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r>
      <w:tr>
        <w:trPr>
          <w:trHeight w:val="34"/>
        </w:trPr>
        <w:tc>
          <w:tcPr>
            <w:tcW w:w="4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6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years</w:t>
            </w:r>
          </w:p>
        </w:tc>
      </w:tr>
      <w:tr>
        <w:trPr>
          <w:trHeight w:val="24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w:t>
            </w:r>
          </w:p>
        </w:tc>
      </w:tr>
      <w:tr>
        <w:trPr>
          <w:trHeight w:val="27"/>
        </w:trPr>
        <w:tc>
          <w:tcPr>
            <w:tcW w:w="4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60" w:type="dxa"/>
            <w:vAlign w:val="bottom"/>
          </w:tcPr>
          <w:p>
            <w:pPr>
              <w:spacing w:after="0"/>
              <w:rPr>
                <w:sz w:val="2"/>
                <w:szCs w:val="2"/>
                <w:color w:val="auto"/>
              </w:rPr>
            </w:pPr>
          </w:p>
        </w:tc>
      </w:tr>
      <w:tr>
        <w:trPr>
          <w:trHeight w:val="24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Lesser of estimated useful life or remaining lease term</w:t>
            </w:r>
          </w:p>
        </w:tc>
      </w:tr>
      <w:tr>
        <w:trPr>
          <w:trHeight w:val="27"/>
        </w:trPr>
        <w:tc>
          <w:tcPr>
            <w:tcW w:w="4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6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disposition, the cost of disposed assets and the related accumulated depreciation are eliminated from the accounts and any resulting gain or loss is credited or charged to earnings/loss.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Software, net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capitalizes certain costs related to software developed for internal use for which it has no plans to market externally. Internal use software includes the software used for the Company’s SaaS offerings. The Company expenses the costs of developing computer software until the software has reached the application development stage and capitalizes all costs incurred from that time until the software has been placed in service, at which time amortization of the capitalized costs begins. Determination of when the software has reached the application development stage is based upon completion of conceptual designs, evaluation of alternative designs and performance requirements. Costs of major enhancements to internal use software are capitalized while routine maintenance of existing software is charged to product development expense as incurred.</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capitalizes certain costs related to software developed for external use for which it plans to sell to customers, i.e. on-premise software to be installed on customer computers at the customer site. Costs incurred prior to reaching technological feasibility are charged to product development expense as incurred. Capitalization ceases when the product is available for general release to the customers. Such costs have not been material.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amortizes software costs, using the straight-line method, over its estimated useful life of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Intangible assets primarily consist of customer relationships which include government contracts, developed technology, trademarks and trade names and non-compete agreements, which are recorded at acquisition date fair value, less accumulated amortization. The Company determines the appropriate useful life of intangible assets by performing an analysis of expected cash flows of the acquired assets. Developed technology, trademarks and trade names and non-compete agreements acquired through acquisitions are amortized over their estimated useful lives using the straight-line method and customer relationship intangibles are amortized over their estimated useful lives using present value of future cash flows, which approximates the pattern in which the economic benefits are expected to be consumed.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an asset group may not be recoverable. Recoverability of the asset is measured by comparison of its carrying amount to undiscounted future net cash flows the asset is expected to generate or other appropriate measures of fair value. If such assets are considered to be impaired, the impairment recognized is measured as the amount by which the carrying amount of the asset exceeds its estimated fair value. Estimates of expected future cash flows represent management’s best estimate based on currently available information and reasonable and supportable assumptions. Any impairment recognized is permanent and may not be restored.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fourth quarter of 2023, the Company evaluated the recoverability of our fitness asset group. As a result of our evaluation, we determined that the estimated fair value of our fitness asset group was insufficient to recover the net carrying value of the asset group resulting in an impairment charge of approximately $5.1 million during the three months ended December 31, 2023, of which $3.1 million related to intangible assets. Additionally, the Company ceased use of certain leased premises and subleased certain facilities resulting in an impairment charge of $1.2 million to impair the right-of-use lease assets to their fair value during the year ended December 31, 2023. The impairment charges are recorded in impairment expense on the consolidated statements of operations and comprehensive loss. There were no impairments of long-lived assets during the years ended December 31, 2024 and 2022 other than the abandonment of certain features of its capitalized software as more fully described in Note 8. Capitalized Software.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Goodwill represents the excess of purchase price over amounts allocated to identifiable assets acquired and liabilities assumed in business combinations. The carrying value of goodwill is evaluated for impairment at least annually or more frequently whenever events or changes in circumstances indicate the carrying value of these assets may not be recoverable. The Company performs an annual impairment review of its goodwill balance during the fourth quarter or more frequently if business factors indicate. Prior to performing a quantitative evaluation, an assessment of qualitative factors may be performed to determine whether it is more likely than not that the fair value of the reporting unit exceeds its carrying value. In the event the Company determines that it is more likely than not the carrying value of a reporting unit is higher than its estimated fair value, quantitative testing is performed comparing recorded values to estimated fair values. Alternatively, the Company may perform a quantitative assessment for the annual review of recoverability rather than a qualitative assessment. If the carrying value, including goodwill, exceeds the reporting unit’s fair value, we will recognize an impairment loss for the amount by which the carrying amount exceeds the reporting unit’s fair value. During 2024, we recognized $34.5 million of goodwill impairment charges, which are included in loss on sale and impairments on the consolidated statements of operations and comprehensive loss. During the fourth quarter of 2024, in conjunction with our review of strategic alternatives for our marketing technology solutions, the Company evaluated the recoverability of our marketing technology reporting unit. As a result of our evaluation, we determined that the estimated fair value of our marketing technology reporting unit was insufficient to recover the net carrying value of the reporting unit resulting in an impairment charge of approximately $28.1 million during the three months ended December 31, 2024 (see Note 20. Subsequent Event). Additionally, we recognized $6.4 million of goodwill impairment charges representing the allocated goodwill to Fitness Solutions (see Note 3. Acquisitions and Dispositions). We did not incur any goodwill impairment losses during the years ended December 31, 2023 and 2022.</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adopted Accounting Standards Update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 of January 1, 2022 and recognized right-of-use (“ROU”) lease assets and lease liabilities on the balance sheet representing the rights and obligations created by those leases and disclosed key information about leasing arrangements. Lease expense is recognized on a straight-line basis over the non-cancelable lease term and is recorded to general and administrative expense on the statements of operations and comprehensive loss. Operating ROU lease assets are included in other non-current assets and operating lease liabilities are included in accrued expenses and other and other non-current liabilities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Lease assets represent our right to use an underlying asset for the lease term and lease liabilities represent our obligation to make lease payments arising from the lease. We do not recognize ROU lease assets and lease liabilities for leases with a term of 12 months or less. For all other leases, operating lease assets and liabilities are recognized at commencement based on the present value of lease payments over the lease term. The Company determines if an arrangement is or contains a lease at inception, which is the date on which the terms of the contract are agreed to, and the agreement creates enforceable rights and obligations. We also consider whether our service arrangements include the right to control the use of an asset. The ROU lease assets also include any initial direct costs incurred and lease payments made at or before the commencement date and are adjusted for lease incentives.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leases do not provide a readily determinable implicit interest rate and we use our incremental borrowing rate to measure the lease liability and corresponding ROU lease assets. Our incremental borrowing rate is the rate of interest the Company would have to pay to borrow on a collateralized basis adjusted for market conditions and the length of the lease term. Judgement is applied in assessing factors such as Company-specific credit risk, lease term, nature and quality of the underlying collateral, currency, and economic environment in determining the incremental borrowing rate to apply to each lease.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leases may include a non-lease component representing additional services transferred to the Company, such as common area maintenance for real estate. We elected the practical expedient to not separate lease from fixed non-lease components for our real estate leases. We account for the lease and fixed non-lease components of our operating ROU lease assets as a single lease component. The non-lease components are usually variable in nature and recorded in variable lease expense in the period incurred.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lease payments may include fixed rent escalation clauses or payments that depend on an index (such as the consumer price index) measured using the index or applicable rate at lease commencement. Subsequent changes in index and other periodic market-rate adjustments to base rent are recorded in variable lease expense in the period incurred. In addition, certain leases include options to extend or terminate a lease, which are recognized when it is reasonably certain that we will exercise that option. The Company’s leases generally do not contain any material restrictive covenants or residual value guarantees.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leases classified as finance leases.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Financing and Credit Facility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financing costs and discounts on long-term debt are capitalized and netted with long-term debt and amortized over the term of the related debt, using the effective interest method. Costs incurred in connection with the establishment of revolving credit facilities are capitalized and amortized over the term of the related facility period, using the straight-line method. Amortization of debt issuance costs, noncash discounts and other credit facility costs are included in interest expense on the consolidated statements of operations and comprehensive loss.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U.S. GAAP, the Company performs the following steps in determining the appropriate amount of revenue to be recognized as it fulfills its obligations under each of its contracts with customers: (i) identification of the contract with a customer; (ii) determination of whether the promised goods or services are performance obligations; (iii) measurement of the transaction price, including the constraint on variable consideration; (iv) allocation of the transaction price to the performance obligations; and (v) recognition of revenue when, or as each performance obligation is satisfied. The Company assesses the goods or services promised within each contract to determine if they are distinct and represent a performance obligation. The Company then allocates the transaction price to the respective performance obligations, and recognizes revenue when (or as) the performance obligations are satisfied. The amount of revenue recognized reflects the consideration to which the Company expects to be entitled to receive in exchange for these goods or services.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three primary categories of revenue sources: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and Transaction Fees: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Subscription revenue primarily consists of the sale of SaaS offerings or the sale of software licenses. Through the SaaS offerings and related support services, customers are granted access to a hosted software application over the contract period, generally ranging from one month to five years, without a contractual right to possession of the software. Alternatively, through the sale of software licenses the customer is provided with a right to use software that provides functionality to the customer on a stand-alone basis, and related support services, which include telephone/technical support, when-and-if available software updates and, in certain instances, hosting services. The software licenses are both perpetual, providing the customer with the right-of-use for an indefinite period, and term, which generally range for a defined period of time from one month to five years. Contracts may contain termination for convenience provisions that allow the Company, customer or both parties the ability to terminate for convenience, either at any time or upon providing a specified notice period, without a penalty. The contract term for accounting purposes is determined to be the period in which parties to the contract have present enforceable rights and obligations, therefore the contract term for accounting purposes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shorter than the stated term.</w:t>
      </w:r>
    </w:p>
    <w:p>
      <w:pPr>
        <w:spacing w:after="0" w:line="115" w:lineRule="exact"/>
        <w:rPr>
          <w:sz w:val="20"/>
          <w:szCs w:val="20"/>
          <w:color w:val="auto"/>
        </w:rPr>
      </w:pPr>
    </w:p>
    <w:p>
      <w:pPr>
        <w:jc w:val="both"/>
        <w:ind w:left="660" w:hanging="328"/>
        <w:spacing w:after="0" w:line="258"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SaaS and related support services</w:t>
      </w:r>
      <w:r>
        <w:rPr>
          <w:rFonts w:ascii="Times New Roman" w:cs="Times New Roman" w:eastAsia="Times New Roman" w:hAnsi="Times New Roman"/>
          <w:sz w:val="18"/>
          <w:szCs w:val="18"/>
          <w:color w:val="auto"/>
        </w:rPr>
        <w:t>: Revenues from the sale of hosted software applications and related support services are generally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ratably over the contractual period that the services are delivered, beginning on the date the service is made available to customers. Revenue is recognized ratably because the customer simultaneously receives and consumes the benefits of the services throughout the contract period. Contracts are generally fixed price and may be invoiced on a monthly, quarterly or annual basis, with standard payment terms ranging from due upon receipt to 30 days.</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 and related support services: </w:t>
      </w:r>
      <w:r>
        <w:rPr>
          <w:rFonts w:ascii="Times New Roman" w:cs="Times New Roman" w:eastAsia="Times New Roman" w:hAnsi="Times New Roman"/>
          <w:sz w:val="18"/>
          <w:szCs w:val="18"/>
          <w:color w:val="auto"/>
        </w:rPr>
        <w:t>Revenues from the sale of distinct on-premise licenses are generally recognized at the point in time when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is made available to the customer to download or use. Revenues from the sale of license related support services are generally recognized ratably over the contractual period that the services are delivered. Within these arrangements, the Company is obligated to make the support services available continuously throughout the contract and the customer simultaneously receives and consumes the benefit of making these services available throughout the contract period. Contracts are generally fixed price and may be invoiced on a monthly, quarterly or annual basis, with standard payment terms ranging from due upon receipt to 30 days. The timing of revenue recognition may differ from the timing of invoicing customers due to the existence of these invoicing practices as well as the requirement to recognize revenue on a relative stand-alone selling price basis.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Transaction fees relate to payment processing and group purchasing program administration services. In fulfillment of payment processing services, the Company partners with third-party merchants and processors who assist in the fulfillment of the Company’s obligations to customers. Payment processing services enable customers to accept payments via credit card, electronic check and other similar methods through facilitation of payment information within the cloud-based applications. Group purchasing program administration services relate to facilitation of group purchasing programs for members through which the Company aggregates member purchasing power to negotiate pricing discounts with suppliers.</w:t>
      </w:r>
    </w:p>
    <w:p>
      <w:pPr>
        <w:spacing w:after="0" w:line="73" w:lineRule="exact"/>
        <w:rPr>
          <w:sz w:val="20"/>
          <w:szCs w:val="20"/>
          <w:color w:val="auto"/>
        </w:rPr>
      </w:pPr>
    </w:p>
    <w:p>
      <w:pPr>
        <w:jc w:val="both"/>
        <w:ind w:left="660" w:hanging="328"/>
        <w:spacing w:after="0" w:line="257"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processing services: </w:t>
      </w:r>
      <w:r>
        <w:rPr>
          <w:rFonts w:ascii="Times New Roman" w:cs="Times New Roman" w:eastAsia="Times New Roman" w:hAnsi="Times New Roman"/>
          <w:sz w:val="18"/>
          <w:szCs w:val="18"/>
          <w:color w:val="auto"/>
        </w:rPr>
        <w:t>The Company has concluded that it does not possess the ability to control the underlying services provided by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in the fulfillment of its obligations to customers and therefore recognizes revenue net of interchange fees retained by the card issuing financial institutions and fees charged by payment networks. The Company recognizes revenue from these transaction services as the services are provided and ascribes the transaction consideration to the distinct services utilizing the variable consideration allocation exception. Payment for transaction services is received in arrears, typically within one month of when the services have been provided. Transaction services contracts with customers are generally for a term of one month and renew automatically each month.</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Purchasing program administration services: </w:t>
      </w:r>
      <w:r>
        <w:rPr>
          <w:rFonts w:ascii="Times New Roman" w:cs="Times New Roman" w:eastAsia="Times New Roman" w:hAnsi="Times New Roman"/>
          <w:sz w:val="18"/>
          <w:szCs w:val="18"/>
          <w:color w:val="auto"/>
        </w:rPr>
        <w:t>The Company receives rebates from contracted suppliers in exchange for program administration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Rebates earned are based on a defined percentage of the purchase price of goods and services sold to program members under the contract the Company has negotiated with its suppliers. Administration services contracts with customers are generally for an annual or monthly term and renew automatically upon lapse of the current term.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Technology Solutions: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Marketing technology solutions consist of digital advertising management and consumer connection services. Digital advertising management services include content creation, search engine optimization and paid media management services. The nature of the performance obligation within advertising management contracts is to stand-ready and provide management services on a continuous basis over the contract term. As a result, revenue associated with advertising management services is recognized on a ratable basis over the service period as the customer simultaneously receives and consumes the benefits of the management services evenly throughout the contract period. The Company typically earns a fixed recurring fee in exchange for advertising management services; however, in certain instances, the transaction consideration to which the Company is entitled may be variable. The Company applies the variable consideration allocation exception to these arrangements. Advertising management services are typically invoiced on a monthly basis either in arrears or in advance. Certain arrangements may be invoiced on a quarterly or annual basis.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Consumer connection services relate to the sourcing and delivery of service requests from consumers to home service providers. Revenue for consumer connection services may be recognized at either a point-in-time or on an over-time basis as each connection is delivered. Revenue is derived from fees paid by service professionals for consumer matches. Fees associated with each consumer match generated may be either fixed price or variable. The variable consideration, subject to being constrained by Company estimates, is allocated to the connection from which it was derived. Payment for consumer connection services is received in arrears, typically within one month of when the services have been provided. The Company records a contract asset or unbilled receivable for this difference on the consolidated balance sheets. Marketing technology solutions service related contracts are typically short-term with stated contract terms that are less than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revenues generally consist of fees associated with the sale of distinct professional services, either in support of subscription revenue or marketing technology revenue, and hardware. Professional service offerings are typically sold as part of an arrangement for products or services included within subscription or marketing revenue. Professional services associated with subscription revenue generally relate to standard implementation, configuration, installation or training services applied to both SaaS and on-premise deployment models and those services associated with marketing technology are derived from website design, creation or enhancement services. Professional service revenue is recognized over time as the services are performed, as the customer simultaneously receives and consumes the benefit of these services. Professional service contracts are offered at either a fixed or a variable price and may be invoiced in advance or arrears of the services being provided.</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Standard payment terms for these arrangements range from due upon receipt to 30 days. Contract terms for other revenue arrangements are generally short-term, with stated contract terms that are less than one year.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 and Standalone Selling Price: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contracts at times include the sale of multiple promised goods or services that have been determined to be distinct. The transaction price for contracts with multiple performance obligations is allocated based on the relative stand-alone selling price of each performance obligation within the contract.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contracts may include standard warranty or service level provisions that state promised goods and services will perform and operate in all material respects as defined in the respective agreements. The Company has determined that these represent assurance-type warranties, and the Company has not incurred any material costs as a result of such commitments.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to Obtain and Fulfill a Contract: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incurs certain costs to obtain contracts, principally sales, third-party commissions and third-party fulfillment fees, which the Company capitalizes when the liability has been incurred if they are (i) incremental costs of obtaining a contract, (ii) expected to be recovered and (iii) have an expected amortization period that is greater than one year (as the Company has elected the practical expedient to expense any costs to obtain a contract when the liability is incurred if the amortization period of such costs would be one year or less).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Rights: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contracts with customers may include renewal or other options at stated prices. Determining whether these options provide the customer with a material right and therefore need to be accounted for as separate performance obligations requires judgment. The price of each option must be assessed to determine whether it is reflective of the stand-alone selling price or is reflective of a discount that the customer only received as a result of its prior purchase (a material right).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considerations: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elected a policy to exclude from the transaction price all sales taxes assessed by governmental authorities and as a result, revenue is presented net of tax.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revenues consists of expenses related to delivering our services and products and providing support to our customers and includes employee costs and related overhead, customer credit card processing fees, targeted mail costs, third party fulfillment costs and software hosting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expense the cost of advertising as incurred, which is primarily for internet-based advertising to market our products and services. For the years ended December 31, 2024, 2023 and 2022, advertising expenses included in sales and marketing expenses on the consolidated statements of operations and comprehensive loss were $24.4 million, $23.7 million and $21.4 million,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stock-based compensation awards made to employees and directors based on the estimated grant date fair value of the awards and recognize the compensation expense on a straight-line basis over the applicable service period. We use the Black-Scholes option-pricing model to estimate the fair value of options granted with time-based vesting and performance-based vesting terms, respectively, which requires the use of assumptions, including the fair value of the common stock, expected volatility, expected term, risk-free interest rate and expected dividends. We estimate expected volatility based on the historical volatility of our common stock. The expected term represents the estimated average period of time that the option will remain outstanding using the “simplified”</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method that measures the expected term as the average of the vesting period and the contractual term. The risk-free interest rate assumption is based on observed interest rates appropriate for the terms of the awards. The dividend yield assumption is based on history and the expectation of paying no dividends.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forfeitures at the date of grant and adjust these estimates to actual forfeitures as they occur. These assumptions involve inherent uncertainties including market conditions and employee behavior that are generally outside of the Company’s control. Stock-based compensation expense is based on the value of the portion of stock-based payment awards that is ultimately expected to vest.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C corporation for federal income tax purposes. Deferred taxes are provided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portion or all of the deferred tax assets will not be realized. Deferred tax assets and liabilities are adjusted for the effects of changes in tax laws and rates on the date of enactment. The Company's total provision for taxes includes income taxes on the Company's corporate subsidiaries. The Tax Cuts and Jobs Act of 2017 ("TCJA") subjects a U.S. shareholder to current tax on global intangible low-taxed income ("GILTI") earned by foreign subsidiaries. The Company accounts for GILTI as a period cost as incurred.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uncertain tax positions based on the largest amount of tax benefit that is more than 50% likely to be realized upon ultimate settlement with the related tax authority when it is determined that the tax position will more likely than not be sustained on the basis of the technical merits of the position. When applicable, interest and penalties relating to any such uncertain tax positions are recorded as part of income tax expense.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 The Company includes cumulative foreign currency translation adjustments in comprehensive loss as described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computes basic net loss per share attributable to its common stockholders by dividing net loss by the weighted-average number of shares of common stock outstanding during the period, without consideration of common stock equivalents. Diluted net loss per common share attributable to common stockholders is the same as basic net loss per common share attributable to common stockholders, because potentially dilutive shares of common stock are not assumed to have been issued if their effect is anti-dilutive.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functional currency of our foreign subsidiaries is primarily the local currency in which the entity is located. The financial results of all subsidiaries with a functional currency other than the U.S. dollar are translated into U.S. dollars upon consolidation. Assets and liabilities of foreign subsidiaries are translated into U.S. dollars at the current exchange rate in effect as of the date of the consolidated balance sheets (the “Spot Rate”). Revenues and expenses are translated at the average exchange rates during the respective periods. Translation adjustments resulting from fluctuations in exchange rates are included in the cumulative currency translation adjustments in accumulated other comprehensive loss in stockholders’ equity. The functional currencies of the Company’s significant foreign operations include the Canadian dollar, Great British Pound, Australian dollar and New Zealand dollar.</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Company’s subsidiaries that operate primarily in the U.S. dollar, foreign currency denominated monetary assets and liabilities are remeasured into U.S. dollars at the Spot Rate in effect as of the date of the consolidated balance sheets. Non-monetary assets and liabilities are remeasured using historical exchange rates. Income and expense elements are remeasured at the average exchange rates during the respective periods in which the elements are recognized within the consolidated statements of operations and comprehensive loss.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the extended transition period under the JOBS Act until the earlier of the date that it is (i) no longer an EGC or (ii) affirmatively and irrevocably opts out of the extended transition period provided in the JOBS Act. As a result, the financial statements may not be comparable to companies that comply with the new or revised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pronouncements as of public company effective dates. The adoption dates are discussed below to reflect this election within the Recently Issued Accounting Pronouncements section.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evaluate all ASUs issued by the FASB for consideration of their applicability. ASUs not included in the disclosures in this report were assessed and determined to be either not applicable or are not expected to have a material impact on our consolidated financial statements.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issued and adopted</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 Improving Reportable Segment Disclosures (Topic 280)</w:t>
      </w:r>
      <w:r>
        <w:rPr>
          <w:rFonts w:ascii="Times New Roman" w:cs="Times New Roman" w:eastAsia="Times New Roman" w:hAnsi="Times New Roman"/>
          <w:sz w:val="18"/>
          <w:szCs w:val="18"/>
          <w:color w:val="auto"/>
        </w:rPr>
        <w:t>. The update is intended to improve reportable segment disclosure requirements, primarily through enhanced disclosures about significant expenses. The ASU requires disclosures to include significant segment expenses that are regularly provided to the CODM, an amount and description of the composition of other segment items by reportable segment, and any additional measures of a segment's profit or loss used by the CODM when deciding how to allocate resources. The ASU also requires all annual disclosures currently required by Topic 280 to be included in interim periods. All disclosure requirements under ASU 2023-07 are also required for public entities with a single reportable segment. The amendments in this update are effective for fiscal years beginning after December 15, 2023, and interim periods within fiscal years beginning after December 15, 2024 and requires retrospective application to all prior periods presented in the financial statements. The Company adopted this ASU for the year ending December 31, 2024, which resulted in Note 19. Segment Reporting included within the Notes to the Consolidated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update is intended to improve transparency of income tax disclosure by requiring consistent categories and greater disaggregation within the rate reconciliation and disaggregation of income taxes paid by jurisdiction. The amendments in this update are effective for annual periods beginning after December 15, 2024 with early adoption permitted. The amendments in this update should be applied on a prospective basis with retrospective application permitted. The Company is currently evaluating the impact of adopting this update on its consolidated financial statements and disclosures.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Disaggregation of Income Statement Expenses</w:t>
      </w:r>
      <w:r>
        <w:rPr>
          <w:rFonts w:ascii="Times New Roman" w:cs="Times New Roman" w:eastAsia="Times New Roman" w:hAnsi="Times New Roman"/>
          <w:sz w:val="18"/>
          <w:szCs w:val="18"/>
          <w:color w:val="auto"/>
        </w:rPr>
        <w:t>, which requires public companies to disclose, in the notes to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information about certain costs and expenses at each interim and annual reporting period. Public companies will be required to disclose the amounts related to purchases of inventory, employee compensation, depreciation, intangible asset amortization, and selling expenses. The amendments in this update are effective for fiscal years beginning after December 15, 2026, and interim reporting periods beginning after December 15, 2027, with early adoption permitted. The Company is currently evaluating the impact of adopting the amendments in this update on its consolidated financial statements and disclosures.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 and Dispositions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Acquisition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10, 2023, the Company acquired 100% of the interest of Norman’s Dojo Inc. (“Kickserv”), a provider of field service management software for home service businesses for approximately $15.0 million in cash. The acquisition adds offerings for SMBs across diversified portfolios with an opportunity to capture a broader segment of new customers within the Home Services vertical.</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accounted for the acquisition as a business combination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Accordingly, the Company recorded identifiable assets acquired and liabilities assumed at their acquisition date estimated fair values, with any excess consideration recognized as goodwill. Goodwill primarily represents the value associated with the assembled workforce and expected synergies subsumed into goodwill. The goodwill recognized as a result of the acquisition of Kickserv is not deductible for tax purposes.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measured the identifiable assets and liabilities assumed at their acquisition date estimated fair values separately from goodwill, which represent Level 3 fair value measurements as defined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estimated fair values were determined by management using the assistance of third-party valuation specialists. The valuation methods used to determine the estimated fair value of intangible assets included the income approach— relief from royalty method for developed technology with an estimated useful life of five years, and the income approach—multi period excess earnings method for customer relationships with an estimated useful life of 13 years. A number of assumptions and estimates were involved in the application of these valuation methods, including revenue forecasts, expected competition, costs of revenues, obsolescence, tax rates, capital spending, customer attrition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rates, discount rates and working capital changes. Cash flow forecasts were generally based on pre-acquisition forecasts coupled with estimated revenues and cost synergies available to a market participant.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acquisition allows for an adjustment to the purchase price to be made subsequent to the transaction’s closing date based on the actual amount of working capital and cash delivered to the Company. The consideration paid and purchase price allocations disclosed reflect the effects of these adjustments.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results of Kickserv since the closing through December 31, 2023, were not material to our consolidated financial statements, nor were they material to our prior period consolidated results on a pro forma basis.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consideration transferred, assets acquired and liabilities assumed at the acquisition date: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August 10, 2023</w:t>
            </w:r>
          </w:p>
        </w:tc>
      </w:tr>
      <w:tr>
        <w:trPr>
          <w:trHeight w:val="27"/>
        </w:trPr>
        <w:tc>
          <w:tcPr>
            <w:tcW w:w="9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9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73"/>
        </w:trPr>
        <w:tc>
          <w:tcPr>
            <w:tcW w:w="9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50"/>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14,974</w:t>
            </w:r>
          </w:p>
        </w:tc>
      </w:tr>
      <w:tr>
        <w:trPr>
          <w:trHeight w:val="27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9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60"/>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Intangibles—definite lived</w:t>
            </w: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3,155</w:t>
            </w:r>
          </w:p>
        </w:tc>
      </w:tr>
      <w:tr>
        <w:trPr>
          <w:trHeight w:val="28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12,497</w:t>
            </w:r>
          </w:p>
        </w:tc>
      </w:tr>
      <w:tr>
        <w:trPr>
          <w:trHeight w:val="260"/>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80"/>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60"/>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73"/>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70"/>
        </w:trPr>
        <w:tc>
          <w:tcPr>
            <w:tcW w:w="9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14,974</w:t>
            </w:r>
          </w:p>
        </w:tc>
      </w:tr>
      <w:tr>
        <w:trPr>
          <w:trHeight w:val="20"/>
        </w:trPr>
        <w:tc>
          <w:tcPr>
            <w:tcW w:w="9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Fitness Solutions Disposition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13, 2024, the Company entered into definitive sale and purchase agreements to sell its fitness solutions to Jonas Software. The sale of North American Fitness closed simultaneously with signing and the sale of UK Fitness closed July 1, 2024. The divestiture did not qualify for discontinued operations. During the year ended December 31, 2024, the Company recognized losses of $4.9 million, related to the sale of Fitness Solutions, which are included in loss on sale and impairments on our consolidated statements of operations and comprehensive loss. Additionally, the Company recognized $6.4 million of goodwill impairment charges representing the allocated goodwill to Fitness Solutions, which is included in loss on sale and impairments in the consolidated statements of operations and comprehensive loss.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disaggregation of our revenue from contracts with customers by revenue recognition pattern and geographical market:</w:t>
      </w:r>
    </w:p>
    <w:p>
      <w:pPr>
        <w:spacing w:after="0" w:line="167"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36830</wp:posOffset>
            </wp:positionV>
            <wp:extent cx="24942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57" w:lineRule="exact"/>
        <w:rPr>
          <w:sz w:val="20"/>
          <w:szCs w:val="20"/>
          <w:color w:val="auto"/>
        </w:rPr>
      </w:pPr>
    </w:p>
    <w:p>
      <w:pPr>
        <w:ind w:left="7760"/>
        <w:spacing w:after="0"/>
        <w:tabs>
          <w:tab w:leader="none" w:pos="9080" w:val="left"/>
          <w:tab w:leader="none" w:pos="104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36830</wp:posOffset>
            </wp:positionV>
            <wp:extent cx="24942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9"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pattern of recognition (timing of transfer of services):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Point in time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56,545</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61,445</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56,056</w:t>
            </w:r>
          </w:p>
        </w:tc>
      </w:tr>
      <w:tr>
        <w:trPr>
          <w:trHeight w:val="27"/>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Over time</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642,220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613,924</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564,690</w:t>
            </w:r>
          </w:p>
        </w:tc>
      </w:tr>
      <w:tr>
        <w:trPr>
          <w:trHeight w:val="263"/>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698,765</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675,369</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620,746</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7"/>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Geographical Market:</w:t>
            </w:r>
          </w:p>
        </w:tc>
        <w:tc>
          <w:tcPr>
            <w:tcW w:w="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43"/>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636,566</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614,782</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567,041</w:t>
            </w:r>
          </w:p>
        </w:tc>
      </w:tr>
      <w:tr>
        <w:trPr>
          <w:trHeight w:val="27"/>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62,199</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53,705</w:t>
            </w:r>
          </w:p>
        </w:tc>
      </w:tr>
      <w:tr>
        <w:trPr>
          <w:trHeight w:val="264"/>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698,765</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675,369</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620,746</w:t>
            </w:r>
          </w:p>
        </w:tc>
      </w:tr>
      <w:tr>
        <w:trPr>
          <w:trHeight w:val="20"/>
        </w:trPr>
        <w:tc>
          <w:tcPr>
            <w:tcW w:w="7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contracts from customers as of:</w:t>
            </w: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7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Pr>
          <w:p>
            <w:pPr>
              <w:spacing w:after="0"/>
              <w:rPr>
                <w:sz w:val="24"/>
                <w:szCs w:val="24"/>
                <w:color w:val="auto"/>
              </w:rPr>
            </w:pPr>
          </w:p>
        </w:tc>
      </w:tr>
      <w:tr>
        <w:trPr>
          <w:trHeight w:val="27"/>
        </w:trPr>
        <w:tc>
          <w:tcPr>
            <w:tcW w:w="72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Pr>
          <w:p>
            <w:pPr>
              <w:spacing w:after="0"/>
              <w:rPr>
                <w:sz w:val="20"/>
                <w:szCs w:val="20"/>
                <w:color w:val="auto"/>
              </w:rPr>
            </w:pPr>
          </w:p>
        </w:tc>
        <w:tc>
          <w:tcPr>
            <w:tcW w:w="13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2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00" w:type="dxa"/>
            <w:vAlign w:val="bottom"/>
          </w:tcPr>
          <w:p>
            <w:pPr>
              <w:spacing w:after="0"/>
              <w:rPr>
                <w:sz w:val="20"/>
                <w:szCs w:val="20"/>
                <w:color w:val="auto"/>
              </w:rPr>
            </w:pPr>
          </w:p>
        </w:tc>
      </w:tr>
      <w:tr>
        <w:trPr>
          <w:trHeight w:val="81"/>
        </w:trPr>
        <w:tc>
          <w:tcPr>
            <w:tcW w:w="7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40,155</w:t>
            </w:r>
          </w:p>
        </w:tc>
        <w:tc>
          <w:tcPr>
            <w:tcW w:w="72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45,417</w:t>
            </w:r>
          </w:p>
        </w:tc>
      </w:tr>
      <w:tr>
        <w:trPr>
          <w:trHeight w:val="24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13,313</w:t>
            </w:r>
          </w:p>
        </w:tc>
        <w:tc>
          <w:tcPr>
            <w:tcW w:w="7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16,117</w:t>
            </w:r>
          </w:p>
        </w:tc>
      </w:tr>
      <w:tr>
        <w:trPr>
          <w:trHeight w:val="27"/>
        </w:trPr>
        <w:tc>
          <w:tcPr>
            <w:tcW w:w="7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25,116</w:t>
            </w:r>
          </w:p>
        </w:tc>
        <w:tc>
          <w:tcPr>
            <w:tcW w:w="72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24,082</w:t>
            </w:r>
          </w:p>
        </w:tc>
      </w:tr>
      <w:tr>
        <w:trPr>
          <w:trHeight w:val="24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13,570</w:t>
            </w:r>
          </w:p>
        </w:tc>
        <w:tc>
          <w:tcPr>
            <w:tcW w:w="7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12,891</w:t>
            </w:r>
          </w:p>
        </w:tc>
      </w:tr>
      <w:tr>
        <w:trPr>
          <w:trHeight w:val="27"/>
        </w:trPr>
        <w:tc>
          <w:tcPr>
            <w:tcW w:w="7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7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r>
      <w:tr>
        <w:trPr>
          <w:trHeight w:val="27"/>
        </w:trPr>
        <w:tc>
          <w:tcPr>
            <w:tcW w:w="7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Accounts receivable, net: </w:t>
      </w:r>
      <w:r>
        <w:rPr>
          <w:rFonts w:ascii="Times New Roman" w:cs="Times New Roman" w:eastAsia="Times New Roman" w:hAnsi="Times New Roman"/>
          <w:sz w:val="18"/>
          <w:szCs w:val="18"/>
          <w:color w:val="auto"/>
        </w:rPr>
        <w:t>Accounts receivable, net of allowance for expected credit losses, represent rights to consideration in exchange for products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that have been transferred by us, when payment is unconditional and only the passage of time is required before payment is due.</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Contract assets: </w:t>
      </w:r>
      <w:r>
        <w:rPr>
          <w:rFonts w:ascii="Times New Roman" w:cs="Times New Roman" w:eastAsia="Times New Roman" w:hAnsi="Times New Roman"/>
          <w:sz w:val="18"/>
          <w:szCs w:val="18"/>
          <w:color w:val="auto"/>
        </w:rPr>
        <w:t>Contract assets represent rights to consideration in exchange for products or services that have been transferred (i.e.,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or portion of the performance obligation has been satisfied), but payment is conditional on something other than the passage of time. These amounts typically relate to contracts with the suppliers within our group purchasing programs for which payment is received at least one quarter in arrears from the service period. They also relate to contracts that include on-premise licenses and professional services where the right to payment is not present until completion of the contract or achievement of specified milestones and the fair value of products or services transferred exceed this constraint.</w:t>
      </w:r>
    </w:p>
    <w:p>
      <w:pPr>
        <w:spacing w:after="0" w:line="7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These amounts typically relate to contracts that include on-premise licenses and professional services where the right to payment is not present until completion of the contract or achievement of specified milestones and the fair value of products or services transferred exceed this constraint.</w:t>
      </w:r>
    </w:p>
    <w:p>
      <w:pPr>
        <w:spacing w:after="0" w:line="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Contract liabilities</w:t>
      </w:r>
      <w:r>
        <w:rPr>
          <w:rFonts w:ascii="Times New Roman" w:cs="Times New Roman" w:eastAsia="Times New Roman" w:hAnsi="Times New Roman"/>
          <w:sz w:val="18"/>
          <w:szCs w:val="18"/>
          <w:color w:val="auto"/>
        </w:rPr>
        <w:t>: Contract liabilities, or deferred revenue, represent our obligation to transfer products or services to a customer for which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received in advance of the satisfaction of performance obligations. Long-term deferred revenue is included within other non-current liabilities on the consolidated balance sheets. Revenue recognized from the contract liability balance at December 31, 2023 was $24.1 million for the year ended December 31, 2024. Revenue recognized from the contract liability balance at December 31, 2022 was $22.9 million for the year ended December 31, 2023.</w:t>
      </w:r>
    </w:p>
    <w:p>
      <w:pPr>
        <w:spacing w:after="0" w:line="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Customer deposits</w:t>
      </w:r>
      <w:r>
        <w:rPr>
          <w:rFonts w:ascii="Times New Roman" w:cs="Times New Roman" w:eastAsia="Times New Roman" w:hAnsi="Times New Roman"/>
          <w:sz w:val="18"/>
          <w:szCs w:val="18"/>
          <w:color w:val="auto"/>
        </w:rPr>
        <w:t>: Customer deposits relate to payments received in advance for contracts, which allow the customer to terminate a contract and receive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 rata refund for the unused portion of payments received to date.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allowance for expected credit losses is as follows for the years ended December 31, 2024 and 2023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Pr>
          <w:p>
            <w:pPr>
              <w:spacing w:after="0"/>
              <w:rPr>
                <w:sz w:val="20"/>
                <w:szCs w:val="20"/>
                <w:color w:val="auto"/>
              </w:rPr>
            </w:pPr>
          </w:p>
        </w:tc>
      </w:tr>
      <w:tr>
        <w:trPr>
          <w:trHeight w:val="27"/>
        </w:trPr>
        <w:tc>
          <w:tcPr>
            <w:tcW w:w="72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28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2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Allowances for expected credit losses, beginning of year</w:t>
            </w: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r>
      <w:tr>
        <w:trPr>
          <w:trHeight w:val="27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 adjustment due to implementation of the new credit loss standard</w:t>
            </w:r>
          </w:p>
        </w:tc>
        <w:tc>
          <w:tcPr>
            <w:tcW w:w="1260" w:type="dxa"/>
            <w:vAlign w:val="bottom"/>
          </w:tcPr>
          <w:p>
            <w:pPr>
              <w:spacing w:after="0"/>
              <w:rPr>
                <w:sz w:val="23"/>
                <w:szCs w:val="2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7"/>
        </w:trPr>
        <w:tc>
          <w:tcPr>
            <w:tcW w:w="7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w:t>
            </w:r>
          </w:p>
        </w:tc>
      </w:tr>
      <w:tr>
        <w:trPr>
          <w:trHeight w:val="24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w:t>
            </w:r>
          </w:p>
        </w:tc>
      </w:tr>
      <w:tr>
        <w:trPr>
          <w:trHeight w:val="27"/>
        </w:trPr>
        <w:tc>
          <w:tcPr>
            <w:tcW w:w="7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of Fitness Solutions</w:t>
            </w:r>
          </w:p>
        </w:tc>
        <w:tc>
          <w:tcPr>
            <w:tcW w:w="1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 end of year</w:t>
            </w: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8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w:t>
            </w:r>
          </w:p>
        </w:tc>
      </w:tr>
      <w:tr>
        <w:trPr>
          <w:trHeight w:val="21"/>
        </w:trPr>
        <w:tc>
          <w:tcPr>
            <w:tcW w:w="7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unsatisfied or partially satisfied performance obligations within contracts with an original expected contract term that is greater than one year for which fulfillment of the contract has started as of the end of the reporting period. Contracts that include 30-day termination rights are considered to be contracts with a term of one month</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are therefore excluded from remaining performance obligations. Remaining performance obligations generally relate to those which are stand-ready in nature, as found within the subscription and marketing technology solutions revenue streams. The aggregate amount of transaction consideration allocated to remaining performance obligations as of December 31, 2024 was $20.2 million. The Company expects to recognize approximately 60% of its remaining performance obligations as revenue within the next year, 29% of its remaining performance obligations as revenue the subsequent year, 9% of its remaining performance obligations as revenue in the third year, and the remainder during the two-year period thereafter.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to Obtain and Fulfill a Contract</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Assets resulting from costs to obtain contracts are included within prepaid expenses and other current assets for short-term balances and other non-current assets for long-term balances on the Company’s consolidated balance sheets. The costs to obtain contracts are amortized over five years, which corresponds with the useful life of the related technology. Short-term assets were $10.2 million and $8.6 million at December 31, 2024 and 2023, respectively, and long-term assets were $18.5 million and $17.9 million at December 31, 2024 and 2023, respectively. The Company recorded $6.7 million, $5.7 million and $4.3 million of amortization expense related to assets for the years ended December 31, 2024, 2023 and 2022, respectively, which is included in sales and marketing expense on the consolidated statements of operations and comprehensive loss, as well as $3.1 million, $2.3 million and $1.7 million, respectively, which is included in cost of revenues expense on the consolidated statements of operations and comprehensive loss.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Goodwill</w:t>
            </w: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2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Goodwill activity for the years ended December 31, 2024 and 2023 (in thousands):</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35"/>
        </w:trPr>
        <w:tc>
          <w:tcPr>
            <w:tcW w:w="9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2023</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914,082</w:t>
            </w:r>
          </w:p>
        </w:tc>
      </w:tr>
      <w:tr>
        <w:trPr>
          <w:trHeight w:val="243"/>
        </w:trPr>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Acquired goodwill</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12,497</w:t>
            </w:r>
          </w:p>
        </w:tc>
      </w:tr>
      <w:tr>
        <w:trPr>
          <w:trHeight w:val="27"/>
        </w:trPr>
        <w:tc>
          <w:tcPr>
            <w:tcW w:w="9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3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927,431</w:t>
            </w:r>
          </w:p>
        </w:tc>
      </w:tr>
      <w:tr>
        <w:trPr>
          <w:trHeight w:val="27"/>
        </w:trPr>
        <w:tc>
          <w:tcPr>
            <w:tcW w:w="9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Impairments</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(34,468)</w:t>
            </w:r>
          </w:p>
        </w:tc>
      </w:tr>
      <w:tr>
        <w:trPr>
          <w:trHeight w:val="243"/>
        </w:trPr>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foreign currency exchange rates</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w:t>
            </w:r>
          </w:p>
        </w:tc>
      </w:tr>
      <w:tr>
        <w:trPr>
          <w:trHeight w:val="27"/>
        </w:trPr>
        <w:tc>
          <w:tcPr>
            <w:tcW w:w="96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886,304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2024, in conjunction with our review of strategic alternatives for our marketing technology solutions, the Company evaluated the recoverability of our marketing technology reporting unit and determined that the estimated fair value was insufficient to recover the net carrying value of the reporting unit resulting in an impairment charge of approximately $28.1 million during the three months ended December 31, 2024 (see Note 20. Subsequent Event). Additionally, we recognized $6.4 million of goodwill impairment charges representing the allocated goodwill to Fitness Solutions (see Note 3. Acquisitions and Dispositions). Goodwill impairment charges are included in loss on sale and impairments on the consolidated statements of operations and comprehensive loss. There has been no other impairment of goodwill.</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Intangible Assets</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5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53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4"/>
        </w:trPr>
        <w:tc>
          <w:tcPr>
            <w:tcW w:w="53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Useful</w:t>
            </w: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2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38"/>
        </w:trPr>
        <w:tc>
          <w:tcPr>
            <w:tcW w:w="53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16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53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i w:val="1"/>
                <w:iCs w:val="1"/>
                <w:color w:val="auto"/>
                <w:w w:val="98"/>
              </w:rPr>
              <w:t>(in thousands)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81"/>
        </w:trPr>
        <w:tc>
          <w:tcPr>
            <w:tcW w:w="53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5-20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574,362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376,010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198,352</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 years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102,395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83,878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18,517</w:t>
            </w:r>
          </w:p>
        </w:tc>
      </w:tr>
      <w:tr>
        <w:trPr>
          <w:trHeight w:val="27"/>
        </w:trPr>
        <w:tc>
          <w:tcPr>
            <w:tcW w:w="5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 years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53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64"/>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716,420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489,580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226,840</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4"/>
        </w:trPr>
        <w:tc>
          <w:tcPr>
            <w:tcW w:w="53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Useful</w:t>
            </w: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2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38"/>
        </w:trPr>
        <w:tc>
          <w:tcPr>
            <w:tcW w:w="53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16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53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i w:val="1"/>
                <w:iCs w:val="1"/>
                <w:color w:val="auto"/>
                <w:w w:val="98"/>
              </w:rPr>
              <w:t>(in thousands)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81"/>
        </w:trPr>
        <w:tc>
          <w:tcPr>
            <w:tcW w:w="53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Customer relationships </w:t>
            </w:r>
            <w:r>
              <w:rPr>
                <w:rFonts w:ascii="Times New Roman" w:cs="Times New Roman" w:eastAsia="Times New Roman" w:hAnsi="Times New Roman"/>
                <w:sz w:val="10"/>
                <w:szCs w:val="10"/>
                <w:color w:val="auto"/>
              </w:rPr>
              <w:t>(1)</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3-20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605,908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336,558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269,350</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Developed technology </w:t>
            </w:r>
            <w:r>
              <w:rPr>
                <w:rFonts w:ascii="Times New Roman" w:cs="Times New Roman" w:eastAsia="Times New Roman" w:hAnsi="Times New Roman"/>
                <w:sz w:val="10"/>
                <w:szCs w:val="10"/>
                <w:color w:val="auto"/>
              </w:rPr>
              <w:t>(1)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2-12 years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106,482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31,765</w:t>
            </w:r>
          </w:p>
        </w:tc>
      </w:tr>
      <w:tr>
        <w:trPr>
          <w:trHeight w:val="27"/>
        </w:trPr>
        <w:tc>
          <w:tcPr>
            <w:tcW w:w="5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Trade names </w:t>
            </w:r>
            <w:r>
              <w:rPr>
                <w:rFonts w:ascii="Times New Roman" w:cs="Times New Roman" w:eastAsia="Times New Roman" w:hAnsi="Times New Roman"/>
                <w:sz w:val="10"/>
                <w:szCs w:val="10"/>
                <w:color w:val="auto"/>
              </w:rPr>
              <w:t>(1)</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 years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14,334</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 years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53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753,425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437,906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315,519</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640" w:hanging="308"/>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quarter ended December 31, 2023, we recognized an impairment charge including $2.7 million of customer relationships, $0.3 million of developed technology and</w:t>
      </w:r>
    </w:p>
    <w:p>
      <w:pPr>
        <w:spacing w:after="0" w:line="17" w:lineRule="exact"/>
        <w:rPr>
          <w:rFonts w:ascii="Times New Roman" w:cs="Times New Roman" w:eastAsia="Times New Roman" w:hAnsi="Times New Roman"/>
          <w:sz w:val="14"/>
          <w:szCs w:val="14"/>
          <w:color w:val="auto"/>
        </w:rPr>
      </w:pPr>
    </w:p>
    <w:p>
      <w:pPr>
        <w:ind w:left="660" w:right="260"/>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$0.1 million of trade names included in impairment expense on the consolidated statements of operations and comprehensive loss (see Note 2. Summary of Significant Accounting Policies).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$74.9 million, $91.2 million and $101.0 million for the years ended December 31, 2024, 2023 and 2022, respectively.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remaining useful life of intangible assets acquired is 7.2 years, 8.6 years and 9.6 years for the years ended December 31, 2024, 2023 and 2022, respectively.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determining the useful life for each category of intangible asset, the Company considered the following: the expected use of the intangible, the longevity of the brand and considerations for obsolescence, demand, competition and other economic factors.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Company’s intangible assets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59,206</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46,094</w:t>
            </w:r>
          </w:p>
        </w:tc>
        <w:tc>
          <w:tcPr>
            <w:tcW w:w="0" w:type="dxa"/>
            <w:vAlign w:val="bottom"/>
          </w:tcPr>
          <w:p>
            <w:pPr>
              <w:spacing w:after="0"/>
              <w:rPr>
                <w:sz w:val="1"/>
                <w:szCs w:val="1"/>
                <w:color w:val="auto"/>
              </w:rPr>
            </w:pPr>
          </w:p>
        </w:tc>
      </w:tr>
      <w:tr>
        <w:trPr>
          <w:trHeight w:val="24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35,372</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28,082</w:t>
            </w:r>
          </w:p>
        </w:tc>
        <w:tc>
          <w:tcPr>
            <w:tcW w:w="0" w:type="dxa"/>
            <w:vAlign w:val="bottom"/>
          </w:tcPr>
          <w:p>
            <w:pPr>
              <w:spacing w:after="0"/>
              <w:rPr>
                <w:sz w:val="1"/>
                <w:szCs w:val="1"/>
                <w:color w:val="auto"/>
              </w:rPr>
            </w:pPr>
          </w:p>
        </w:tc>
      </w:tr>
      <w:tr>
        <w:trPr>
          <w:trHeight w:val="24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19,651</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38,435</w:t>
            </w:r>
          </w:p>
        </w:tc>
        <w:tc>
          <w:tcPr>
            <w:tcW w:w="0" w:type="dxa"/>
            <w:vAlign w:val="bottom"/>
          </w:tcPr>
          <w:p>
            <w:pPr>
              <w:spacing w:after="0"/>
              <w:rPr>
                <w:sz w:val="1"/>
                <w:szCs w:val="1"/>
                <w:color w:val="auto"/>
              </w:rPr>
            </w:pPr>
          </w:p>
        </w:tc>
      </w:tr>
      <w:tr>
        <w:trPr>
          <w:trHeight w:val="26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amortization expense for the Company’s intangible assets</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226,840</w:t>
            </w:r>
          </w:p>
        </w:tc>
        <w:tc>
          <w:tcPr>
            <w:tcW w:w="0" w:type="dxa"/>
            <w:vAlign w:val="bottom"/>
          </w:tcPr>
          <w:p>
            <w:pPr>
              <w:spacing w:after="0"/>
              <w:rPr>
                <w:sz w:val="1"/>
                <w:szCs w:val="1"/>
                <w:color w:val="auto"/>
              </w:rPr>
            </w:pPr>
          </w:p>
        </w:tc>
      </w:tr>
      <w:tr>
        <w:trPr>
          <w:trHeight w:val="21"/>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Property and Equipment</w:t>
            </w: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80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0" w:type="dxa"/>
            <w:vAlign w:val="bottom"/>
          </w:tcPr>
          <w:p>
            <w:pPr>
              <w:spacing w:after="0"/>
              <w:rPr>
                <w:sz w:val="1"/>
                <w:szCs w:val="1"/>
                <w:color w:val="auto"/>
              </w:rPr>
            </w:pPr>
          </w:p>
        </w:tc>
      </w:tr>
      <w:tr>
        <w:trPr>
          <w:trHeight w:val="236"/>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25,899</w:t>
            </w: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27,178</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(19,241)</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(17,444)</w:t>
            </w:r>
          </w:p>
        </w:tc>
        <w:tc>
          <w:tcPr>
            <w:tcW w:w="0" w:type="dxa"/>
            <w:vAlign w:val="bottom"/>
          </w:tcPr>
          <w:p>
            <w:pPr>
              <w:spacing w:after="0"/>
              <w:rPr>
                <w:sz w:val="1"/>
                <w:szCs w:val="1"/>
                <w:color w:val="auto"/>
              </w:rPr>
            </w:pPr>
          </w:p>
        </w:tc>
      </w:tr>
      <w:tr>
        <w:trPr>
          <w:trHeight w:val="264"/>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expense was $3.6 million, $4.6 million and $4.1 million for the years ended December 31, 2024, 2023 and 2022, respectively. During the three months ended December 31, 2023, we recorded an impairment charge of $0.2 million to leasehold improvements, which is included in impairment expense on our consolidated statements of operations and comprehensive loss (see Note 2. Summary of Significant Accounting Policies).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Capitalized Software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software consisted of the following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Capitalized software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74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Capitalized software,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2040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20" w:type="dxa"/>
            <w:vAlign w:val="bottom"/>
          </w:tcPr>
          <w:p>
            <w:pPr>
              <w:spacing w:after="0"/>
              <w:rPr>
                <w:sz w:val="20"/>
                <w:szCs w:val="20"/>
                <w:color w:val="auto"/>
              </w:rPr>
            </w:pPr>
          </w:p>
        </w:tc>
      </w:tr>
      <w:tr>
        <w:trPr>
          <w:trHeight w:val="270"/>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71,329</w:t>
            </w:r>
          </w:p>
        </w:tc>
        <w:tc>
          <w:tcPr>
            <w:tcW w:w="80" w:type="dxa"/>
            <w:vAlign w:val="bottom"/>
          </w:tcPr>
          <w:p>
            <w:pPr>
              <w:spacing w:after="0"/>
              <w:rPr>
                <w:sz w:val="23"/>
                <w:szCs w:val="23"/>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64,137</w:t>
            </w:r>
          </w:p>
        </w:tc>
      </w:tr>
      <w:tr>
        <w:trPr>
          <w:trHeight w:val="270"/>
        </w:trPr>
        <w:tc>
          <w:tcPr>
            <w:tcW w:w="360" w:type="dxa"/>
            <w:vAlign w:val="bottom"/>
          </w:tcPr>
          <w:p>
            <w:pPr>
              <w:spacing w:after="0"/>
              <w:rPr>
                <w:sz w:val="23"/>
                <w:szCs w:val="23"/>
                <w:color w:val="auto"/>
              </w:rPr>
            </w:pPr>
          </w:p>
        </w:tc>
        <w:tc>
          <w:tcPr>
            <w:tcW w:w="12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(27,663)</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(21,626)</w:t>
            </w:r>
          </w:p>
        </w:tc>
      </w:tr>
      <w:tr>
        <w:trPr>
          <w:trHeight w:val="27"/>
        </w:trPr>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43,666</w:t>
            </w:r>
          </w:p>
        </w:tc>
        <w:tc>
          <w:tcPr>
            <w:tcW w:w="8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42,511</w:t>
            </w:r>
          </w:p>
        </w:tc>
      </w:tr>
      <w:tr>
        <w:trPr>
          <w:trHeight w:val="27"/>
        </w:trPr>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7300" w:space="720"/>
            <w:col w:w="3220"/>
          </w:cols>
          <w:pgMar w:left="320" w:top="333"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Amortization expense was $10.3 million, $8.4 million and $5.7 million for the years ended December 31, 2024, 2023 and 2022, respectively. During the ordinary course of business, the Company may determine that certain capitalized features of its software will no longer be used either internally or to deliver value to its customers. During the years ended December 31, 2024, 2023 and 2022, we recorded a charge of $0.8 million, $0.6 million and $1.2 million, respectively, related to capitalized costs associated with abandoned projects, which were included in general and administrative expense on the consolidated statements of operations and comprehensive loss.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2023, we recorded an impairment charge of $1.1 million, which is included in impairment expense on our consolidated statements of operations and comprehensive loss (see Note 2. Summary of Significant Accounting Policies).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leases real estate from unrelated parties under operating lease agreements that have initial terms ranging from one year to 11 years. Some leases include one or more options to renew, generally at our sole discretion, of five additional years each.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Pr>
          <w:p>
            <w:pPr>
              <w:spacing w:after="0"/>
              <w:rPr>
                <w:sz w:val="20"/>
                <w:szCs w:val="20"/>
                <w:color w:val="auto"/>
              </w:rPr>
            </w:pPr>
          </w:p>
        </w:tc>
      </w:tr>
      <w:tr>
        <w:trPr>
          <w:trHeight w:val="27"/>
        </w:trPr>
        <w:tc>
          <w:tcPr>
            <w:tcW w:w="8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20"/>
                <w:szCs w:val="20"/>
                <w:color w:val="auto"/>
              </w:rPr>
            </w:pPr>
          </w:p>
        </w:tc>
      </w:tr>
      <w:tr>
        <w:trPr>
          <w:trHeight w:val="27"/>
        </w:trPr>
        <w:tc>
          <w:tcPr>
            <w:tcW w:w="8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40" w:type="dxa"/>
            <w:vAlign w:val="bottom"/>
          </w:tcPr>
          <w:p>
            <w:pPr>
              <w:spacing w:after="0"/>
              <w:rPr>
                <w:sz w:val="20"/>
                <w:szCs w:val="20"/>
                <w:color w:val="auto"/>
              </w:rPr>
            </w:pP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0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64"/>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8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8,821</w:t>
            </w:r>
          </w:p>
        </w:tc>
      </w:tr>
      <w:tr>
        <w:trPr>
          <w:trHeight w:val="20"/>
        </w:trPr>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ceased use of certain leased premises and subleased certain facilities resulting in impairment charges of $0.4 million and $1.2 million for the years ended December 31, 2024 and 2023, respectively, to impair ROU lease assets to their fair value. During the three months ended December 31, 2023, we recorded a $0.6 million impairment charge related to ROU lease assets, which is included in loss on sale and impairments on our consolidated statement of operations and comprehensive loss (see Note 2. Summary of Significant Accounting Policies).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0"/>
        </w:trPr>
        <w:tc>
          <w:tcPr>
            <w:tcW w:w="8240" w:type="dxa"/>
            <w:vAlign w:val="bottom"/>
          </w:tcPr>
          <w:p>
            <w:pPr>
              <w:spacing w:after="0"/>
              <w:rPr>
                <w:sz w:val="23"/>
                <w:szCs w:val="23"/>
                <w:color w:val="auto"/>
              </w:rPr>
            </w:pP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Pr>
          <w:p>
            <w:pPr>
              <w:spacing w:after="0"/>
              <w:rPr>
                <w:sz w:val="23"/>
                <w:szCs w:val="23"/>
                <w:color w:val="auto"/>
              </w:rPr>
            </w:pPr>
          </w:p>
        </w:tc>
      </w:tr>
      <w:tr>
        <w:trPr>
          <w:trHeight w:val="27"/>
        </w:trPr>
        <w:tc>
          <w:tcPr>
            <w:tcW w:w="8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80" w:type="dxa"/>
            <w:vAlign w:val="bottom"/>
          </w:tcPr>
          <w:p>
            <w:pPr>
              <w:spacing w:after="0"/>
              <w:rPr>
                <w:sz w:val="20"/>
                <w:szCs w:val="20"/>
                <w:color w:val="auto"/>
              </w:rPr>
            </w:pPr>
          </w:p>
        </w:tc>
      </w:tr>
      <w:tr>
        <w:trPr>
          <w:trHeight w:val="81"/>
        </w:trPr>
        <w:tc>
          <w:tcPr>
            <w:tcW w:w="8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80" w:type="dxa"/>
            <w:vAlign w:val="bottom"/>
          </w:tcPr>
          <w:p>
            <w:pPr>
              <w:spacing w:after="0"/>
              <w:rPr>
                <w:sz w:val="7"/>
                <w:szCs w:val="7"/>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4,658</w:t>
            </w:r>
          </w:p>
        </w:tc>
        <w:tc>
          <w:tcPr>
            <w:tcW w:w="104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6,218</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 liabilities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1,078</w:t>
            </w:r>
          </w:p>
        </w:tc>
        <w:tc>
          <w:tcPr>
            <w:tcW w:w="10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1,602</w:t>
            </w:r>
          </w:p>
        </w:tc>
      </w:tr>
    </w:tbl>
    <w:p>
      <w:pPr>
        <w:spacing w:after="0" w:line="200" w:lineRule="exact"/>
        <w:rPr>
          <w:sz w:val="20"/>
          <w:szCs w:val="20"/>
          <w:color w:val="auto"/>
        </w:rPr>
      </w:pP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Supplemental balance sheet information, included in other non-current assets, accrued expenses and other and other non-current liabilities on the consolidated balance sheet, related to leases is as follows:</w:t>
      </w:r>
    </w:p>
    <w:p>
      <w:pPr>
        <w:sectPr>
          <w:pgSz w:w="11900" w:h="16838" w:orient="portrait"/>
          <w:cols w:equalWidth="0" w:num="1">
            <w:col w:w="11240"/>
          </w:cols>
          <w:pgMar w:left="320" w:top="3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40" w:type="dxa"/>
            <w:vAlign w:val="bottom"/>
          </w:tcPr>
          <w:p>
            <w:pPr>
              <w:spacing w:after="0"/>
              <w:rPr>
                <w:sz w:val="20"/>
                <w:szCs w:val="20"/>
                <w:color w:val="auto"/>
              </w:rPr>
            </w:pPr>
          </w:p>
        </w:tc>
      </w:tr>
      <w:tr>
        <w:trPr>
          <w:trHeight w:val="81"/>
        </w:trPr>
        <w:tc>
          <w:tcPr>
            <w:tcW w:w="8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15,861</w:t>
            </w:r>
          </w:p>
        </w:tc>
      </w:tr>
      <w:tr>
        <w:trPr>
          <w:trHeight w:val="257"/>
        </w:trPr>
        <w:tc>
          <w:tcPr>
            <w:tcW w:w="8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19,400</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17,011</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and 2023, the weighted average remaining lease term for operating leases was 4.93 years and 5.75 years, and the weighted average discount rate was 5.2% and 5.1%,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balance sheet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3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0" w:type="dxa"/>
            <w:vAlign w:val="bottom"/>
          </w:tcPr>
          <w:p>
            <w:pPr>
              <w:spacing w:after="0"/>
              <w:rPr>
                <w:sz w:val="1"/>
                <w:szCs w:val="1"/>
                <w:color w:val="auto"/>
              </w:rPr>
            </w:pPr>
          </w:p>
        </w:tc>
      </w:tr>
      <w:tr>
        <w:trPr>
          <w:trHeight w:val="26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Borders>
              <w:top w:val="single" w:sz="8" w:color="auto"/>
              <w:bottom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17,011</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Note 10. Long-Term Debt</w:t>
            </w: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8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 as of :</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8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Term notes with interest payable monthly, interest rate at Adjusted SOFR, plus an applicable margin of 2.50%</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(6.85701% at December 31, 2024) quarterly principal payments of 0.25% of original principal balance with</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balloon payment due July 2028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532,125</w:t>
            </w:r>
          </w:p>
        </w:tc>
        <w:tc>
          <w:tcPr>
            <w:tcW w:w="620" w:type="dxa"/>
            <w:vAlign w:val="bottom"/>
            <w:tcBorders>
              <w:bottom w:val="single" w:sz="8" w:color="CCEEFF"/>
            </w:tcBorders>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537,625</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Revolver with interest payable monthly, interest rate at Adjusted SOFR, plus an applicable margin of 3.25%</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(6.85701% at December 31, 2024), and outstanding balance due July 2026</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Principal debt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537,625</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 on long-term debt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on long-term debt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36"/>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527,942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532,196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36"/>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Long-term portion</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522,442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526,696</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40" w:right="500" w:hanging="6"/>
        <w:spacing w:after="0" w:line="302" w:lineRule="auto"/>
        <w:tabs>
          <w:tab w:leader="none" w:pos="34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December 13, 2024, the applicable rate for the Term Loans was 3.00% for Adjusted SOFR borrowings. See below for further details regarding the amendments to the Credit Facilities.</w:t>
      </w:r>
    </w:p>
    <w:p>
      <w:pPr>
        <w:spacing w:after="0" w:line="12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is party to a credit agreement, as amended, that provides for one term loan for an aggregate principal amount of $550.0 million (the “Term Loan”), a revolver with a capacity of $190.0 million (the “Revolver”) and a sub-limit of the Revolver available for letters of credit up to an aggregate face amount of $20.0 million. These debt arrangements are collectively referred to herein as the “Credit Facilities”.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as of July 1, 2023, borrowings under the Credit Facilities bear interest at the Company’s option at ABR plus an applicable rate, or at a forward-looking term rate based upon the secured overnight financing rate (“SOFR”), plus (i) (a) with respect to the Term Loan, credit spread adjustments of 0.11448%, 0.26161%, 0.42826% and 0.71513% for interest periods of one, three, six and twelve months, respectively, and (b) with respect to revolving loans, adjusted SOFR of 0.0% plus (ii) an applicable rate, in each case with such applicable rate based on the Company’s first lien net leverage ratio. The ABR represents the highest of the prime rate, Federal Reserve Bank of New York rate plus ½ of 1%, and the Adjusted SOFR for a one month interest period plus 1%.</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13, 2024, the Company entered into an amendment (the “Amendment”) to the Credit Facilities to reduce the applicable margin and remove the credit spread adjustment from the existing Term Loan in their entirety in an aggregate principal amount of $533.5 million. Following the Amendment, the Term Loan bears interest, at the borrower’s election, at (x) a forward-looking term rate based upon SOFR plus an applicable margin of 2.50%, with a minimum forward-looking SOFR rate 0.50% or (y) ABR plus an applicable margin of 1.50%, with a minimum ABR of 1.50%, in each case, with no step-downs. The credit spread adjustment was removed in connection with the Amendment. The refinanced Term Loan priced at par and refinanced all of the existing term loans outstanding under the Credit Agreement immediately prior to giving effect to the Amendment.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the fair value of long-term debt based on trading prices for its debt if available. As of December 31, 2024, the Company obtained trading prices for the term notes outstanding. However, as such trading prices require significant unobservable inputs to the pricing model, such instruments are classified as Level 2. The fair value amounts were approximately $537.4 million and $540.3 million as of December 31, 2024 and 2023, respectively.</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has entered into the following interest rate swap agreements in connection with its Credit Facilities to convert a portion of the floating rate component of the Term Loan from a floating rate to fixed rate: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Asset (Liability) Fair</w:t>
            </w:r>
          </w:p>
        </w:tc>
      </w:tr>
      <w:tr>
        <w:trPr>
          <w:trHeight w:val="189"/>
        </w:trPr>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Effective</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Value at</w:t>
            </w:r>
          </w:p>
        </w:tc>
      </w:tr>
      <w:tr>
        <w:trPr>
          <w:trHeight w:val="239"/>
        </w:trPr>
        <w:tc>
          <w:tcPr>
            <w:tcW w:w="18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Swap</w:t>
            </w:r>
          </w:p>
        </w:tc>
        <w:tc>
          <w:tcPr>
            <w:tcW w:w="8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tcPr>
          <w:p>
            <w:pPr>
              <w:spacing w:after="0"/>
              <w:rPr>
                <w:sz w:val="20"/>
                <w:szCs w:val="20"/>
                <w:color w:val="auto"/>
              </w:rPr>
            </w:pPr>
          </w:p>
        </w:tc>
        <w:tc>
          <w:tcPr>
            <w:tcW w:w="1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Fixed Interest Rate</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3"/>
        </w:trPr>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160" w:type="dxa"/>
            <w:vAlign w:val="bottom"/>
          </w:tcPr>
          <w:p>
            <w:pPr>
              <w:spacing w:after="0"/>
              <w:rPr>
                <w:sz w:val="20"/>
                <w:szCs w:val="20"/>
                <w:color w:val="auto"/>
              </w:rPr>
            </w:pPr>
          </w:p>
        </w:tc>
        <w:tc>
          <w:tcPr>
            <w:tcW w:w="1740" w:type="dxa"/>
            <w:vAlign w:val="bottom"/>
          </w:tcPr>
          <w:p>
            <w:pPr>
              <w:jc w:val="center"/>
              <w:ind w:right="75"/>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60"/>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Swap</w:t>
            </w: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2022</w:t>
            </w: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2027</w:t>
            </w:r>
          </w:p>
        </w:tc>
        <w:tc>
          <w:tcPr>
            <w:tcW w:w="1880" w:type="dxa"/>
            <w:vAlign w:val="bottom"/>
            <w:tcBorders>
              <w:bottom w:val="single" w:sz="8" w:color="CCEEFF"/>
            </w:tcBorders>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4.212 %  $</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43"/>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Swap</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31, 2027</w:t>
            </w:r>
          </w:p>
        </w:tc>
        <w:tc>
          <w:tcPr>
            <w:tcW w:w="15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3.951 %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7"/>
        </w:trPr>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Swap</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 2024</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2027</w:t>
            </w:r>
          </w:p>
        </w:tc>
        <w:tc>
          <w:tcPr>
            <w:tcW w:w="1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3.395 %</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r>
      <w:tr>
        <w:trPr>
          <w:trHeight w:val="27"/>
        </w:trPr>
        <w:tc>
          <w:tcPr>
            <w:tcW w:w="1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Swap Agreements are accounted for as derivatives whereby the fair value of the contract is reported within the consolidated balance sheets, and related gains and losses resulting from changes in the fair value are reported in interest and other expense, net, in the statements of operations and comprehensive loss. As of December 31, 2024 the fair value of the Initial Swap was a liability of $0.9 million, while the fair value of the Second and Third Swaps were an asset of $2.4 million, which are reported in other non-current liabilities and other non-current assets, respectively, on the consolidated balance sheets. The related net gains and losses resulting from changes in fair value was a gain of $6.4 million and losses of $2.0 million and $2.9 million for the years ended December 31, 2024, 2023 and 2022, respectively.</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Credit Facilities are subject to certain financial and nonfinancial covenants and are secured by substantially all assets of the Company. As of December 31, 2024, the Company was in compliance with all of its covenants.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Aggregate maturities of the Company’s debt are as follows (in thousands):</w:t>
            </w: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9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43"/>
        </w:trPr>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7"/>
        </w:trPr>
        <w:tc>
          <w:tcPr>
            <w:tcW w:w="9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43"/>
        </w:trPr>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515,625</w:t>
            </w:r>
          </w:p>
        </w:tc>
      </w:tr>
      <w:tr>
        <w:trPr>
          <w:trHeight w:val="27"/>
        </w:trPr>
        <w:tc>
          <w:tcPr>
            <w:tcW w:w="9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6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aggregate maturities of the Company’s debt</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532,125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Equity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6, 2021, the Company filed an amended and restated certificate of incorporation with the Secretary of State of the State of Delaware to authorize the issuance of up to 2,050,000,000 shares, par value $0.00001 per share, consisting of 2,000,000,000 shares of common stock and 50,000,000 shares of preferred stock.</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Program</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14, 2022, our Board approved a stock repurchase program (as subsequently amended, the “Repurchase Program”) with authorization to purchase up to $50.0 million in shares of the Company’s common stock through the expiration of the program on December 21, 2022. On November 7, 2022, November 5, 2023, and May 21, 2024, our Board increased the authorization of the Repurchase Program by an additional $50.0 million in shares of the Company’s common stock on each date for a total authorization to repurchase up to $200.0 million in shares of the Company’s common stock, and most recently, extended the expiration of the Repurchase Program through December 31, 2025. On December 14, 2023, our Board approved a stock purchase agreement entered into between the Company and Eric Remer, Matt Feierstein, Marc Thompson, Sarah Jordan, Shane Driggers and Evan Berlin, who served as officers of the Company at the time of the agreement (collectively, the “Selling Stockholders”). On December 19, 2023, as part of our Repurchase Program, the Company repurchased an aggregate of 1,401,472 shares of common stock from the Selling Stockholders at a price of $9.82 per share, for an aggregate price of $13.8 million. Repurchases under the program may be made in the open market, in privately negotiated transactions or otherwise, with the amount and timing of repurchases to be determined at the Company’s discretion, depending on market conditions and corporate needs. The Repurchase Program does not obligate the Company to acquire any particular amount of common stock and may be modified, suspended or terminated at any time at the discretion of the Board. The Company expects to fund repurchases with existing cash on hand.</w:t>
      </w:r>
    </w:p>
    <w:p>
      <w:pPr>
        <w:spacing w:after="0" w:line="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repurchased and retired 5.7 million shares of common stock pursuant to the Repurchase Program for $57.7 million, including transaction fees and taxes, during the year ended December 31, 2024. As of December 31, 2024, $32.7 million remained available under the Repurchase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2016, the Company adopted the 2016 Equity Incentive Plan (the “2016 Plan”). The 2016 Plan provided for the granting of stock-based awards, including stock options, stock appreciation rights, restricted or unrestricted stock awards, phantom stock, performance awards and other stock-based awards. The 2016 Plan allowed for the granting of stock-based awards through January 17, 2027.</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Initial Public Offering (“IPO”), the Company’s Board adopted, and the Company’s stockholders approved, the 2021 Incentive Award Plan (the “2021 Plan”), which became effective immediately prior to the effectiveness of the registration statement for the Company’s IPO and, as a result of which, the Company can no longer make awards under the 2016 Plan. The 2021 Plan provides for the issuance of incentive stock options, non-qualified stock options, stock awards, stock units, stock appreciation rights and other stock-based awards. The number of shares initially reserved for issuance under the 2021 Plan was 22,000,000 shares, inclusive of available shares previously reserved for issuance under the 2016 Plan. In addition, the number of shares reserved for issuance under the 2021 Plan is subject to an annual increase on the first day of each calendar year beginning on January 1, 2022 and ending on and including January 1, 2031, equal to the lesser of (i) 3% of the shares outstanding (on an as-converted basis) on the last day of the immediately preceding fiscal year and (ii) such smaller number of shares as determined by the Company’s Board, provided that no more than 22,000,000 shares may be issued upon the exercise of incentive stock options. Based on the number of outstanding shares of the Company’s common stock as of December 31, 2023, on January 1, 2024 the number of shares reserved for issuance under the 2021 Plan increased by 5.5 million.</w:t>
      </w:r>
    </w:p>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August 2024, the Company adopted a "withhold to cover" program, which allows it to withhold common stock from employees in connection with the settlement of income tax withholding obligations arising from the vesting of restricted stock unit (“RSUs”) under the 2021 Plan.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2024 and 2022, the Company granted time-based and performance-based stock options to employees and directors. Time-based options granted under the 2016 Plan vest 25% after one year, and then monthly over the next three years. Time-based options granted to newly hired employees under the 2021 Plan generally vest 25% after one year and then quarterly over the next three years. The vesting schedule for options granted to existing employees provides that the options vest ratably in quarterly installments over a period of four years. Time-based options granted under both the 2016 Plan and the 2021 Plan expire 10 years from date of grant and carry an exercise price equal to the fair market value at the date of grant as determined by the Company’s Board for options granted under the 2016 Plan and an exercise price equal to the closing price of the Company’s stock at the date of grant for options granted under the 2021 Plan. The Company did not grant stock options in 2023.</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performance-based options generally carried an exercise price equal to the fair market value at the date of grant as determined by the Board and expired 10 years from date of grant. For options outstanding following the IPO, there was a market condition based on the Company achieving a volume weighted average stock price ranging from $27.41 to $36.54 through June 2023, none of which vested. To date, $17.4 million of stock-based compensation expense has been recognized related to the market condition-based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The relevant data used to determine the value of the stock options is as follows:</w:t>
            </w:r>
          </w:p>
        </w:tc>
        <w:tc>
          <w:tcPr>
            <w:tcW w:w="14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78"/>
        </w:trPr>
        <w:tc>
          <w:tcPr>
            <w:tcW w:w="6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80" w:type="dxa"/>
            <w:vAlign w:val="bottom"/>
          </w:tcPr>
          <w:p>
            <w:pPr>
              <w:spacing w:after="0"/>
              <w:rPr>
                <w:sz w:val="24"/>
                <w:szCs w:val="24"/>
                <w:color w:val="auto"/>
              </w:rPr>
            </w:pPr>
          </w:p>
        </w:tc>
      </w:tr>
      <w:tr>
        <w:trPr>
          <w:trHeight w:val="27"/>
        </w:trPr>
        <w:tc>
          <w:tcPr>
            <w:tcW w:w="63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632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2023</w:t>
            </w:r>
            <w:r>
              <w:rPr>
                <w:rFonts w:ascii="Times New Roman" w:cs="Times New Roman" w:eastAsia="Times New Roman" w:hAnsi="Times New Roman"/>
                <w:sz w:val="23"/>
                <w:szCs w:val="23"/>
                <w:b w:val="1"/>
                <w:bCs w:val="1"/>
                <w:color w:val="auto"/>
                <w:w w:val="92"/>
                <w:vertAlign w:val="superscript"/>
              </w:rPr>
              <w:t>(1)</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34"/>
        </w:trPr>
        <w:tc>
          <w:tcPr>
            <w:tcW w:w="6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148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1.89%</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1.82%</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6.1</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6.1</w:t>
            </w:r>
          </w:p>
        </w:tc>
      </w:tr>
      <w:tr>
        <w:trPr>
          <w:trHeight w:val="27"/>
        </w:trPr>
        <w:tc>
          <w:tcPr>
            <w:tcW w:w="6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expected volatility</w:t>
            </w:r>
          </w:p>
        </w:tc>
        <w:tc>
          <w:tcPr>
            <w:tcW w:w="148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50%</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There were no stock options granted during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for the year ended December 31, 2024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3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3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Remaining Contractual</w:t>
            </w: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Term in Years</w:t>
            </w:r>
          </w:p>
        </w:tc>
        <w:tc>
          <w:tcPr>
            <w:tcW w:w="12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5220" w:type="dxa"/>
            <w:vAlign w:val="bottom"/>
            <w:tcBorders>
              <w:bottom w:val="single" w:sz="8" w:color="auto"/>
            </w:tcBorders>
            <w:gridSpan w:val="8"/>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5220" w:type="dxa"/>
            <w:vAlign w:val="bottom"/>
            <w:gridSpan w:val="8"/>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 except for exercise price and term in years)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at January 1, 2024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13,337</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tcBorders>
              <w:bottom w:val="single" w:sz="8" w:color="CCEEFF"/>
            </w:tcBorders>
            <w:shd w:val="clear" w:color="auto" w:fill="CCEEFF"/>
          </w:tcPr>
          <w:p>
            <w:pPr>
              <w:spacing w:after="0"/>
              <w:rPr>
                <w:sz w:val="24"/>
                <w:szCs w:val="24"/>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at December 31, 2024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14,488</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tcBorders>
              <w:bottom w:val="single" w:sz="8" w:color="CCEEFF"/>
            </w:tcBorders>
            <w:shd w:val="clear" w:color="auto" w:fill="CCEEFF"/>
          </w:tcPr>
          <w:p>
            <w:pPr>
              <w:spacing w:after="0"/>
              <w:rPr>
                <w:sz w:val="24"/>
                <w:szCs w:val="24"/>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Borders>
              <w:bottom w:val="single" w:sz="8" w:color="CCEEFF"/>
            </w:tcBorders>
            <w:shd w:val="clear" w:color="auto" w:fill="CCEEFF"/>
          </w:tcPr>
          <w:p>
            <w:pPr>
              <w:spacing w:after="0"/>
              <w:rPr>
                <w:sz w:val="24"/>
                <w:szCs w:val="24"/>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19,072</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weighted-average grant date fair value of time-based stock options granted was $5.31, nil, and $5.76 for the years ended December 31, 2024, 2023 and 2022, respectively. The total intrinsic value of options exercised during the years ended December 31, 2024, 2023 and 2022 was $2.8 million, $2.2 million and $2.3 million, respectively. Compensation expense of $5.8 million, $11.5 million and $19.3 million was recognized in stock-based compensation for the years ended December 31, 2024, 2023 and 2022, respectively. The unrecognized compensation expense associated with outstanding time-based stock options at December 31, 2024 was $8.7 million, which is expected to be recognized over a weighted average period of 2.85 years.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issued time vesting RSUs. The vesting schedule for awards granted to newly hired employees provides that the awards vest over a four-year period starting on the grant date, with 25% of the awards vesting on the one-year anniversary, and then in equal quarterly installments for the subsequent three years. The vesting schedule for awards granted to existing employees provides that the awards vest ratably in quarterly installments over a period of four years. The Company records compensation expense for these awards on a straight-line basis, which approximates the service period. Compensation expense of $19.7 million, $12.8 million and $6.0 million related to these awards was recognized in the statements of operations and comprehensive loss for the years ended December 31, 2024, 2023 and 2022, respectively. The unrecognized compensation expense associated with the RSUs at December 31, 2024 was $35.2 million, which is expected to be recognized over a weighted average period of 2.74 years.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time vesting restricted stock units activity for the year ended December 31, 2024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38"/>
        </w:trPr>
        <w:tc>
          <w:tcPr>
            <w:tcW w:w="6540" w:type="dxa"/>
            <w:vAlign w:val="bottom"/>
          </w:tcPr>
          <w:p>
            <w:pPr>
              <w:spacing w:after="0"/>
              <w:rPr>
                <w:sz w:val="20"/>
                <w:szCs w:val="20"/>
                <w:color w:val="auto"/>
              </w:rPr>
            </w:pPr>
          </w:p>
        </w:tc>
        <w:tc>
          <w:tcPr>
            <w:tcW w:w="24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Number of Units</w:t>
            </w:r>
          </w:p>
        </w:tc>
        <w:tc>
          <w:tcPr>
            <w:tcW w:w="200" w:type="dxa"/>
            <w:vAlign w:val="bottom"/>
          </w:tcPr>
          <w:p>
            <w:pPr>
              <w:spacing w:after="0"/>
              <w:rPr>
                <w:sz w:val="20"/>
                <w:szCs w:val="20"/>
                <w:color w:val="auto"/>
              </w:rPr>
            </w:pPr>
          </w:p>
        </w:tc>
        <w:tc>
          <w:tcPr>
            <w:tcW w:w="21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r>
      <w:tr>
        <w:trPr>
          <w:trHeight w:val="27"/>
        </w:trPr>
        <w:tc>
          <w:tcPr>
            <w:tcW w:w="6540" w:type="dxa"/>
            <w:vAlign w:val="bottom"/>
          </w:tcPr>
          <w:p>
            <w:pPr>
              <w:spacing w:after="0"/>
              <w:rPr>
                <w:sz w:val="2"/>
                <w:szCs w:val="2"/>
                <w:color w:val="auto"/>
              </w:rPr>
            </w:pPr>
          </w:p>
        </w:tc>
        <w:tc>
          <w:tcPr>
            <w:tcW w:w="4700" w:type="dxa"/>
            <w:vAlign w:val="bottom"/>
            <w:tcBorders>
              <w:bottom w:val="single" w:sz="8" w:color="auto"/>
            </w:tcBorders>
            <w:gridSpan w:val="4"/>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4700" w:type="dxa"/>
            <w:vAlign w:val="bottom"/>
            <w:gridSpan w:val="4"/>
          </w:tcPr>
          <w:p>
            <w:pPr>
              <w:jc w:val="right"/>
              <w:ind w:right="990"/>
              <w:spacing w:after="0"/>
              <w:rPr>
                <w:sz w:val="20"/>
                <w:szCs w:val="20"/>
                <w:color w:val="auto"/>
              </w:rPr>
            </w:pPr>
            <w:r>
              <w:rPr>
                <w:rFonts w:ascii="Times New Roman" w:cs="Times New Roman" w:eastAsia="Times New Roman" w:hAnsi="Times New Roman"/>
                <w:sz w:val="18"/>
                <w:szCs w:val="18"/>
                <w:i w:val="1"/>
                <w:iCs w:val="1"/>
                <w:color w:val="auto"/>
              </w:rPr>
              <w:t>(in thousands except for fair value)</w:t>
            </w:r>
          </w:p>
        </w:tc>
      </w:tr>
      <w:tr>
        <w:trPr>
          <w:trHeight w:val="81"/>
        </w:trPr>
        <w:tc>
          <w:tcPr>
            <w:tcW w:w="6540" w:type="dxa"/>
            <w:vAlign w:val="bottom"/>
          </w:tcPr>
          <w:p>
            <w:pPr>
              <w:spacing w:after="0"/>
              <w:rPr>
                <w:sz w:val="7"/>
                <w:szCs w:val="7"/>
                <w:color w:val="auto"/>
              </w:rPr>
            </w:pPr>
          </w:p>
        </w:tc>
        <w:tc>
          <w:tcPr>
            <w:tcW w:w="2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100" w:type="dxa"/>
            <w:vAlign w:val="bottom"/>
          </w:tcPr>
          <w:p>
            <w:pPr>
              <w:spacing w:after="0"/>
              <w:rPr>
                <w:sz w:val="7"/>
                <w:szCs w:val="7"/>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at January 1, 2024</w:t>
            </w:r>
          </w:p>
        </w:tc>
        <w:tc>
          <w:tcPr>
            <w:tcW w:w="2320" w:type="dxa"/>
            <w:vAlign w:val="bottom"/>
            <w:tcBorders>
              <w:bottom w:val="single" w:sz="8" w:color="CCEEFF"/>
            </w:tcBorders>
            <w:shd w:val="clear" w:color="auto" w:fill="CCEEFF"/>
          </w:tcPr>
          <w:p>
            <w:pPr>
              <w:jc w:val="center"/>
              <w:ind w:left="1670"/>
              <w:spacing w:after="0"/>
              <w:rPr>
                <w:sz w:val="20"/>
                <w:szCs w:val="20"/>
                <w:color w:val="auto"/>
              </w:rPr>
            </w:pPr>
            <w:r>
              <w:rPr>
                <w:rFonts w:ascii="Times New Roman" w:cs="Times New Roman" w:eastAsia="Times New Roman" w:hAnsi="Times New Roman"/>
                <w:sz w:val="18"/>
                <w:szCs w:val="18"/>
                <w:color w:val="auto"/>
                <w:w w:val="98"/>
              </w:rPr>
              <w:t>3,337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43"/>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232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3,408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7"/>
        </w:trPr>
        <w:tc>
          <w:tcPr>
            <w:tcW w:w="65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2320" w:type="dxa"/>
            <w:vAlign w:val="bottom"/>
            <w:tcBorders>
              <w:bottom w:val="single" w:sz="8" w:color="CCEEFF"/>
            </w:tcBorders>
            <w:shd w:val="clear" w:color="auto" w:fill="CCEEFF"/>
          </w:tcPr>
          <w:p>
            <w:pPr>
              <w:jc w:val="center"/>
              <w:ind w:left="1630"/>
              <w:spacing w:after="0"/>
              <w:rPr>
                <w:sz w:val="20"/>
                <w:szCs w:val="20"/>
                <w:color w:val="auto"/>
              </w:rPr>
            </w:pPr>
            <w:r>
              <w:rPr>
                <w:rFonts w:ascii="Times New Roman" w:cs="Times New Roman" w:eastAsia="Times New Roman" w:hAnsi="Times New Roman"/>
                <w:sz w:val="18"/>
                <w:szCs w:val="18"/>
                <w:color w:val="auto"/>
                <w:w w:val="98"/>
              </w:rPr>
              <w:t>(1,789)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43"/>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232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8"/>
              </w:rPr>
              <w:t>(1,055)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7"/>
        </w:trPr>
        <w:tc>
          <w:tcPr>
            <w:tcW w:w="654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89"/>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at December 31, 2024</w:t>
            </w:r>
          </w:p>
        </w:tc>
        <w:tc>
          <w:tcPr>
            <w:tcW w:w="2320" w:type="dxa"/>
            <w:vAlign w:val="bottom"/>
            <w:tcBorders>
              <w:bottom w:val="single" w:sz="8" w:color="auto"/>
            </w:tcBorders>
            <w:shd w:val="clear" w:color="auto" w:fill="CCEEFF"/>
          </w:tcPr>
          <w:p>
            <w:pPr>
              <w:jc w:val="center"/>
              <w:ind w:left="1670"/>
              <w:spacing w:after="0"/>
              <w:rPr>
                <w:sz w:val="20"/>
                <w:szCs w:val="20"/>
                <w:color w:val="auto"/>
              </w:rPr>
            </w:pPr>
            <w:r>
              <w:rPr>
                <w:rFonts w:ascii="Times New Roman" w:cs="Times New Roman" w:eastAsia="Times New Roman" w:hAnsi="Times New Roman"/>
                <w:sz w:val="18"/>
                <w:szCs w:val="18"/>
                <w:color w:val="auto"/>
                <w:w w:val="98"/>
              </w:rPr>
              <w:t>3,901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IPO, the Company’s Board adopted the 2021 Employee Stock Purchase Plan. The ESPP is designed to allow eligible employees to purchase shares of our common stock, at periodic intervals, with their accumulated payroll deductions. The aggregate number of shares of common stock that were initially reserved for issuance under the ESPP is equal to the sum of (i) 4,500,000 shares and (ii) an annual increase on the first day of each calendar year beginning in 2022 and ending in and including 2031 equal to the lesser of (A) one percent (1%) of the outstanding shares of our common stock on the last day of the immediately preceding fiscal year and (B) such smaller number of shares as determined by the Board; provided that in no event will more than 60,000,000 shares of our common stock be available for issuance under the ESPP. Compensation expense of $1.0 million, $1.3 million and $1.5 million related to the ESPP was recognized in the statements of operations and comprehensive loss for the years ended December 31, 2024, 2023 and 2022,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classified in the accompanying consolidated statements of operations and comprehensive loss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gridSpan w:val="6"/>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8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81"/>
        </w:trPr>
        <w:tc>
          <w:tcPr>
            <w:tcW w:w="7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23,088</w:t>
            </w: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25,559</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26,818</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Share Attributable to Common 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for the Company’s common stock as of:</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6"/>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760" w:type="dxa"/>
            <w:vAlign w:val="bottom"/>
          </w:tcPr>
          <w:p>
            <w:pPr>
              <w:spacing w:after="0"/>
              <w:rPr>
                <w:sz w:val="20"/>
                <w:szCs w:val="20"/>
                <w:color w:val="auto"/>
              </w:rPr>
            </w:pPr>
          </w:p>
        </w:tc>
      </w:tr>
      <w:tr>
        <w:trPr>
          <w:trHeight w:val="27"/>
        </w:trPr>
        <w:tc>
          <w:tcPr>
            <w:tcW w:w="7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7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7"/>
        </w:trPr>
        <w:tc>
          <w:tcPr>
            <w:tcW w:w="7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7"/>
          </w:tcPr>
          <w:p>
            <w:pPr>
              <w:spacing w:after="0"/>
              <w:rPr>
                <w:sz w:val="2"/>
                <w:szCs w:val="2"/>
                <w:color w:val="auto"/>
              </w:rPr>
            </w:pPr>
          </w:p>
        </w:tc>
      </w:tr>
      <w:tr>
        <w:trPr>
          <w:trHeight w:val="237"/>
        </w:trPr>
        <w:tc>
          <w:tcPr>
            <w:tcW w:w="7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4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r>
      <w:tr>
        <w:trPr>
          <w:trHeight w:val="81"/>
        </w:trPr>
        <w:tc>
          <w:tcPr>
            <w:tcW w:w="7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70"/>
        </w:trPr>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(41,089)</w:t>
            </w:r>
          </w:p>
        </w:tc>
        <w:tc>
          <w:tcPr>
            <w:tcW w:w="10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(45,620)</w:t>
            </w:r>
          </w:p>
        </w:tc>
        <w:tc>
          <w:tcPr>
            <w:tcW w:w="80" w:type="dxa"/>
            <w:vAlign w:val="bottom"/>
          </w:tcPr>
          <w:p>
            <w:pPr>
              <w:spacing w:after="0"/>
              <w:rPr>
                <w:sz w:val="23"/>
                <w:szCs w:val="23"/>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(59,816)</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7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95"/>
        </w:trPr>
        <w:tc>
          <w:tcPr>
            <w:tcW w:w="7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2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184,898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188,939</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194,625</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95"/>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common stock equivalents have been excluded from the computation of diluted net loss per share attributable to common stockholders for the periods presented due to their anti-dilutive effect: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73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4"/>
        </w:trPr>
        <w:tc>
          <w:tcPr>
            <w:tcW w:w="7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 and unvested RSUs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18,390</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16,674</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18,959</w:t>
            </w: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of common stock pursuant to ESPP</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7"/>
        </w:trPr>
        <w:tc>
          <w:tcPr>
            <w:tcW w:w="73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7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anti-dilutive outstanding potential common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16,952</w:t>
            </w:r>
          </w:p>
        </w:tc>
        <w:tc>
          <w:tcPr>
            <w:tcW w:w="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of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64"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Valuations based on quoted prices in active markets for identical assets or liabilities that an entity has the ability to access.</w:t>
      </w:r>
    </w:p>
    <w:p>
      <w:pPr>
        <w:spacing w:after="0" w:line="117"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Valuations based on quoted prices for similar assets or liabilities, quoted prices for identical assets or liabilities in markets that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data for substantially the full term of the assets or liabilities.</w:t>
      </w:r>
    </w:p>
    <w:p>
      <w:pPr>
        <w:spacing w:after="0" w:line="4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Valuations based on inputs that are supported by little or no market activity and that are significant to the fair value of the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cash and cash equivalents, accounts receivable, contract assets and accounts payable approximate their fair value because of the short-term nature of these instruments. Our interest rate swaps are valued based upon interest yield curves, interest rate volatility and credit spreads. Our interest rate swaps are classified within Level 2 of the fair value hierarchy as all significant inputs are corroborated by observable data.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years ended December 31,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as of:</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3"/>
          </w:tcPr>
          <w:p>
            <w:pPr>
              <w:jc w:val="center"/>
              <w:ind w:right="129"/>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229"/>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0"/>
                <w:szCs w:val="20"/>
                <w:color w:val="auto"/>
              </w:rPr>
            </w:pPr>
          </w:p>
        </w:tc>
        <w:tc>
          <w:tcPr>
            <w:tcW w:w="960" w:type="dxa"/>
            <w:vAlign w:val="bottom"/>
          </w:tcPr>
          <w:p>
            <w:pPr>
              <w:jc w:val="right"/>
              <w:ind w:right="229"/>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c>
          <w:tcPr>
            <w:tcW w:w="2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3"/>
          </w:tcPr>
          <w:p>
            <w:pPr>
              <w:jc w:val="center"/>
              <w:ind w:right="129"/>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80" w:type="dxa"/>
            <w:vAlign w:val="bottom"/>
          </w:tcPr>
          <w:p>
            <w:pPr>
              <w:spacing w:after="0"/>
              <w:rPr>
                <w:sz w:val="21"/>
                <w:szCs w:val="21"/>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2,443</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947</w:t>
            </w:r>
          </w:p>
        </w:tc>
        <w:tc>
          <w:tcPr>
            <w:tcW w:w="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tcBorders>
              <w:bottom w:val="single" w:sz="8" w:color="CCEEFF"/>
            </w:tcBorders>
            <w:shd w:val="clear" w:color="auto" w:fill="CCEEFF"/>
          </w:tcPr>
          <w:p>
            <w:pPr>
              <w:spacing w:after="0"/>
              <w:rPr>
                <w:sz w:val="24"/>
                <w:szCs w:val="24"/>
                <w:color w:val="auto"/>
              </w:rPr>
            </w:pPr>
          </w:p>
        </w:tc>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0" w:type="dxa"/>
            <w:vAlign w:val="bottom"/>
          </w:tcPr>
          <w:p>
            <w:pPr>
              <w:spacing w:after="0"/>
              <w:rPr>
                <w:sz w:val="1"/>
                <w:szCs w:val="1"/>
                <w:color w:val="auto"/>
              </w:rPr>
            </w:pPr>
          </w:p>
        </w:tc>
      </w:tr>
      <w:tr>
        <w:trPr>
          <w:trHeight w:val="473"/>
        </w:trPr>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gridSpan w:val="3"/>
          </w:tcPr>
          <w:p>
            <w:pPr>
              <w:jc w:val="center"/>
              <w:ind w:right="109"/>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229"/>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0"/>
                <w:szCs w:val="20"/>
                <w:color w:val="auto"/>
              </w:rPr>
            </w:pPr>
          </w:p>
        </w:tc>
        <w:tc>
          <w:tcPr>
            <w:tcW w:w="960" w:type="dxa"/>
            <w:vAlign w:val="bottom"/>
          </w:tcPr>
          <w:p>
            <w:pPr>
              <w:jc w:val="right"/>
              <w:ind w:right="229"/>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c>
          <w:tcPr>
            <w:tcW w:w="2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3"/>
          </w:tcPr>
          <w:p>
            <w:pPr>
              <w:jc w:val="center"/>
              <w:ind w:right="129"/>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Pr>
          <w:p>
            <w:pPr>
              <w:spacing w:after="0"/>
              <w:rPr>
                <w:sz w:val="21"/>
                <w:szCs w:val="21"/>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4,889</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80" w:type="dxa"/>
            <w:vAlign w:val="bottom"/>
          </w:tcPr>
          <w:p>
            <w:pPr>
              <w:spacing w:after="0"/>
              <w:rPr>
                <w:sz w:val="21"/>
                <w:szCs w:val="21"/>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Retirement Plan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January 1, 2009, EverCommerce Inc. adopted a defined contribution savings plan under section 401(k) of the Internal Revenue Code (the “401(k)”). The 401(k) covers substantially all employees who meet minimum age and service requirements and allows participants to contribute a portion of their pre-tax and post-tax annual compensation in accordance with prescribed limits. The Company may make discretionary and/or matching contributions to the 401(k). The Company matched 100% of employee contributions up to 4% of eligible compensation. Employer matching contributions were $5.6 million, $5.3 million and $4.8 million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our net loss before income tax (expense) benefit are as follows: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8"/>
        </w:trPr>
        <w:tc>
          <w:tcPr>
            <w:tcW w:w="6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80" w:type="dxa"/>
            <w:vAlign w:val="bottom"/>
          </w:tcPr>
          <w:p>
            <w:pPr>
              <w:spacing w:after="0"/>
              <w:rPr>
                <w:sz w:val="24"/>
                <w:szCs w:val="24"/>
                <w:color w:val="auto"/>
              </w:rPr>
            </w:pPr>
          </w:p>
        </w:tc>
      </w:tr>
      <w:tr>
        <w:trPr>
          <w:trHeight w:val="27"/>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i w:val="1"/>
                <w:iCs w:val="1"/>
                <w:color w:val="auto"/>
                <w:w w:val="98"/>
              </w:rPr>
              <w:t>(in thousands)</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81"/>
        </w:trPr>
        <w:tc>
          <w:tcPr>
            <w:tcW w:w="6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27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(46,156)</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(43,177)</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(59,134)</w:t>
            </w:r>
          </w:p>
        </w:tc>
      </w:tr>
      <w:tr>
        <w:trPr>
          <w:trHeight w:val="26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rPr>
              <w:t>10,849</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w:t>
            </w:r>
          </w:p>
        </w:tc>
      </w:tr>
      <w:tr>
        <w:trPr>
          <w:trHeight w:val="295"/>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before income tax (expense) benefit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(35,307)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 portion of our undistributed earnings from non-U.S. subsidiaries are intended to be indefinitely reinvested in non-U.S. operations, and therefore no U.S. deferred taxes have been recorded. As of December 31, 2024, there was no material unrecognized deferred tax liability related to countries where we are indefinitely reinvested. The remaining undistributed earnings from non-U.S. subsidiaries are not permanently reinvested, however, due to a combination of anticipated tax treatment and losses, no material deferred tax liability exists.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consists of the following:</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8"/>
        </w:trPr>
        <w:tc>
          <w:tcPr>
            <w:tcW w:w="6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80" w:type="dxa"/>
            <w:vAlign w:val="bottom"/>
          </w:tcPr>
          <w:p>
            <w:pPr>
              <w:spacing w:after="0"/>
              <w:rPr>
                <w:sz w:val="24"/>
                <w:szCs w:val="24"/>
                <w:color w:val="auto"/>
              </w:rPr>
            </w:pPr>
          </w:p>
        </w:tc>
      </w:tr>
      <w:tr>
        <w:trPr>
          <w:trHeight w:val="27"/>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i w:val="1"/>
                <w:iCs w:val="1"/>
                <w:color w:val="auto"/>
                <w:w w:val="98"/>
              </w:rPr>
              <w:t>(in thousands)</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81"/>
        </w:trPr>
        <w:tc>
          <w:tcPr>
            <w:tcW w:w="6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w:t>
            </w: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(11,235)</w:t>
            </w:r>
          </w:p>
        </w:tc>
      </w:tr>
      <w:tr>
        <w:trPr>
          <w:trHeight w:val="243"/>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valuation allowance - United States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12,257</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valuation allowance - Foreign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r>
      <w:tr>
        <w:trPr>
          <w:trHeight w:val="237"/>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(7,477)</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6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deferred tax assets and liabilities, included in other non-current assets and other non-current liabilities on the consolidated balance sheets, related to temporary differences and operating loss carryforwards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Pr>
          <w:p>
            <w:pPr>
              <w:spacing w:after="0"/>
              <w:rPr>
                <w:sz w:val="20"/>
                <w:szCs w:val="20"/>
                <w:color w:val="auto"/>
              </w:rPr>
            </w:pPr>
          </w:p>
        </w:tc>
      </w:tr>
      <w:tr>
        <w:trPr>
          <w:trHeight w:val="27"/>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20" w:type="dxa"/>
            <w:vAlign w:val="bottom"/>
          </w:tcPr>
          <w:p>
            <w:pPr>
              <w:spacing w:after="0"/>
              <w:rPr>
                <w:sz w:val="20"/>
                <w:szCs w:val="20"/>
                <w:color w:val="auto"/>
              </w:rPr>
            </w:pPr>
          </w:p>
        </w:tc>
      </w:tr>
      <w:tr>
        <w:trPr>
          <w:trHeight w:val="81"/>
        </w:trPr>
        <w:tc>
          <w:tcPr>
            <w:tcW w:w="80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29,277</w:t>
            </w:r>
          </w:p>
        </w:tc>
        <w:tc>
          <w:tcPr>
            <w:tcW w:w="8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35,484</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163(j) interest limitation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33,187</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r>
      <w:tr>
        <w:trPr>
          <w:trHeight w:val="24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Reserves and accrued expenses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4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w:t>
            </w:r>
          </w:p>
        </w:tc>
      </w:tr>
      <w:tr>
        <w:trPr>
          <w:trHeight w:val="24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loss carryforward</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r>
      <w:tr>
        <w:trPr>
          <w:trHeight w:val="237"/>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94,280</w:t>
            </w: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83,883</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(64,870)</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(51,904)</w:t>
            </w:r>
          </w:p>
        </w:tc>
      </w:tr>
      <w:tr>
        <w:trPr>
          <w:trHeight w:val="237"/>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29,410</w:t>
            </w: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31,979</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(28,029)</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(29,263)</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4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expenses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w:t>
            </w:r>
          </w:p>
        </w:tc>
      </w:tr>
      <w:tr>
        <w:trPr>
          <w:trHeight w:val="24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(39,556)</w:t>
            </w:r>
          </w:p>
        </w:tc>
      </w:tr>
      <w:tr>
        <w:trPr>
          <w:trHeight w:val="264"/>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(7,577)</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 had net operating loss and tax credit carryforwards as of the financial statement date as follows:</w:t>
            </w:r>
          </w:p>
        </w:tc>
        <w:tc>
          <w:tcPr>
            <w:tcW w:w="1840" w:type="dxa"/>
            <w:vAlign w:val="bottom"/>
          </w:tcPr>
          <w:p>
            <w:pPr>
              <w:spacing w:after="0"/>
              <w:rPr>
                <w:sz w:val="20"/>
                <w:szCs w:val="20"/>
                <w:color w:val="auto"/>
              </w:rPr>
            </w:pPr>
          </w:p>
        </w:tc>
      </w:tr>
      <w:tr>
        <w:trPr>
          <w:trHeight w:val="378"/>
        </w:trPr>
        <w:tc>
          <w:tcPr>
            <w:tcW w:w="7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Amount</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Expiration Years</w:t>
            </w:r>
          </w:p>
        </w:tc>
      </w:tr>
      <w:tr>
        <w:trPr>
          <w:trHeight w:val="27"/>
        </w:trPr>
        <w:tc>
          <w:tcPr>
            <w:tcW w:w="7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7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40" w:type="dxa"/>
            <w:vAlign w:val="bottom"/>
          </w:tcPr>
          <w:p>
            <w:pPr>
              <w:spacing w:after="0"/>
              <w:rPr>
                <w:sz w:val="20"/>
                <w:szCs w:val="20"/>
                <w:color w:val="auto"/>
              </w:rPr>
            </w:pPr>
          </w:p>
        </w:tc>
      </w:tr>
      <w:tr>
        <w:trPr>
          <w:trHeight w:val="81"/>
        </w:trPr>
        <w:tc>
          <w:tcPr>
            <w:tcW w:w="7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tcPr>
          <w:p>
            <w:pPr>
              <w:spacing w:after="0"/>
              <w:rPr>
                <w:sz w:val="7"/>
                <w:szCs w:val="7"/>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losses, federal (Post December 31, 2017)</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19,860</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4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losses, federal (Pre January 1, 2018)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2036</w:t>
            </w:r>
          </w:p>
        </w:tc>
      </w:tr>
      <w:tr>
        <w:trPr>
          <w:trHeight w:val="27"/>
        </w:trPr>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losses, state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r>
      <w:tr>
        <w:trPr>
          <w:trHeight w:val="24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losses, foreign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2038 - Indefinite</w:t>
            </w:r>
          </w:p>
        </w:tc>
      </w:tr>
      <w:tr>
        <w:trPr>
          <w:trHeight w:val="27"/>
        </w:trPr>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loss, federal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r>
      <w:tr>
        <w:trPr>
          <w:trHeight w:val="24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 federal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2037</w:t>
            </w:r>
          </w:p>
        </w:tc>
      </w:tr>
      <w:tr>
        <w:trPr>
          <w:trHeight w:val="27"/>
        </w:trPr>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 foreign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r>
      <w:tr>
        <w:trPr>
          <w:trHeight w:val="27"/>
        </w:trPr>
        <w:tc>
          <w:tcPr>
            <w:tcW w:w="7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has not considered future projections of income in this analysis due to the Company’s history of losses. The Company has determined that it is more likely than not that a portion of the deferred tax assets will not be realized and has recorded a valuation allowance of $64.9 million and $51.9 million as of December 31, 2024 and 2023, respectively, against the deferred tax assets. If the Company’s assumptions change and we determine that we will be able to realize these deferred tax assets, the tax benefits related to any reversal of the valuation allowance on deferred tax assets as of December 31, 2024, will be accounted for as follows: $64.4 million will be recognized as a reduction of income tax expense and $0.4 million will be recorded as an increase in equity.</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our valuation allowance on deferred tax assets is as follows: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78"/>
        </w:trPr>
        <w:tc>
          <w:tcPr>
            <w:tcW w:w="8020" w:type="dxa"/>
            <w:vAlign w:val="bottom"/>
          </w:tcPr>
          <w:p>
            <w:pPr>
              <w:spacing w:after="0"/>
              <w:rPr>
                <w:sz w:val="24"/>
                <w:szCs w:val="24"/>
                <w:color w:val="auto"/>
              </w:rPr>
            </w:pP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Pr>
          <w:p>
            <w:pPr>
              <w:spacing w:after="0"/>
              <w:rPr>
                <w:sz w:val="24"/>
                <w:szCs w:val="24"/>
                <w:color w:val="auto"/>
              </w:rPr>
            </w:pPr>
          </w:p>
        </w:tc>
      </w:tr>
      <w:tr>
        <w:trPr>
          <w:trHeight w:val="27"/>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Pr>
          <w:p>
            <w:pPr>
              <w:spacing w:after="0"/>
              <w:rPr>
                <w:sz w:val="20"/>
                <w:szCs w:val="20"/>
                <w:color w:val="auto"/>
              </w:rPr>
            </w:pPr>
          </w:p>
        </w:tc>
      </w:tr>
      <w:tr>
        <w:trPr>
          <w:trHeight w:val="27"/>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6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80" w:type="dxa"/>
            <w:vAlign w:val="bottom"/>
          </w:tcPr>
          <w:p>
            <w:pPr>
              <w:spacing w:after="0"/>
              <w:rPr>
                <w:sz w:val="20"/>
                <w:szCs w:val="20"/>
                <w:color w:val="auto"/>
              </w:rPr>
            </w:pPr>
          </w:p>
        </w:tc>
      </w:tr>
      <w:tr>
        <w:trPr>
          <w:trHeight w:val="81"/>
        </w:trPr>
        <w:tc>
          <w:tcPr>
            <w:tcW w:w="802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51,904</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47,756</w:t>
            </w:r>
          </w:p>
        </w:tc>
      </w:tr>
      <w:tr>
        <w:trPr>
          <w:trHeight w:val="24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to valuation allowance</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w:t>
            </w:r>
          </w:p>
        </w:tc>
      </w:tr>
      <w:tr>
        <w:trPr>
          <w:trHeight w:val="27"/>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recorded in acquisition accounting</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4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recorded from sale of business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recorded as a decrease in equity</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recorded as an increase in equity</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7"/>
        </w:trPr>
        <w:tc>
          <w:tcPr>
            <w:tcW w:w="80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64,870</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51,904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Colorado, various other state jurisdictions, Canada, Jordan, the United Kingdom, Australia and New Zealand. The years open for audit vary depending on the tax jurisdiction. In the U.S., the Company's federal tax returns for the years before 2021 (year ended December 31, 2021) are no longer subject to audit. The net operating losses utilized during the open periods from select years prior to 2021 are subject to examination. The foreign jurisdictions statutes vary but are generally four years from assessment of the return.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management believes we have adequately provided for all tax positions, amounts asserted by taxing authorities could materially differ from our accrued positions as a result of uncertain and complex application of tax regulations. Additionally, the recognition and measurement of certain tax benefits includes estimates and judgment by management and inherently includes subjectivity. Accordingly, additional provision on federal, state and foreign tax-related matters could be recorded in the future as revised estimates are made or the underlying matters are settled or otherwise resolved.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benefits is as follows:</w:t>
            </w: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78"/>
        </w:trPr>
        <w:tc>
          <w:tcPr>
            <w:tcW w:w="8020" w:type="dxa"/>
            <w:vAlign w:val="bottom"/>
          </w:tcPr>
          <w:p>
            <w:pPr>
              <w:spacing w:after="0"/>
              <w:rPr>
                <w:sz w:val="24"/>
                <w:szCs w:val="24"/>
                <w:color w:val="auto"/>
              </w:rPr>
            </w:pPr>
          </w:p>
        </w:tc>
        <w:tc>
          <w:tcPr>
            <w:tcW w:w="27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Pr>
          <w:p>
            <w:pPr>
              <w:spacing w:after="0"/>
              <w:rPr>
                <w:sz w:val="24"/>
                <w:szCs w:val="24"/>
                <w:color w:val="auto"/>
              </w:rPr>
            </w:pPr>
          </w:p>
        </w:tc>
      </w:tr>
      <w:tr>
        <w:trPr>
          <w:trHeight w:val="27"/>
        </w:trPr>
        <w:tc>
          <w:tcPr>
            <w:tcW w:w="8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20"/>
                <w:szCs w:val="20"/>
                <w:color w:val="auto"/>
              </w:rPr>
            </w:pPr>
          </w:p>
        </w:tc>
      </w:tr>
      <w:tr>
        <w:trPr>
          <w:trHeight w:val="27"/>
        </w:trPr>
        <w:tc>
          <w:tcPr>
            <w:tcW w:w="8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80" w:type="dxa"/>
            <w:vAlign w:val="bottom"/>
          </w:tcPr>
          <w:p>
            <w:pPr>
              <w:spacing w:after="0"/>
              <w:rPr>
                <w:sz w:val="20"/>
                <w:szCs w:val="20"/>
                <w:color w:val="auto"/>
              </w:rPr>
            </w:pPr>
          </w:p>
        </w:tc>
      </w:tr>
      <w:tr>
        <w:trPr>
          <w:trHeight w:val="81"/>
        </w:trPr>
        <w:tc>
          <w:tcPr>
            <w:tcW w:w="8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4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additions based on tax positions related to the current year</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reductions based on tax positions related to prior years</w:t>
            </w:r>
          </w:p>
        </w:tc>
        <w:tc>
          <w:tcPr>
            <w:tcW w:w="10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1"/>
        </w:trPr>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and 2023, unrecognized tax benefits of $0.6 million and $0.5 million, respectively, were recorded in other long-term liabilities, which would impact the annual effective tax rate if recognized. The Company recognizes interest and penalties, if any, related to unrecognized tax positions in the provision for income taxes in the accompanying consolidated statements of operations and comprehensive loss. The Company does not expect a significant increase or decrease in unrecognized tax benefits over the next twelve months.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foreign subsidiary Alnashmi Digital Marketing, LLC, provides exported technology services, the profits of which are exempt from income tax through December 31, 2025 according to the provisions of the article (9/A/4) of Regulation Number 106 of the 2016 Regulations. So long as the services are exported outside of Jordan, they originate in Jordan and there are no other services within the exported services, the qualifications are met. The approximate dollar value of tax expense related to the tax holiday was $0.1 million and $0.2 million as of December 31, 2024 and 2023,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we restructured the ownership of certain intellectual property, which resulted in an income tax benefit.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sold Fitness Solutions as discussed in Note 3. Acquisitions and Dispositions, which resulted in an income tax benefit.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income tax benefit differs from the expected tax benefit computed by applying the U.S. federal statutory rate to income before taxes as a result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9"/>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gridSpan w:val="9"/>
          </w:tcPr>
          <w:p>
            <w:pPr>
              <w:jc w:val="center"/>
              <w:ind w:left="450"/>
              <w:spacing w:after="0"/>
              <w:rPr>
                <w:sz w:val="20"/>
                <w:szCs w:val="20"/>
                <w:color w:val="auto"/>
              </w:rPr>
            </w:pPr>
            <w:r>
              <w:rPr>
                <w:rFonts w:ascii="Times New Roman" w:cs="Times New Roman" w:eastAsia="Times New Roman" w:hAnsi="Times New Roman"/>
                <w:sz w:val="18"/>
                <w:szCs w:val="18"/>
                <w:i w:val="1"/>
                <w:iCs w:val="1"/>
                <w:color w:val="auto"/>
                <w:w w:val="99"/>
              </w:rPr>
              <w:t>(in thousands, except percentages)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81"/>
        </w:trPr>
        <w:tc>
          <w:tcPr>
            <w:tcW w:w="5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at U.S. statutory rate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21.00%</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21.00%</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tax resulting from:</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income benefit, net of federal benefit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r>
      <w:tr>
        <w:trPr>
          <w:trHeight w:val="24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(0.25)</w:t>
            </w:r>
          </w:p>
        </w:tc>
      </w:tr>
      <w:tr>
        <w:trPr>
          <w:trHeight w:val="24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220" w:type="dxa"/>
            <w:vAlign w:val="bottom"/>
          </w:tcPr>
          <w:p>
            <w:pPr>
              <w:spacing w:after="0"/>
              <w:rPr>
                <w:sz w:val="21"/>
                <w:szCs w:val="21"/>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r>
      <w:tr>
        <w:trPr>
          <w:trHeight w:val="24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(24.26)</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Intellectual property migration</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13.65</w:t>
            </w:r>
          </w:p>
        </w:tc>
      </w:tr>
      <w:tr>
        <w:trPr>
          <w:trHeight w:val="24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deferred state income tax rate</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0.10</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taxation of foreign income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 of fitness solutions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0.09</w:t>
            </w:r>
          </w:p>
        </w:tc>
      </w:tr>
      <w:tr>
        <w:trPr>
          <w:trHeight w:val="264"/>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7.26 %</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non-cancelable contractual purchase obligations incurred in the normal course of business to help deliver our services and products and provide support to our customers. These contracts with vendors primarily relate to software service, targeted mail costs, third party fulfillment costs and software hosting. Unrecognized future minimum payments due under these agreements are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9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w:t>
            </w:r>
          </w:p>
        </w:tc>
      </w:tr>
      <w:tr>
        <w:trPr>
          <w:trHeight w:val="243"/>
        </w:trPr>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r>
      <w:tr>
        <w:trPr>
          <w:trHeight w:val="27"/>
        </w:trPr>
        <w:tc>
          <w:tcPr>
            <w:tcW w:w="9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r>
      <w:tr>
        <w:trPr>
          <w:trHeight w:val="243"/>
        </w:trPr>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7"/>
        </w:trPr>
        <w:tc>
          <w:tcPr>
            <w:tcW w:w="9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43"/>
        </w:trPr>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6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future minimum payments due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involved in various lawsuits and legal proceedings which arise in or outside the ordinary course of business. Litigation is subject to inherent uncertainties, and an adverse result in these or other matters may arise from time to time that may harm our business. Accruals for loss contingencies are recorded when a loss is probable, and the amount of such loss can be reasonably estimated. An adverse determination in one or more of these pending matters could have an adverse effect on the Company’s consolidated financial position, results of operations or cash flows.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31, 2024, plaintiff Vladimir Gusinsky Revocable Trust filed a putative class action lawsuit in the Court of Chancery of the State of Delaware against the Company, members of its Board of Directors (the “Board”) and the other parties to its sponsor stockholders agreement, dated June 30, 2021, Providence Strategic Growth II L.P., Providence Strategic Growth II-A L.P., SLA Eclipse Co-Invest, L.P., and SLA CM Eclipse Holdings, L.P. (collectively, the “Sponsor Stockholders”), captioned Vladimir Gusinsky Revocable Trust v. Eric Remer, Penny Baldwin, et. al., Case No. 2024-0077 (Del Ch.). The complaint generally alleges violations of Section 141(a) of the Delaware General Corporation Law (“DGCL”) by providing the Sponsor Stockholders with a veto right over the Board’s ability to hire or fire the Company’s Chief Executive Officer (the “CEO Approval Right”) on the basis that it unlawfully limits the Board’s authority to manage the business and affairs of the Company. The plaintiff seeks declaratory judgment that the CEO Approval Right is invalid and void, other declaratory and equitable relief for the class and/or the Company, attorneys’ and experts’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witness fees and other costs and expenses, and other equitable relief. On June 14, 2024, the Company filed its opening brief in support of its Motion to Dismiss, and on July 15, 2024, Plaintiff opposed that motion. On July 16, 2024, the court entered a stipulation and order dismissing the director defendants from the action. On August 29, 2024, the remaining defendants, the Company and Sponsor Stockholders (collectively, “Defendants”), filed their reply in support of the Motion to Dismiss, and pursuant to a stipulation between the parties, Plaintiff filed a sur-reply on September 26, 2024, which Defendants filed a response to on October 10, 2024. On October 15, 2024, Defendants filed a Motion to Dismiss for Lack of Subject Matter Jurisdiction, arguing that the claims alleged are not ripe for adjudication and on November 15, 2024 Plaintiff opposed that motion. On December 9, 2024, Defendants filed their reply in support of the Motion to Dismiss for Lack of Subject Matter Jurisdiction. On January 3, 2025, the Court entered a minute order deferring oral argument on the pending Motion to Dismiss until after the disposition of the appeal in Moelis &amp; Company v. West Palm Beach Firefighters’ Pension Fund, Case No. 340, 2024 (Del. Supr.). The Company believes it has meritorious defenses to the claims of the plaintiff and members of the class and any liability for the alleged claims is not currently probable and the potential loss or range of loss is not reasonably estimable.</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party to additional legal proceedings incidental to its business. While the outcome of these additional matters could differ from management’s expectations, the Company does not believe that the resolution of such matters is reasonably likely to have a material effect on its results of operations or financial condition.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the applicability of nexus in jurisdictions in which the Company sells products and services. As of December 31, 2024 and 2023, the Company recorded a liability in the amount of $10.7 million and $10.9 million, respectively, within current liabilities and other long-term liabilities as a provision for sales and use and gross receipts tax. In connection with the Company's accounting for acquisitions, the Company has recorded liabilities and corresponding provisional escrow or indemnity receivables within the purchase price allocations for instances in which the Company is indemnified for tax matters.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Geographic Areas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long-lived assets by geographic area: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6"/>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40" w:type="dxa"/>
            <w:vAlign w:val="bottom"/>
          </w:tcPr>
          <w:p>
            <w:pPr>
              <w:spacing w:after="0"/>
              <w:rPr>
                <w:sz w:val="20"/>
                <w:szCs w:val="20"/>
                <w:color w:val="auto"/>
              </w:rPr>
            </w:pPr>
          </w:p>
        </w:tc>
      </w:tr>
      <w:tr>
        <w:trPr>
          <w:trHeight w:val="81"/>
        </w:trPr>
        <w:tc>
          <w:tcPr>
            <w:tcW w:w="8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40,252</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41,134</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10,072</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Reporting</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operates in a single reportable segment. The segment derives revenue from providing SaaS and other technology-based solutions to help service SMB’s optimize their operations, improve customer relationships and experience, and accelerate growth. The Company primarily focuses on three core vertical markets: EverPro for Home Services, EverHealth for Health Services, and EverWell for Wellness Services.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the summary of significant accounting policies. Based on being a single reportable segment company, the Company has disclosed net loss as its primary measure of profit or loss used by the CODM, which is reported on the consolidated statement of operations and comprehensive loss as net loss. The CODM is provided financial information inclusive of net loss, which is used to assess performance of the segment and decide how to allocate resources. The CODM uses net loss, among other metrics, to assist in evaluating the financial performance of the Company and monitoring budget versus actual results. The CODM does not review assets in evaluating segments results, and therefore, such information is not presented. The measure of segment assets is reported on the consolidated balance sheets as total assets.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Disaggregated information is not used for assessing the performance of the Company or for making resource allocation decisions. The CODM reviews financial information presented on an aggregated and consolidated basis, together with revenue information of the three core vertical markets. The software and technology-based solutions provided by the Company are deployed and implemented to customers in a similar manner regardless of industry. See Notes 4. Revenue and 18. Geographic Areas for disaggregated information regarding the Company's revenues and long-lived assets by geography,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segment information for revenues, net loss and significant expenses: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8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i w:val="1"/>
                <w:iCs w:val="1"/>
                <w:color w:val="auto"/>
                <w:w w:val="98"/>
              </w:rPr>
              <w:t>(in thousands)</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698,765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675,369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620,746</w:t>
            </w:r>
          </w:p>
        </w:tc>
      </w:tr>
      <w:tr>
        <w:trPr>
          <w:trHeight w:val="27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260,709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260,641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254,532</w:t>
            </w:r>
          </w:p>
        </w:tc>
      </w:tr>
      <w:tr>
        <w:trPr>
          <w:trHeight w:val="243"/>
        </w:trPr>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Lead generation, marketing and advertising</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113,305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112,245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102,915</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Communication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29,137</w:t>
            </w: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Third-party commissions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21,411</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 tools and hosting</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44,534</w:t>
            </w: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31,384</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sale and impairments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56,626</w:t>
            </w:r>
          </w:p>
        </w:tc>
      </w:tr>
      <w:tr>
        <w:trPr>
          <w:trHeight w:val="25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110,801</w:t>
            </w: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33,902</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r>
      <w:tr>
        <w:trPr>
          <w:trHeight w:val="237"/>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739,854</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720,989</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680,562</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2"/>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(45,620)</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340" w:hanging="206"/>
        <w:spacing w:after="0"/>
        <w:tabs>
          <w:tab w:leader="none" w:pos="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information that is regularly reviewed by the CODM.</w:t>
      </w:r>
    </w:p>
    <w:p>
      <w:pPr>
        <w:spacing w:after="0" w:line="68" w:lineRule="exact"/>
        <w:rPr>
          <w:rFonts w:ascii="Times New Roman" w:cs="Times New Roman" w:eastAsia="Times New Roman" w:hAnsi="Times New Roman"/>
          <w:sz w:val="14"/>
          <w:szCs w:val="14"/>
          <w:color w:val="auto"/>
        </w:rPr>
      </w:pPr>
    </w:p>
    <w:p>
      <w:pPr>
        <w:ind w:left="340" w:hanging="206"/>
        <w:spacing w:after="0"/>
        <w:tabs>
          <w:tab w:leader="none" w:pos="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 corporate overhead expenses, transaction-related and other non-recurring or unusual costs, facility expenses, bad debt and other miscellaneous cost of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9"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36830</wp:posOffset>
            </wp:positionV>
            <wp:extent cx="28803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i w:val="1"/>
                <w:iCs w:val="1"/>
                <w:color w:val="auto"/>
                <w:w w:val="98"/>
              </w:rPr>
              <w:t>(in thousands)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 Disclosures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8"/>
              </w:rPr>
              <w:t>(3,112)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41,749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43,681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28,811</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Significant Non-cash Items: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26,491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25,559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26,818</w:t>
            </w:r>
          </w:p>
        </w:tc>
      </w:tr>
    </w:tbl>
    <w:p>
      <w:pPr>
        <w:spacing w:after="0" w:line="103" w:lineRule="exact"/>
        <w:rPr>
          <w:sz w:val="20"/>
          <w:szCs w:val="20"/>
          <w:color w:val="auto"/>
        </w:rPr>
      </w:pPr>
    </w:p>
    <w:p>
      <w:pPr>
        <w:ind w:right="700"/>
        <w:spacing w:after="0" w:line="375" w:lineRule="auto"/>
        <w:rPr>
          <w:sz w:val="20"/>
          <w:szCs w:val="20"/>
          <w:color w:val="auto"/>
        </w:rPr>
      </w:pPr>
      <w:r>
        <w:rPr>
          <w:rFonts w:ascii="Times New Roman" w:cs="Times New Roman" w:eastAsia="Times New Roman" w:hAnsi="Times New Roman"/>
          <w:sz w:val="18"/>
          <w:szCs w:val="18"/>
          <w:color w:val="auto"/>
        </w:rPr>
        <w:t xml:space="preserve">There are no reconciling items or adjustments between segment revenues, net loss, total assets and consolidated revenues, net loss and total assets. </w:t>
      </w:r>
      <w:r>
        <w:rPr>
          <w:rFonts w:ascii="Times New Roman" w:cs="Times New Roman" w:eastAsia="Times New Roman" w:hAnsi="Times New Roman"/>
          <w:sz w:val="18"/>
          <w:szCs w:val="18"/>
          <w:b w:val="1"/>
          <w:bCs w:val="1"/>
          <w:color w:val="auto"/>
        </w:rPr>
        <w:t>Note 20. Subsequent Event</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late 2024, the Company began a process to review strategic alternatives for its marketing technology solutions. On March 5, the Board, in conjunction with Company management committed to a plan to sell the Company’s marketing technology solutions, which is expected to result in a sales transaction in 2025. The Company is currently engaged in an active program to sell its marketing technology solutions. As such, the Company will present marketing technology solutions as discontinued operations beginning with the first quarter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01" w:name="page102"/>
    <w:bookmarkEnd w:id="101"/>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December 31, 2024, our disclosure controls and procedures were not effective as a result of the material weakness in our internal control over financial reporting described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under the Exchange Act.</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principal executive officer and principal financial officer, our management assessed the effectiveness of our internal control over financial reporting as of December 31, 2024 based on the criteria set forth in Internal Control – Integrated Framework (2013) issued by the Committee of Sponsoring Organizations of the Treadway Commission. Management’s assessment included evaluation of elements such as the design and operating effectiveness of key financial reporting controls, process documentation, accounting policies, and the Company’s overall control environment. Based on this assessment, management concluded that our internal control over financial reporting was not effective as of December 31, 2024 due to the existence of the material weakness described below. The material weakness did not result in any identified material misstatements in the current period consolidated financial statements, nor in any of the consolidated financial statements previously reported by us, and there were no changes in previously released financial results.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The scope of our management’s assessment of the effectiveness of internal control over financial reporting includes all of our Company’s consolidated operations.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preparation of the financial statements for this Annual Report on Form 10-K, we identified a material weakness, as previously disclosed in our Annual Report on Form 10-K for the year ended December 31, 2023, that has not been remediated as of December 31, 2024 related to the lack of properly designed controls over certain of our order to cash revenue accounting processes. Specifically, adequate controls are not in place primarily as a result of (a) the lack of full system integration for certain of our order to cash systems and (b) control deficiencies within the manual controls designed to mitigate that risk.</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will not be required to opine on the effectiveness of our internal control over financial reporting pursuant to Section 404 until we are no longer an “emerging growth company” as defined in the JOBS Act.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 to Address Material Weakness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progress has been made to remediate the material weakness, as of December 31, 2024, we are still in the process of remediating the aforementioned material weakness and will continue our efforts to do so until such remediation is complete. While we have taken steps to improve our internal control over financial reporting and have remediated our previously identified material weakness related to certain information technology general controls (“ITGCs”), we maintain a disaggregated information technology infrastructure due to a series of historical business combinations. As a result, we have determined that certain of our systems have not been fully integrated, including within certain revenue cycles of customer order to billing, increasing the number of manual controls necessary for our control environment.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implement remediation plans for the aforementioned material weakness which may include the following:</w:t>
      </w:r>
    </w:p>
    <w:p>
      <w:pPr>
        <w:spacing w:after="0" w:line="117"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system integration within customer order to billing processes within relevant product offerings;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information technology systems and resourcing for the integrations noted above;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implementation of an enhanced system of manual controls while system integrations are ongoing;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training and resourcing associated with manual controls through the enterprise surrounding customer order through billing.</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will monitor the effectiveness of our remediation plans and will make the changes management determines to be appropriate. While we will endeavor to remediate our material weaknesses as soon as practicable, the program of remediation effort may extend beyond the year ending December 31, 2025.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as described above with respect to our remediation efforts to address the material weakness, there were no changes in our internal control over financial reporting during the quarter ended December 31, 2024 that have materially affected, or are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right="140" w:firstLine="8"/>
        <w:spacing w:after="0" w:line="282" w:lineRule="auto"/>
        <w:tabs>
          <w:tab w:leader="none" w:pos="2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2024, no director or officer of the Company adopted or terminated a “Rule 10b5-1 trading arrangement” or “non-Rule 10b5-1 trading arrangement,” as each term is defined in Item 408(a) of Regulation S-K.</w:t>
      </w:r>
    </w:p>
    <w:p>
      <w:pPr>
        <w:spacing w:after="0" w:line="50" w:lineRule="exact"/>
        <w:rPr>
          <w:sz w:val="20"/>
          <w:szCs w:val="20"/>
          <w:color w:val="auto"/>
        </w:rPr>
      </w:pPr>
    </w:p>
    <w:p>
      <w:pPr>
        <w:ind w:right="528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has adopted a written Code of Conduct and Ethics applicable to all officers, directors and employees, including our principal executive officer, principal financial officer, principal accounting officer and controller, or persons performing similar functions. We have posted a current copy of our Code of Conduct and Ethics on our Investor Relations website at investors.evercommerce.com.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specified above. The information contained on our website is not incorporated by reference into this Annual Report on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 and Directors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position(s) of each of our executive officers and directors as of March 13, 2025: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Age</w:t>
            </w:r>
          </w:p>
        </w:tc>
        <w:tc>
          <w:tcPr>
            <w:tcW w:w="80" w:type="dxa"/>
            <w:vAlign w:val="bottom"/>
            <w:tcBorders>
              <w:bottom w:val="single" w:sz="8" w:color="CCEEFF"/>
            </w:tcBorders>
          </w:tcPr>
          <w:p>
            <w:pPr>
              <w:spacing w:after="0"/>
              <w:rPr>
                <w:sz w:val="19"/>
                <w:szCs w:val="19"/>
                <w:color w:val="auto"/>
              </w:rPr>
            </w:pPr>
          </w:p>
        </w:tc>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Position(s) with EverCommerce</w:t>
            </w:r>
          </w:p>
        </w:tc>
        <w:tc>
          <w:tcPr>
            <w:tcW w:w="80" w:type="dxa"/>
            <w:vAlign w:val="bottom"/>
            <w:tcBorders>
              <w:bottom w:val="single" w:sz="8" w:color="CCEEFF"/>
            </w:tcBorders>
          </w:tcPr>
          <w:p>
            <w:pPr>
              <w:spacing w:after="0"/>
              <w:rPr>
                <w:sz w:val="19"/>
                <w:szCs w:val="19"/>
                <w:color w:val="auto"/>
              </w:rPr>
            </w:pP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Principal Employment</w:t>
            </w:r>
          </w:p>
        </w:tc>
      </w:tr>
      <w:tr>
        <w:trPr>
          <w:trHeight w:val="24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Executive Officers</w:t>
            </w: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760" w:type="dxa"/>
            <w:vAlign w:val="bottom"/>
            <w:shd w:val="clear" w:color="auto" w:fill="CCEEFF"/>
          </w:tcPr>
          <w:p>
            <w:pPr>
              <w:spacing w:after="0"/>
              <w:rPr>
                <w:sz w:val="21"/>
                <w:szCs w:val="21"/>
                <w:color w:val="auto"/>
              </w:rPr>
            </w:pPr>
          </w:p>
        </w:tc>
      </w:tr>
      <w:tr>
        <w:trPr>
          <w:trHeight w:val="243"/>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Eric Remer</w:t>
            </w:r>
            <w:r>
              <w:rPr>
                <w:rFonts w:ascii="Times New Roman" w:cs="Times New Roman" w:eastAsia="Times New Roman" w:hAnsi="Times New Roman"/>
                <w:sz w:val="21"/>
                <w:szCs w:val="21"/>
                <w:color w:val="auto"/>
                <w:vertAlign w:val="superscript"/>
              </w:rPr>
              <w:t>(1)</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c>
          <w:tcPr>
            <w:tcW w:w="80" w:type="dxa"/>
            <w:vAlign w:val="bottom"/>
          </w:tcPr>
          <w:p>
            <w:pPr>
              <w:spacing w:after="0"/>
              <w:rPr>
                <w:sz w:val="21"/>
                <w:szCs w:val="21"/>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Executive Officer and Director</w:t>
            </w:r>
          </w:p>
        </w:tc>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Same</w:t>
            </w:r>
          </w:p>
        </w:tc>
      </w:tr>
      <w:tr>
        <w:trPr>
          <w:trHeight w:val="243"/>
        </w:trPr>
        <w:tc>
          <w:tcPr>
            <w:tcW w:w="3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Matthew Feierstein</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c>
          <w:tcPr>
            <w:tcW w:w="80" w:type="dxa"/>
            <w:vAlign w:val="bottom"/>
            <w:shd w:val="clear" w:color="auto" w:fill="CCEEFF"/>
          </w:tcPr>
          <w:p>
            <w:pPr>
              <w:spacing w:after="0"/>
              <w:rPr>
                <w:sz w:val="21"/>
                <w:szCs w:val="21"/>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President</w:t>
            </w: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Same</w:t>
            </w:r>
          </w:p>
        </w:tc>
      </w:tr>
      <w:tr>
        <w:trPr>
          <w:trHeight w:val="233"/>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Ryan Siurek</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c>
          <w:tcPr>
            <w:tcW w:w="80" w:type="dxa"/>
            <w:vAlign w:val="bottom"/>
          </w:tcPr>
          <w:p>
            <w:pPr>
              <w:spacing w:after="0"/>
              <w:rPr>
                <w:sz w:val="20"/>
                <w:szCs w:val="20"/>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Same</w:t>
            </w:r>
          </w:p>
        </w:tc>
      </w:tr>
      <w:tr>
        <w:trPr>
          <w:trHeight w:val="225"/>
        </w:trPr>
        <w:tc>
          <w:tcPr>
            <w:tcW w:w="3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Legal Officer, Corporate Secretary and</w:t>
            </w:r>
          </w:p>
        </w:tc>
        <w:tc>
          <w:tcPr>
            <w:tcW w:w="3760" w:type="dxa"/>
            <w:vAlign w:val="bottom"/>
            <w:shd w:val="clear" w:color="auto" w:fill="CCEEFF"/>
          </w:tcPr>
          <w:p>
            <w:pPr>
              <w:spacing w:after="0"/>
              <w:rPr>
                <w:sz w:val="19"/>
                <w:szCs w:val="19"/>
                <w:color w:val="auto"/>
              </w:rPr>
            </w:pPr>
          </w:p>
        </w:tc>
      </w:tr>
      <w:tr>
        <w:trPr>
          <w:trHeight w:val="230"/>
        </w:trPr>
        <w:tc>
          <w:tcPr>
            <w:tcW w:w="3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Lisa Storey</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8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Compliance Officer</w:t>
            </w: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Same</w:t>
            </w:r>
          </w:p>
        </w:tc>
      </w:tr>
      <w:tr>
        <w:trPr>
          <w:trHeight w:val="23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Non-Employee Directors</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225"/>
        </w:trPr>
        <w:tc>
          <w:tcPr>
            <w:tcW w:w="3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Former SVP and Chief Marketing Officer of Qualcomm</w:t>
            </w:r>
          </w:p>
        </w:tc>
      </w:tr>
      <w:tr>
        <w:trPr>
          <w:trHeight w:val="230"/>
        </w:trPr>
        <w:tc>
          <w:tcPr>
            <w:tcW w:w="36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6"/>
                <w:szCs w:val="16"/>
                <w:color w:val="auto"/>
              </w:rPr>
              <w:t>Penny Baldwin-Leonard</w:t>
            </w:r>
            <w:r>
              <w:rPr>
                <w:rFonts w:ascii="Times New Roman" w:cs="Times New Roman" w:eastAsia="Times New Roman" w:hAnsi="Times New Roman"/>
                <w:sz w:val="21"/>
                <w:szCs w:val="21"/>
                <w:color w:val="auto"/>
                <w:vertAlign w:val="superscript"/>
              </w:rPr>
              <w:t>(3)</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67</w:t>
            </w:r>
          </w:p>
        </w:tc>
        <w:tc>
          <w:tcPr>
            <w:tcW w:w="8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Incorporated</w:t>
            </w:r>
          </w:p>
        </w:tc>
      </w:tr>
      <w:tr>
        <w:trPr>
          <w:trHeight w:val="243"/>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Mark Hastings</w:t>
            </w:r>
            <w:r>
              <w:rPr>
                <w:rFonts w:ascii="Times New Roman" w:cs="Times New Roman" w:eastAsia="Times New Roman" w:hAnsi="Times New Roman"/>
                <w:sz w:val="21"/>
                <w:szCs w:val="21"/>
                <w:color w:val="auto"/>
                <w:vertAlign w:val="superscript"/>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80" w:type="dxa"/>
            <w:vAlign w:val="bottom"/>
          </w:tcPr>
          <w:p>
            <w:pPr>
              <w:spacing w:after="0"/>
              <w:rPr>
                <w:sz w:val="21"/>
                <w:szCs w:val="21"/>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of PSG Equity L.L.C.</w:t>
            </w:r>
          </w:p>
        </w:tc>
      </w:tr>
      <w:tr>
        <w:trPr>
          <w:trHeight w:val="243"/>
        </w:trPr>
        <w:tc>
          <w:tcPr>
            <w:tcW w:w="3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Tanner Austin</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80" w:type="dxa"/>
            <w:vAlign w:val="bottom"/>
            <w:shd w:val="clear" w:color="auto" w:fill="CCEEFF"/>
          </w:tcPr>
          <w:p>
            <w:pPr>
              <w:spacing w:after="0"/>
              <w:rPr>
                <w:sz w:val="21"/>
                <w:szCs w:val="21"/>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at PSG Equity L.L.C.</w:t>
            </w:r>
          </w:p>
        </w:tc>
      </w:tr>
      <w:tr>
        <w:trPr>
          <w:trHeight w:val="243"/>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Joseph Osnoss</w:t>
            </w:r>
            <w:r>
              <w:rPr>
                <w:rFonts w:ascii="Times New Roman" w:cs="Times New Roman" w:eastAsia="Times New Roman" w:hAnsi="Times New Roman"/>
                <w:sz w:val="21"/>
                <w:szCs w:val="21"/>
                <w:color w:val="auto"/>
                <w:vertAlign w:val="superscript"/>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80" w:type="dxa"/>
            <w:vAlign w:val="bottom"/>
          </w:tcPr>
          <w:p>
            <w:pPr>
              <w:spacing w:after="0"/>
              <w:rPr>
                <w:sz w:val="21"/>
                <w:szCs w:val="21"/>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Managing Partner of Silver Lake</w:t>
            </w:r>
          </w:p>
        </w:tc>
      </w:tr>
      <w:tr>
        <w:trPr>
          <w:trHeight w:val="243"/>
        </w:trPr>
        <w:tc>
          <w:tcPr>
            <w:tcW w:w="3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John Rudella</w:t>
            </w:r>
            <w:r>
              <w:rPr>
                <w:rFonts w:ascii="Times New Roman" w:cs="Times New Roman" w:eastAsia="Times New Roman" w:hAnsi="Times New Roman"/>
                <w:sz w:val="21"/>
                <w:szCs w:val="21"/>
                <w:color w:val="auto"/>
                <w:vertAlign w:val="superscript"/>
              </w:rPr>
              <w:t>(1)</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c>
          <w:tcPr>
            <w:tcW w:w="80" w:type="dxa"/>
            <w:vAlign w:val="bottom"/>
            <w:shd w:val="clear" w:color="auto" w:fill="CCEEFF"/>
          </w:tcPr>
          <w:p>
            <w:pPr>
              <w:spacing w:after="0"/>
              <w:rPr>
                <w:sz w:val="21"/>
                <w:szCs w:val="21"/>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 of Silver Lake</w:t>
            </w:r>
          </w:p>
        </w:tc>
      </w:tr>
      <w:tr>
        <w:trPr>
          <w:trHeight w:val="243"/>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Richard A. Simonson</w:t>
            </w:r>
            <w:r>
              <w:rPr>
                <w:rFonts w:ascii="Times New Roman" w:cs="Times New Roman" w:eastAsia="Times New Roman" w:hAnsi="Times New Roman"/>
                <w:sz w:val="21"/>
                <w:szCs w:val="21"/>
                <w:color w:val="auto"/>
                <w:vertAlign w:val="superscript"/>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c>
          <w:tcPr>
            <w:tcW w:w="80" w:type="dxa"/>
            <w:vAlign w:val="bottom"/>
          </w:tcPr>
          <w:p>
            <w:pPr>
              <w:spacing w:after="0"/>
              <w:rPr>
                <w:sz w:val="21"/>
                <w:szCs w:val="21"/>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Managing Partner of Specie Mesa L.L.C.</w:t>
            </w:r>
          </w:p>
        </w:tc>
      </w:tr>
      <w:tr>
        <w:trPr>
          <w:trHeight w:val="270"/>
        </w:trPr>
        <w:tc>
          <w:tcPr>
            <w:tcW w:w="3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Alexi Wellman</w:t>
            </w:r>
            <w:r>
              <w:rPr>
                <w:rFonts w:ascii="Times New Roman" w:cs="Times New Roman" w:eastAsia="Times New Roman" w:hAnsi="Times New Roman"/>
                <w:sz w:val="21"/>
                <w:szCs w:val="21"/>
                <w:color w:val="auto"/>
                <w:vertAlign w:val="superscript"/>
              </w:rPr>
              <w:t>(2)</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shd w:val="clear" w:color="auto" w:fill="CCEEFF"/>
          </w:tcPr>
          <w:p>
            <w:pPr>
              <w:spacing w:after="0"/>
              <w:rPr>
                <w:sz w:val="23"/>
                <w:szCs w:val="23"/>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Executive Officer of Altaba, Inc.</w:t>
            </w:r>
          </w:p>
        </w:tc>
      </w:tr>
    </w:tbl>
    <w:p>
      <w:pPr>
        <w:spacing w:after="0" w:line="234" w:lineRule="exact"/>
        <w:rPr>
          <w:sz w:val="20"/>
          <w:szCs w:val="20"/>
          <w:color w:val="auto"/>
        </w:rPr>
      </w:pPr>
    </w:p>
    <w:p>
      <w:pPr>
        <w:ind w:left="640" w:hanging="308"/>
        <w:spacing w:after="0"/>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spacing w:after="0" w:line="27"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14"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10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remainder of the information required to be disclosed by this Item 10 will be included in our definitive proxy statement to be filed with the SEC with respect to our 2025 Annual Meeting of Stockholders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2025 Annual Meeting of Stockholders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 respect to our 2025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04" w:name="page105"/>
    <w:bookmarkEnd w:id="104"/>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2025 Annual Meeting of Stockholders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2025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40" w:type="dxa"/>
            <w:vAlign w:val="bottom"/>
            <w:gridSpan w:val="2"/>
          </w:tcPr>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00" w:type="dxa"/>
            <w:vAlign w:val="bottom"/>
          </w:tcPr>
          <w:p>
            <w:pPr>
              <w:spacing w:after="0"/>
              <w:rPr>
                <w:sz w:val="20"/>
                <w:szCs w:val="20"/>
                <w:color w:val="auto"/>
              </w:rPr>
            </w:pPr>
          </w:p>
        </w:tc>
      </w:tr>
      <w:tr>
        <w:trPr>
          <w:trHeight w:val="378"/>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800" w:type="dxa"/>
            <w:vAlign w:val="bottom"/>
          </w:tcPr>
          <w:p>
            <w:pPr>
              <w:spacing w:after="0"/>
              <w:rPr>
                <w:sz w:val="24"/>
                <w:szCs w:val="24"/>
                <w:color w:val="auto"/>
              </w:rPr>
            </w:pPr>
          </w:p>
        </w:tc>
      </w:tr>
      <w:tr>
        <w:trPr>
          <w:trHeight w:val="378"/>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800" w:type="dxa"/>
            <w:vAlign w:val="bottom"/>
          </w:tcPr>
          <w:p>
            <w:pPr>
              <w:spacing w:after="0"/>
              <w:rPr>
                <w:sz w:val="24"/>
                <w:szCs w:val="24"/>
                <w:color w:val="auto"/>
              </w:rPr>
            </w:pPr>
          </w:p>
        </w:tc>
      </w:tr>
      <w:tr>
        <w:trPr>
          <w:trHeight w:val="352"/>
        </w:trPr>
        <w:tc>
          <w:tcPr>
            <w:tcW w:w="1044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The following consolidated financial statements are included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00" w:type="dxa"/>
            <w:vAlign w:val="bottom"/>
          </w:tcPr>
          <w:p>
            <w:pPr>
              <w:spacing w:after="0"/>
              <w:rPr>
                <w:sz w:val="24"/>
                <w:szCs w:val="24"/>
                <w:color w:val="auto"/>
              </w:rPr>
            </w:pPr>
          </w:p>
        </w:tc>
      </w:tr>
      <w:tr>
        <w:trPr>
          <w:trHeight w:val="350"/>
        </w:trPr>
        <w:tc>
          <w:tcPr>
            <w:tcW w:w="10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10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4"/>
        </w:trPr>
        <w:tc>
          <w:tcPr>
            <w:tcW w:w="10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0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0042)</w:t>
            </w:r>
          </w:p>
        </w:tc>
        <w:tc>
          <w:tcPr>
            <w:tcW w:w="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II-23</w:t>
            </w:r>
          </w:p>
        </w:tc>
      </w:tr>
      <w:tr>
        <w:trPr>
          <w:trHeight w:val="243"/>
        </w:trPr>
        <w:tc>
          <w:tcPr>
            <w:tcW w:w="10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II-24</w:t>
            </w:r>
          </w:p>
        </w:tc>
      </w:tr>
      <w:tr>
        <w:trPr>
          <w:trHeight w:val="27"/>
        </w:trPr>
        <w:tc>
          <w:tcPr>
            <w:tcW w:w="10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0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 for the years ended December 31, 2024, 2023 and 2022</w:t>
            </w:r>
          </w:p>
        </w:tc>
        <w:tc>
          <w:tcPr>
            <w:tcW w:w="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II-25</w:t>
            </w:r>
          </w:p>
        </w:tc>
      </w:tr>
      <w:tr>
        <w:trPr>
          <w:trHeight w:val="243"/>
        </w:trPr>
        <w:tc>
          <w:tcPr>
            <w:tcW w:w="10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 ended December 31, 2024, 2023 and 2022</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II-26</w:t>
            </w:r>
          </w:p>
        </w:tc>
      </w:tr>
      <w:tr>
        <w:trPr>
          <w:trHeight w:val="27"/>
        </w:trPr>
        <w:tc>
          <w:tcPr>
            <w:tcW w:w="10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0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2023 and 2022</w:t>
            </w:r>
          </w:p>
        </w:tc>
        <w:tc>
          <w:tcPr>
            <w:tcW w:w="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II-27</w:t>
            </w:r>
          </w:p>
        </w:tc>
      </w:tr>
      <w:tr>
        <w:trPr>
          <w:trHeight w:val="243"/>
        </w:trPr>
        <w:tc>
          <w:tcPr>
            <w:tcW w:w="10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II-28</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material or because the information required is already included in the consolidated financial statements or the notes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8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or are incorporated herein by reference, in each case as indicated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23"/>
        </w:trPr>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44"/>
        </w:trPr>
        <w:tc>
          <w:tcPr>
            <w:tcW w:w="8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w w:val="96"/>
              </w:rPr>
              <w:t>Filing</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624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3"/>
        </w:trPr>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40" w:type="dxa"/>
            <w:vAlign w:val="bottom"/>
            <w:gridSpan w:val="24"/>
            <w:shd w:val="clear" w:color="auto" w:fill="CCEEFF"/>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Amended and Restated Certificate of Incorporation of EverCommerce Inc</w:t>
              </w:r>
            </w:hyperlink>
          </w:p>
        </w:tc>
        <w:tc>
          <w:tcPr>
            <w:tcW w:w="6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001-40575</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07/09/21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260" w:type="dxa"/>
            <w:vAlign w:val="bottom"/>
            <w:tcBorders>
              <w:top w:val="single" w:sz="8" w:color="0000FF"/>
            </w:tcBorders>
            <w:gridSpan w:val="11"/>
          </w:tcPr>
          <w:p>
            <w:pP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Amended and Restated Bylaws of EverCommerce Inc</w:t>
              </w:r>
            </w:hyperlink>
          </w:p>
        </w:tc>
        <w:tc>
          <w:tcPr>
            <w:tcW w:w="1980" w:type="dxa"/>
            <w:vAlign w:val="bottom"/>
            <w:tcBorders>
              <w:top w:val="single" w:sz="8" w:color="CCEEFF"/>
            </w:tcBorders>
            <w:gridSpan w:val="13"/>
          </w:tcPr>
          <w:p>
            <w:pPr>
              <w:spacing w:after="0"/>
              <w:rPr>
                <w:sz w:val="14"/>
                <w:szCs w:val="14"/>
                <w:color w:val="auto"/>
              </w:rPr>
            </w:pPr>
          </w:p>
        </w:tc>
        <w:tc>
          <w:tcPr>
            <w:tcW w:w="640" w:type="dxa"/>
            <w:vAlign w:val="bottom"/>
            <w:tcBorders>
              <w:top w:val="single" w:sz="8" w:color="CCEEFF"/>
            </w:tcBorders>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001-40575</w:t>
            </w: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jc w:val="center"/>
              <w:ind w:right="28"/>
              <w:spacing w:after="0"/>
              <w:rPr>
                <w:sz w:val="20"/>
                <w:szCs w:val="20"/>
                <w:color w:val="auto"/>
              </w:rPr>
            </w:pPr>
            <w:r>
              <w:rPr>
                <w:rFonts w:ascii="Times New Roman" w:cs="Times New Roman" w:eastAsia="Times New Roman" w:hAnsi="Times New Roman"/>
                <w:sz w:val="14"/>
                <w:szCs w:val="14"/>
                <w:color w:val="auto"/>
              </w:rPr>
              <w:t>07/09/21</w:t>
            </w:r>
          </w:p>
        </w:tc>
        <w:tc>
          <w:tcPr>
            <w:tcW w:w="8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40" w:type="dxa"/>
            <w:vAlign w:val="bottom"/>
            <w:gridSpan w:val="24"/>
            <w:shd w:val="clear" w:color="auto" w:fill="CCEEFF"/>
          </w:tcPr>
          <w:p>
            <w:pPr>
              <w:spacing w:after="0"/>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Form of Certificate of Common Stock</w:t>
              </w:r>
            </w:hyperlink>
          </w:p>
        </w:tc>
        <w:tc>
          <w:tcPr>
            <w:tcW w:w="6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S-1/A</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333-256641</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06/23/21</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48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gridSpan w:val="24"/>
          </w:tcPr>
          <w:p>
            <w:pPr>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Registration Rights Agreement by and between EverCommerce Inc. and certain security holders of</w:t>
              </w:r>
            </w:hyperlink>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5540" w:type="dxa"/>
            <w:vAlign w:val="bottom"/>
            <w:tcBorders>
              <w:top w:val="single" w:sz="8" w:color="0000FF"/>
            </w:tcBorders>
            <w:gridSpan w:val="20"/>
            <w:vMerge w:val="restart"/>
          </w:tcPr>
          <w:p>
            <w:pPr>
              <w:spacing w:after="0" w:line="155"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EverCommerce Inc., dated May 7, 2021</w:t>
              </w:r>
            </w:hyperlink>
          </w:p>
        </w:tc>
        <w:tc>
          <w:tcPr>
            <w:tcW w:w="540" w:type="dxa"/>
            <w:vAlign w:val="bottom"/>
            <w:gridSpan w:val="2"/>
            <w:vMerge w:val="restart"/>
          </w:tcPr>
          <w:p>
            <w:pPr>
              <w:spacing w:after="0"/>
              <w:rPr>
                <w:sz w:val="7"/>
                <w:szCs w:val="7"/>
                <w:color w:val="auto"/>
              </w:rPr>
            </w:pPr>
          </w:p>
        </w:tc>
        <w:tc>
          <w:tcPr>
            <w:tcW w:w="64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4"/>
                <w:szCs w:val="14"/>
                <w:color w:val="auto"/>
              </w:rPr>
              <w:t>S-1</w:t>
            </w:r>
          </w:p>
        </w:tc>
        <w:tc>
          <w:tcPr>
            <w:tcW w:w="94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4"/>
                <w:szCs w:val="14"/>
                <w:color w:val="auto"/>
              </w:rPr>
              <w:t>333-256641</w:t>
            </w:r>
          </w:p>
        </w:tc>
        <w:tc>
          <w:tcPr>
            <w:tcW w:w="80" w:type="dxa"/>
            <w:vAlign w:val="bottom"/>
          </w:tcPr>
          <w:p>
            <w:pPr>
              <w:spacing w:after="0"/>
              <w:rPr>
                <w:sz w:val="7"/>
                <w:szCs w:val="7"/>
                <w:color w:val="auto"/>
              </w:rPr>
            </w:pPr>
          </w:p>
        </w:tc>
        <w:tc>
          <w:tcPr>
            <w:tcW w:w="64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center"/>
              <w:ind w:right="28"/>
              <w:spacing w:after="0" w:line="155" w:lineRule="exact"/>
              <w:rPr>
                <w:sz w:val="20"/>
                <w:szCs w:val="20"/>
                <w:color w:val="auto"/>
              </w:rPr>
            </w:pPr>
            <w:r>
              <w:rPr>
                <w:rFonts w:ascii="Times New Roman" w:cs="Times New Roman" w:eastAsia="Times New Roman" w:hAnsi="Times New Roman"/>
                <w:sz w:val="14"/>
                <w:szCs w:val="14"/>
                <w:color w:val="auto"/>
              </w:rPr>
              <w:t>05/28/21</w:t>
            </w: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540" w:type="dxa"/>
            <w:vAlign w:val="bottom"/>
            <w:gridSpan w:val="20"/>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80" w:type="dxa"/>
            <w:vAlign w:val="bottom"/>
            <w:tcBorders>
              <w:bottom w:val="single" w:sz="8" w:color="0000FF"/>
            </w:tcBorders>
            <w:gridSpan w:val="9"/>
            <w:shd w:val="clear" w:color="auto" w:fill="CCEEFF"/>
          </w:tcPr>
          <w:p>
            <w:pPr>
              <w:spacing w:after="0"/>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Sponsor Stockholders Agreement, dated as of June 30, 2021</w:t>
              </w:r>
            </w:hyperlink>
          </w:p>
        </w:tc>
        <w:tc>
          <w:tcPr>
            <w:tcW w:w="2760" w:type="dxa"/>
            <w:vAlign w:val="bottom"/>
            <w:tcBorders>
              <w:bottom w:val="single" w:sz="8" w:color="CCEEFF"/>
            </w:tcBorders>
            <w:gridSpan w:val="15"/>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001-40575</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07/09/21</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gridSpan w:val="24"/>
          </w:tcPr>
          <w:p>
            <w:pPr>
              <w:spacing w:after="0"/>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Management Stockholders Agreement, dated as of June 30, 2021</w:t>
              </w:r>
            </w:hyperlink>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001-40575</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07/09/21</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40" w:type="dxa"/>
            <w:vAlign w:val="bottom"/>
            <w:gridSpan w:val="24"/>
            <w:shd w:val="clear" w:color="auto" w:fill="CCEEFF"/>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Description of Capital Stock</w:t>
              </w:r>
            </w:hyperlink>
          </w:p>
        </w:tc>
        <w:tc>
          <w:tcPr>
            <w:tcW w:w="6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10-K</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001-40575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03/15/22</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48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gridSpan w:val="24"/>
          </w:tcPr>
          <w:p>
            <w:pPr>
              <w:spacing w:after="0"/>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Form of Indemnification Agreement between EverCommerce Inc. and its directors and officers</w:t>
              </w:r>
            </w:hyperlink>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S-1/A</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333-256641</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06/23/21</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18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Amended &amp; Restated 2016 Equity Incentive Plan and related form agreements thereunder</w:t>
              </w:r>
            </w:hyperlink>
          </w:p>
        </w:tc>
        <w:tc>
          <w:tcPr>
            <w:tcW w:w="1060" w:type="dxa"/>
            <w:vAlign w:val="bottom"/>
            <w:tcBorders>
              <w:bottom w:val="single" w:sz="8" w:color="CCEEFF"/>
            </w:tcBorders>
            <w:gridSpan w:val="10"/>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S-1/A</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333-256641</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06/23/21</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gridSpan w:val="24"/>
          </w:tcPr>
          <w:p>
            <w:pPr>
              <w:spacing w:after="0"/>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EverCommerce Inc. 2021 Incentive Award Plan</w:t>
              </w:r>
            </w:hyperlink>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S-1/A</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333-256641</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06/23/21</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840" w:type="dxa"/>
            <w:vAlign w:val="bottom"/>
            <w:tcBorders>
              <w:bottom w:val="single" w:sz="8" w:color="0000FF"/>
            </w:tcBorders>
            <w:gridSpan w:val="12"/>
            <w:shd w:val="clear" w:color="auto" w:fill="CCEEFF"/>
          </w:tcPr>
          <w:p>
            <w:pPr>
              <w:spacing w:after="0"/>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Form of RSU Agreement under the EverCommerce Inc. 2021 Incentive Award Plan</w:t>
              </w:r>
            </w:hyperlink>
          </w:p>
        </w:tc>
        <w:tc>
          <w:tcPr>
            <w:tcW w:w="1400" w:type="dxa"/>
            <w:vAlign w:val="bottom"/>
            <w:tcBorders>
              <w:bottom w:val="single" w:sz="8" w:color="CCEEFF"/>
            </w:tcBorders>
            <w:gridSpan w:val="12"/>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S-1/A</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333-256641</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06/23/21</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gridSpan w:val="24"/>
          </w:tcPr>
          <w:p>
            <w:pPr>
              <w:spacing w:after="0"/>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Form of Option Agreement under the EverCommerce Inc. 2021 Incentive Award Plan</w:t>
              </w:r>
            </w:hyperlink>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S-1/A</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333-256641</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06/23/21</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320" w:type="dxa"/>
            <w:vAlign w:val="bottom"/>
            <w:tcBorders>
              <w:bottom w:val="single" w:sz="8" w:color="0000FF"/>
            </w:tcBorders>
            <w:gridSpan w:val="8"/>
            <w:shd w:val="clear" w:color="auto" w:fill="CCEEFF"/>
          </w:tcPr>
          <w:p>
            <w:pPr>
              <w:spacing w:after="0"/>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EverCommerce Inc. 2021 Employee Stock Purchase Plan</w:t>
              </w:r>
            </w:hyperlink>
          </w:p>
        </w:tc>
        <w:tc>
          <w:tcPr>
            <w:tcW w:w="2920" w:type="dxa"/>
            <w:vAlign w:val="bottom"/>
            <w:tcBorders>
              <w:bottom w:val="single" w:sz="8" w:color="CCEEFF"/>
            </w:tcBorders>
            <w:gridSpan w:val="16"/>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S-1/A</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333-256641</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06/23/21</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gridSpan w:val="24"/>
          </w:tcPr>
          <w:p>
            <w:pPr>
              <w:spacing w:after="0"/>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EverCommerce Inc. Amended and Restated Non-Employee Director Compensation Policy</w:t>
              </w:r>
            </w:hyperlink>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10-Q</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001-40575</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05/09/24</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40" w:type="dxa"/>
            <w:vAlign w:val="bottom"/>
            <w:gridSpan w:val="24"/>
            <w:shd w:val="clear" w:color="auto" w:fill="CCEEFF"/>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Employment Agreement by and between the Company and Eric Remer, dated July 1, 2021</w:t>
              </w:r>
            </w:hyperlink>
          </w:p>
        </w:tc>
        <w:tc>
          <w:tcPr>
            <w:tcW w:w="6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10-K</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001-40575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03/15/22</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48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gridSpan w:val="24"/>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Employment Agreement by and between the Company and Matthew Feierstein, dated July 1, 2021</w:t>
              </w:r>
            </w:hyperlink>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10-K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001-40575</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03/15/22</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40" w:type="dxa"/>
            <w:vAlign w:val="bottom"/>
            <w:gridSpan w:val="24"/>
            <w:shd w:val="clear" w:color="auto" w:fill="CCEEFF"/>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Employment Agreement by and between the Company and Marc Thompson, dated July 1, 2021</w:t>
              </w:r>
            </w:hyperlink>
          </w:p>
        </w:tc>
        <w:tc>
          <w:tcPr>
            <w:tcW w:w="6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10-K</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001-40575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03/15/22</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48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gridSpan w:val="24"/>
          </w:tcPr>
          <w:p>
            <w:pPr>
              <w:ind w:left="20"/>
              <w:spacing w:after="0"/>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Separation Agreement by and between the Company and Marc Thompson dated August 6, 2024</w:t>
              </w:r>
            </w:hyperlink>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10-Q</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001-40575</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11/12/24</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40" w:type="dxa"/>
            <w:vAlign w:val="bottom"/>
            <w:gridSpan w:val="24"/>
            <w:shd w:val="clear" w:color="auto" w:fill="CCEEFF"/>
          </w:tcPr>
          <w:p>
            <w:pPr>
              <w:ind w:left="20"/>
              <w:spacing w:after="0"/>
              <w:rPr>
                <w:rFonts w:ascii="Times New Roman" w:cs="Times New Roman" w:eastAsia="Times New Roman" w:hAnsi="Times New Roman"/>
                <w:sz w:val="14"/>
                <w:szCs w:val="14"/>
                <w:color w:val="0000FF"/>
              </w:rPr>
            </w:pPr>
            <w:hyperlink r:id="rId181">
              <w:r>
                <w:rPr>
                  <w:rFonts w:ascii="Times New Roman" w:cs="Times New Roman" w:eastAsia="Times New Roman" w:hAnsi="Times New Roman"/>
                  <w:sz w:val="14"/>
                  <w:szCs w:val="14"/>
                  <w:color w:val="0000FF"/>
                </w:rPr>
                <w:t>Employment Agreement by and between the Company and Ryan Siurek dated August 6, 2024</w:t>
              </w:r>
            </w:hyperlink>
          </w:p>
        </w:tc>
        <w:tc>
          <w:tcPr>
            <w:tcW w:w="6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10-Q</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001-40575</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11/12/24</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3"/>
        </w:trPr>
        <w:tc>
          <w:tcPr>
            <w:tcW w:w="7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48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9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7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86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8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10.13#</w:t>
            </w:r>
          </w:p>
        </w:tc>
        <w:tc>
          <w:tcPr>
            <w:tcW w:w="6240" w:type="dxa"/>
            <w:vAlign w:val="bottom"/>
            <w:gridSpan w:val="22"/>
          </w:tcPr>
          <w:p>
            <w:pPr>
              <w:spacing w:after="0"/>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PaySimple, Inc. 2008 Equity Incentive Plan</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S-8</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333-268321</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99.3</w:t>
            </w:r>
          </w:p>
        </w:tc>
        <w:tc>
          <w:tcPr>
            <w:tcW w:w="1820" w:type="dxa"/>
            <w:vAlign w:val="bottom"/>
          </w:tcPr>
          <w:p>
            <w:pPr>
              <w:jc w:val="center"/>
              <w:ind w:right="808"/>
              <w:spacing w:after="0"/>
              <w:rPr>
                <w:sz w:val="20"/>
                <w:szCs w:val="20"/>
                <w:color w:val="auto"/>
              </w:rPr>
            </w:pPr>
            <w:r>
              <w:rPr>
                <w:rFonts w:ascii="Times New Roman" w:cs="Times New Roman" w:eastAsia="Times New Roman" w:hAnsi="Times New Roman"/>
                <w:sz w:val="14"/>
                <w:szCs w:val="14"/>
                <w:color w:val="auto"/>
              </w:rPr>
              <w:t>11/14/22</w:t>
            </w:r>
          </w:p>
        </w:tc>
        <w:tc>
          <w:tcPr>
            <w:tcW w:w="0" w:type="dxa"/>
            <w:vAlign w:val="bottom"/>
          </w:tcPr>
          <w:p>
            <w:pPr>
              <w:spacing w:after="0"/>
              <w:rPr>
                <w:sz w:val="1"/>
                <w:szCs w:val="1"/>
                <w:color w:val="auto"/>
              </w:rPr>
            </w:pPr>
          </w:p>
        </w:tc>
      </w:tr>
      <w:tr>
        <w:trPr>
          <w:trHeight w:val="48"/>
        </w:trPr>
        <w:tc>
          <w:tcPr>
            <w:tcW w:w="86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8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10.14</w:t>
            </w:r>
          </w:p>
        </w:tc>
        <w:tc>
          <w:tcPr>
            <w:tcW w:w="6240" w:type="dxa"/>
            <w:vAlign w:val="bottom"/>
            <w:gridSpan w:val="22"/>
            <w:shd w:val="clear" w:color="auto" w:fill="CCEEFF"/>
          </w:tcPr>
          <w:p>
            <w:pPr>
              <w:spacing w:after="0"/>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Credit Agreement, dated July 6, 2021</w:t>
              </w:r>
            </w:hyperlink>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001-40575</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820" w:type="dxa"/>
            <w:vAlign w:val="bottom"/>
            <w:shd w:val="clear" w:color="auto" w:fill="CCEEFF"/>
          </w:tcPr>
          <w:p>
            <w:pPr>
              <w:jc w:val="center"/>
              <w:ind w:right="808"/>
              <w:spacing w:after="0"/>
              <w:rPr>
                <w:sz w:val="20"/>
                <w:szCs w:val="20"/>
                <w:color w:val="auto"/>
              </w:rPr>
            </w:pPr>
            <w:r>
              <w:rPr>
                <w:rFonts w:ascii="Times New Roman" w:cs="Times New Roman" w:eastAsia="Times New Roman" w:hAnsi="Times New Roman"/>
                <w:sz w:val="14"/>
                <w:szCs w:val="14"/>
                <w:color w:val="auto"/>
              </w:rPr>
              <w:t>07/09/21</w:t>
            </w:r>
          </w:p>
        </w:tc>
        <w:tc>
          <w:tcPr>
            <w:tcW w:w="0" w:type="dxa"/>
            <w:vAlign w:val="bottom"/>
          </w:tcPr>
          <w:p>
            <w:pPr>
              <w:spacing w:after="0"/>
              <w:rPr>
                <w:sz w:val="1"/>
                <w:szCs w:val="1"/>
                <w:color w:val="auto"/>
              </w:rPr>
            </w:pPr>
          </w:p>
        </w:tc>
      </w:tr>
      <w:tr>
        <w:trPr>
          <w:trHeight w:val="48"/>
        </w:trPr>
        <w:tc>
          <w:tcPr>
            <w:tcW w:w="8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3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8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9"/>
              </w:rPr>
              <w:t>10.15.1</w:t>
            </w:r>
          </w:p>
        </w:tc>
        <w:tc>
          <w:tcPr>
            <w:tcW w:w="5900" w:type="dxa"/>
            <w:vAlign w:val="bottom"/>
            <w:tcBorders>
              <w:bottom w:val="single" w:sz="8" w:color="0000FF"/>
            </w:tcBorders>
            <w:gridSpan w:val="19"/>
          </w:tcPr>
          <w:p>
            <w:pPr>
              <w:spacing w:after="0"/>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Amendment No. 1, dated as of November 23, 2021, to the Credit Agreement, dated as of July 6, 2021,</w:t>
              </w:r>
            </w:hyperlink>
          </w:p>
        </w:tc>
        <w:tc>
          <w:tcPr>
            <w:tcW w:w="340" w:type="dxa"/>
            <w:vAlign w:val="bottom"/>
            <w:gridSpan w:val="3"/>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740" w:type="dxa"/>
            <w:vAlign w:val="bottom"/>
            <w:tcBorders>
              <w:bottom w:val="single" w:sz="8" w:color="0000FF"/>
            </w:tcBorders>
            <w:gridSpan w:val="17"/>
          </w:tcPr>
          <w:p>
            <w:pPr>
              <w:spacing w:after="0" w:line="155"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among EverCommerce Intermediate Inc., EverCommerce Solutions Inc., Royal Bank of Canada, as</w:t>
              </w:r>
            </w:hyperlink>
          </w:p>
        </w:tc>
        <w:tc>
          <w:tcPr>
            <w:tcW w:w="340" w:type="dxa"/>
            <w:vAlign w:val="bottom"/>
            <w:gridSpan w:val="3"/>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001-40575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820" w:type="dxa"/>
            <w:vAlign w:val="bottom"/>
            <w:vMerge w:val="restart"/>
          </w:tcPr>
          <w:p>
            <w:pPr>
              <w:jc w:val="center"/>
              <w:ind w:right="808"/>
              <w:spacing w:after="0"/>
              <w:rPr>
                <w:sz w:val="20"/>
                <w:szCs w:val="20"/>
                <w:color w:val="auto"/>
              </w:rPr>
            </w:pPr>
            <w:r>
              <w:rPr>
                <w:rFonts w:ascii="Times New Roman" w:cs="Times New Roman" w:eastAsia="Times New Roman" w:hAnsi="Times New Roman"/>
                <w:sz w:val="14"/>
                <w:szCs w:val="14"/>
                <w:color w:val="auto"/>
              </w:rPr>
              <w:t>11/23/21</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80" w:type="dxa"/>
            <w:vAlign w:val="bottom"/>
            <w:gridSpan w:val="20"/>
          </w:tcPr>
          <w:p>
            <w:pPr>
              <w:spacing w:after="0" w:line="155"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administrative agent and collateral agent, and the other parties and lenders party thereto</w:t>
              </w:r>
            </w:hyperlink>
          </w:p>
        </w:tc>
        <w:tc>
          <w:tcPr>
            <w:tcW w:w="60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8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60" w:type="dxa"/>
            <w:vAlign w:val="bottom"/>
            <w:tcBorders>
              <w:bottom w:val="single" w:sz="8" w:color="CCEEFF"/>
            </w:tcBorders>
            <w:vMerge w:val="restart"/>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10.15.2</w:t>
            </w:r>
          </w:p>
        </w:tc>
        <w:tc>
          <w:tcPr>
            <w:tcW w:w="5980" w:type="dxa"/>
            <w:vAlign w:val="bottom"/>
            <w:tcBorders>
              <w:bottom w:val="single" w:sz="8" w:color="0000FF"/>
            </w:tcBorders>
            <w:gridSpan w:val="20"/>
            <w:shd w:val="clear" w:color="auto" w:fill="CCEEFF"/>
          </w:tcPr>
          <w:p>
            <w:pPr>
              <w:spacing w:after="0"/>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Amendment No. 2, dated as of June 26, 2023, to the Credit Agreement, dated as of July 6, 2021, among</w:t>
              </w:r>
            </w:hyperlink>
          </w:p>
        </w:tc>
        <w:tc>
          <w:tcPr>
            <w:tcW w:w="260" w:type="dxa"/>
            <w:vAlign w:val="bottom"/>
            <w:tcBorders>
              <w:bottom w:val="single" w:sz="8" w:color="CCEEFF"/>
            </w:tcBorders>
            <w:gridSpan w:val="2"/>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80" w:type="dxa"/>
            <w:vAlign w:val="bottom"/>
            <w:gridSpan w:val="20"/>
            <w:shd w:val="clear" w:color="auto" w:fill="CCEEFF"/>
          </w:tcPr>
          <w:p>
            <w:pPr>
              <w:spacing w:after="0" w:line="155"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EverCommerce Intermediate Inc., EverCommerce Solutions Inc., Royal Bank of Canada, as</w:t>
              </w:r>
            </w:hyperlink>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001-40575</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820" w:type="dxa"/>
            <w:vAlign w:val="bottom"/>
            <w:vMerge w:val="restart"/>
            <w:shd w:val="clear" w:color="auto" w:fill="CCEEFF"/>
          </w:tcPr>
          <w:p>
            <w:pPr>
              <w:jc w:val="center"/>
              <w:ind w:right="808"/>
              <w:spacing w:after="0"/>
              <w:rPr>
                <w:sz w:val="20"/>
                <w:szCs w:val="20"/>
                <w:color w:val="auto"/>
              </w:rPr>
            </w:pPr>
            <w:r>
              <w:rPr>
                <w:rFonts w:ascii="Times New Roman" w:cs="Times New Roman" w:eastAsia="Times New Roman" w:hAnsi="Times New Roman"/>
                <w:sz w:val="14"/>
                <w:szCs w:val="14"/>
                <w:color w:val="auto"/>
              </w:rPr>
              <w:t>08/08/23</w:t>
            </w:r>
          </w:p>
        </w:tc>
        <w:tc>
          <w:tcPr>
            <w:tcW w:w="0" w:type="dxa"/>
            <w:vAlign w:val="bottom"/>
          </w:tcPr>
          <w:p>
            <w:pPr>
              <w:spacing w:after="0"/>
              <w:rPr>
                <w:sz w:val="1"/>
                <w:szCs w:val="1"/>
                <w:color w:val="auto"/>
              </w:rPr>
            </w:pPr>
          </w:p>
        </w:tc>
      </w:tr>
      <w:tr>
        <w:trPr>
          <w:trHeight w:val="156"/>
        </w:trPr>
        <w:tc>
          <w:tcPr>
            <w:tcW w:w="8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300" w:type="dxa"/>
            <w:vAlign w:val="bottom"/>
            <w:tcBorders>
              <w:top w:val="single" w:sz="8" w:color="0000FF"/>
            </w:tcBorders>
            <w:gridSpan w:val="15"/>
            <w:shd w:val="clear" w:color="auto" w:fill="CCEEFF"/>
          </w:tcPr>
          <w:p>
            <w:pPr>
              <w:spacing w:after="0" w:line="155"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administrative agent and collateral agent, and the other parties and lenders party thereto</w:t>
              </w:r>
            </w:hyperlink>
          </w:p>
        </w:tc>
        <w:tc>
          <w:tcPr>
            <w:tcW w:w="780" w:type="dxa"/>
            <w:vAlign w:val="bottom"/>
            <w:tcBorders>
              <w:top w:val="single" w:sz="8" w:color="CCEEFF"/>
            </w:tcBorders>
            <w:gridSpan w:val="5"/>
            <w:shd w:val="clear" w:color="auto" w:fill="CCEEFF"/>
          </w:tcPr>
          <w:p>
            <w:pPr>
              <w:spacing w:after="0"/>
              <w:rPr>
                <w:sz w:val="13"/>
                <w:szCs w:val="13"/>
                <w:color w:val="auto"/>
              </w:rPr>
            </w:pPr>
          </w:p>
        </w:tc>
        <w:tc>
          <w:tcPr>
            <w:tcW w:w="600" w:type="dxa"/>
            <w:vAlign w:val="bottom"/>
            <w:tcBorders>
              <w:top w:val="single" w:sz="8" w:color="CCEEFF"/>
            </w:tcBorders>
            <w:vMerge w:val="continue"/>
            <w:shd w:val="clear" w:color="auto" w:fill="CCEEFF"/>
          </w:tcPr>
          <w:p>
            <w:pPr>
              <w:spacing w:after="0"/>
              <w:rPr>
                <w:sz w:val="13"/>
                <w:szCs w:val="13"/>
                <w:color w:val="auto"/>
              </w:rPr>
            </w:pPr>
          </w:p>
        </w:tc>
        <w:tc>
          <w:tcPr>
            <w:tcW w:w="1040" w:type="dxa"/>
            <w:vAlign w:val="bottom"/>
            <w:tcBorders>
              <w:top w:val="single" w:sz="8" w:color="CCEEFF"/>
            </w:tcBorders>
            <w:vMerge w:val="continue"/>
            <w:shd w:val="clear" w:color="auto" w:fill="CCEEFF"/>
          </w:tcPr>
          <w:p>
            <w:pPr>
              <w:spacing w:after="0"/>
              <w:rPr>
                <w:sz w:val="13"/>
                <w:szCs w:val="13"/>
                <w:color w:val="auto"/>
              </w:rPr>
            </w:pPr>
          </w:p>
        </w:tc>
        <w:tc>
          <w:tcPr>
            <w:tcW w:w="680" w:type="dxa"/>
            <w:vAlign w:val="bottom"/>
            <w:tcBorders>
              <w:top w:val="single" w:sz="8" w:color="CCEEFF"/>
            </w:tcBorders>
            <w:vMerge w:val="continue"/>
            <w:shd w:val="clear" w:color="auto" w:fill="CCEEFF"/>
          </w:tcPr>
          <w:p>
            <w:pPr>
              <w:spacing w:after="0"/>
              <w:rPr>
                <w:sz w:val="13"/>
                <w:szCs w:val="13"/>
                <w:color w:val="auto"/>
              </w:rPr>
            </w:pPr>
          </w:p>
        </w:tc>
        <w:tc>
          <w:tcPr>
            <w:tcW w:w="182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3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8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9"/>
              </w:rPr>
              <w:t>10.15.3</w:t>
            </w:r>
          </w:p>
        </w:tc>
        <w:tc>
          <w:tcPr>
            <w:tcW w:w="588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Amendment No. 3, dated as of December 13, 2024, to the Credit Agreement, dated as of July 6, 2021,</w:t>
              </w:r>
            </w:hyperlink>
          </w:p>
        </w:tc>
        <w:tc>
          <w:tcPr>
            <w:tcW w:w="360" w:type="dxa"/>
            <w:vAlign w:val="bottom"/>
            <w:gridSpan w:val="4"/>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740" w:type="dxa"/>
            <w:vAlign w:val="bottom"/>
            <w:tcBorders>
              <w:bottom w:val="single" w:sz="8" w:color="0000FF"/>
            </w:tcBorders>
            <w:gridSpan w:val="17"/>
          </w:tcPr>
          <w:p>
            <w:pPr>
              <w:spacing w:after="0" w:line="155" w:lineRule="exact"/>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among EverCommerce Intermediate Inc., EverCommerce Solutions Inc., Royal Bank of Canada, as</w:t>
              </w:r>
            </w:hyperlink>
          </w:p>
        </w:tc>
        <w:tc>
          <w:tcPr>
            <w:tcW w:w="340" w:type="dxa"/>
            <w:vAlign w:val="bottom"/>
            <w:gridSpan w:val="3"/>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001-40575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820" w:type="dxa"/>
            <w:vAlign w:val="bottom"/>
            <w:vMerge w:val="restart"/>
          </w:tcPr>
          <w:p>
            <w:pPr>
              <w:jc w:val="center"/>
              <w:ind w:right="808"/>
              <w:spacing w:after="0"/>
              <w:rPr>
                <w:sz w:val="20"/>
                <w:szCs w:val="20"/>
                <w:color w:val="auto"/>
              </w:rPr>
            </w:pPr>
            <w:r>
              <w:rPr>
                <w:rFonts w:ascii="Times New Roman" w:cs="Times New Roman" w:eastAsia="Times New Roman" w:hAnsi="Times New Roman"/>
                <w:sz w:val="14"/>
                <w:szCs w:val="14"/>
                <w:color w:val="auto"/>
              </w:rPr>
              <w:t>12/16/24</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80" w:type="dxa"/>
            <w:vAlign w:val="bottom"/>
            <w:gridSpan w:val="20"/>
          </w:tcPr>
          <w:p>
            <w:pPr>
              <w:spacing w:after="0" w:line="155" w:lineRule="exact"/>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administrative agent and collateral agent, and the other parties and lenders party thereto</w:t>
              </w:r>
            </w:hyperlink>
          </w:p>
        </w:tc>
        <w:tc>
          <w:tcPr>
            <w:tcW w:w="60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8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Borders>
              <w:bottom w:val="single" w:sz="8" w:color="CCEEFF"/>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10.16</w:t>
            </w:r>
          </w:p>
        </w:tc>
        <w:tc>
          <w:tcPr>
            <w:tcW w:w="2380" w:type="dxa"/>
            <w:vAlign w:val="bottom"/>
            <w:tcBorders>
              <w:bottom w:val="single" w:sz="8" w:color="0000FF"/>
            </w:tcBorders>
            <w:gridSpan w:val="8"/>
            <w:shd w:val="clear" w:color="auto" w:fill="CCEEFF"/>
          </w:tcPr>
          <w:p>
            <w:pPr>
              <w:spacing w:after="0"/>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Collateral Agreement, dated July 6, 2021</w:t>
              </w:r>
            </w:hyperlink>
          </w:p>
        </w:tc>
        <w:tc>
          <w:tcPr>
            <w:tcW w:w="3860" w:type="dxa"/>
            <w:vAlign w:val="bottom"/>
            <w:tcBorders>
              <w:bottom w:val="single" w:sz="8" w:color="CCEEFF"/>
            </w:tcBorders>
            <w:gridSpan w:val="14"/>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001-40575</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1820" w:type="dxa"/>
            <w:vAlign w:val="bottom"/>
            <w:tcBorders>
              <w:bottom w:val="single" w:sz="8" w:color="CCEEFF"/>
            </w:tcBorders>
            <w:shd w:val="clear" w:color="auto" w:fill="CCEEFF"/>
          </w:tcPr>
          <w:p>
            <w:pPr>
              <w:jc w:val="center"/>
              <w:ind w:right="808"/>
              <w:spacing w:after="0"/>
              <w:rPr>
                <w:sz w:val="20"/>
                <w:szCs w:val="20"/>
                <w:color w:val="auto"/>
              </w:rPr>
            </w:pPr>
            <w:r>
              <w:rPr>
                <w:rFonts w:ascii="Times New Roman" w:cs="Times New Roman" w:eastAsia="Times New Roman" w:hAnsi="Times New Roman"/>
                <w:sz w:val="14"/>
                <w:szCs w:val="14"/>
                <w:color w:val="auto"/>
              </w:rPr>
              <w:t>07/09/21</w:t>
            </w:r>
          </w:p>
        </w:tc>
        <w:tc>
          <w:tcPr>
            <w:tcW w:w="0" w:type="dxa"/>
            <w:vAlign w:val="bottom"/>
          </w:tcPr>
          <w:p>
            <w:pPr>
              <w:spacing w:after="0"/>
              <w:rPr>
                <w:sz w:val="1"/>
                <w:szCs w:val="1"/>
                <w:color w:val="auto"/>
              </w:rPr>
            </w:pPr>
          </w:p>
        </w:tc>
      </w:tr>
      <w:tr>
        <w:trPr>
          <w:trHeight w:val="162"/>
        </w:trPr>
        <w:tc>
          <w:tcPr>
            <w:tcW w:w="8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10.17</w:t>
            </w:r>
          </w:p>
        </w:tc>
        <w:tc>
          <w:tcPr>
            <w:tcW w:w="6240" w:type="dxa"/>
            <w:vAlign w:val="bottom"/>
            <w:gridSpan w:val="22"/>
          </w:tcPr>
          <w:p>
            <w:pPr>
              <w:spacing w:after="0"/>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Guarantee Agreement, dated July 6, 2021</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001-40575</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10.5</w:t>
            </w:r>
          </w:p>
        </w:tc>
        <w:tc>
          <w:tcPr>
            <w:tcW w:w="1820" w:type="dxa"/>
            <w:vAlign w:val="bottom"/>
          </w:tcPr>
          <w:p>
            <w:pPr>
              <w:jc w:val="center"/>
              <w:ind w:right="808"/>
              <w:spacing w:after="0"/>
              <w:rPr>
                <w:sz w:val="20"/>
                <w:szCs w:val="20"/>
                <w:color w:val="auto"/>
              </w:rPr>
            </w:pPr>
            <w:r>
              <w:rPr>
                <w:rFonts w:ascii="Times New Roman" w:cs="Times New Roman" w:eastAsia="Times New Roman" w:hAnsi="Times New Roman"/>
                <w:sz w:val="14"/>
                <w:szCs w:val="14"/>
                <w:color w:val="auto"/>
              </w:rPr>
              <w:t>07/09/21</w:t>
            </w:r>
          </w:p>
        </w:tc>
        <w:tc>
          <w:tcPr>
            <w:tcW w:w="0" w:type="dxa"/>
            <w:vAlign w:val="bottom"/>
          </w:tcPr>
          <w:p>
            <w:pPr>
              <w:spacing w:after="0"/>
              <w:rPr>
                <w:sz w:val="1"/>
                <w:szCs w:val="1"/>
                <w:color w:val="auto"/>
              </w:rPr>
            </w:pPr>
          </w:p>
        </w:tc>
      </w:tr>
      <w:tr>
        <w:trPr>
          <w:trHeight w:val="48"/>
        </w:trPr>
        <w:tc>
          <w:tcPr>
            <w:tcW w:w="86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860" w:type="dxa"/>
            <w:vAlign w:val="bottom"/>
            <w:vMerge w:val="restart"/>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10.18^</w:t>
            </w:r>
          </w:p>
        </w:tc>
        <w:tc>
          <w:tcPr>
            <w:tcW w:w="6240" w:type="dxa"/>
            <w:vAlign w:val="bottom"/>
            <w:gridSpan w:val="22"/>
            <w:shd w:val="clear" w:color="auto" w:fill="CCEEFF"/>
          </w:tcPr>
          <w:p>
            <w:pPr>
              <w:spacing w:after="0"/>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Office Lease by and among EverCommerce Solutions Inc. and BCSP RINO Property LLC, dated June 13,</w:t>
              </w:r>
            </w:hyperlink>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860" w:type="dxa"/>
            <w:vAlign w:val="bottom"/>
            <w:tcBorders>
              <w:top w:val="single" w:sz="8" w:color="CCEEFF"/>
            </w:tcBorders>
            <w:vMerge w:val="continue"/>
            <w:shd w:val="clear" w:color="auto" w:fill="CCEEFF"/>
          </w:tcPr>
          <w:p>
            <w:pPr>
              <w:spacing w:after="0"/>
              <w:rPr>
                <w:sz w:val="7"/>
                <w:szCs w:val="7"/>
                <w:color w:val="auto"/>
              </w:rPr>
            </w:pPr>
          </w:p>
        </w:tc>
        <w:tc>
          <w:tcPr>
            <w:tcW w:w="160" w:type="dxa"/>
            <w:vAlign w:val="bottom"/>
            <w:tcBorders>
              <w:top w:val="single" w:sz="8" w:color="0000FF"/>
            </w:tcBorders>
            <w:gridSpan w:val="2"/>
            <w:vMerge w:val="restart"/>
            <w:shd w:val="clear" w:color="auto" w:fill="CCEEFF"/>
          </w:tcPr>
          <w:p>
            <w:pPr>
              <w:spacing w:after="0"/>
              <w:rPr>
                <w:sz w:val="7"/>
                <w:szCs w:val="7"/>
                <w:color w:val="auto"/>
              </w:rPr>
            </w:pPr>
          </w:p>
        </w:tc>
        <w:tc>
          <w:tcPr>
            <w:tcW w:w="300" w:type="dxa"/>
            <w:vAlign w:val="bottom"/>
            <w:tcBorders>
              <w:top w:val="single" w:sz="8" w:color="0000FF"/>
            </w:tcBorders>
            <w:vMerge w:val="restart"/>
            <w:shd w:val="clear" w:color="auto" w:fill="CCEEFF"/>
          </w:tcPr>
          <w:p>
            <w:pPr>
              <w:spacing w:after="0" w:line="155" w:lineRule="exact"/>
              <w:rPr>
                <w:rFonts w:ascii="Times New Roman" w:cs="Times New Roman" w:eastAsia="Times New Roman" w:hAnsi="Times New Roman"/>
                <w:sz w:val="14"/>
                <w:szCs w:val="14"/>
                <w:color w:val="0000FF"/>
                <w:w w:val="99"/>
              </w:rPr>
            </w:pPr>
            <w:hyperlink r:id="rId191">
              <w:r>
                <w:rPr>
                  <w:rFonts w:ascii="Times New Roman" w:cs="Times New Roman" w:eastAsia="Times New Roman" w:hAnsi="Times New Roman"/>
                  <w:sz w:val="14"/>
                  <w:szCs w:val="14"/>
                  <w:color w:val="0000FF"/>
                  <w:w w:val="99"/>
                </w:rPr>
                <w:t>2019</w:t>
              </w:r>
            </w:hyperlink>
          </w:p>
        </w:tc>
        <w:tc>
          <w:tcPr>
            <w:tcW w:w="1360" w:type="dxa"/>
            <w:vAlign w:val="bottom"/>
            <w:tcBorders>
              <w:top w:val="single" w:sz="8" w:color="0000FF"/>
            </w:tcBorders>
            <w:shd w:val="clear" w:color="auto" w:fill="CCEEFF"/>
          </w:tcPr>
          <w:p>
            <w:pPr>
              <w:spacing w:after="0"/>
              <w:rPr>
                <w:sz w:val="7"/>
                <w:szCs w:val="7"/>
                <w:color w:val="auto"/>
              </w:rPr>
            </w:pPr>
          </w:p>
        </w:tc>
        <w:tc>
          <w:tcPr>
            <w:tcW w:w="200" w:type="dxa"/>
            <w:vAlign w:val="bottom"/>
            <w:tcBorders>
              <w:top w:val="single" w:sz="8" w:color="0000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22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120" w:type="dxa"/>
            <w:vAlign w:val="bottom"/>
            <w:tcBorders>
              <w:top w:val="single" w:sz="8" w:color="0000FF"/>
            </w:tcBorders>
            <w:shd w:val="clear" w:color="auto" w:fill="CCEEFF"/>
          </w:tcPr>
          <w:p>
            <w:pPr>
              <w:spacing w:after="0"/>
              <w:rPr>
                <w:sz w:val="7"/>
                <w:szCs w:val="7"/>
                <w:color w:val="auto"/>
              </w:rPr>
            </w:pPr>
          </w:p>
        </w:tc>
        <w:tc>
          <w:tcPr>
            <w:tcW w:w="182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200" w:type="dxa"/>
            <w:vAlign w:val="bottom"/>
            <w:tcBorders>
              <w:top w:val="single" w:sz="8" w:color="0000FF"/>
            </w:tcBorders>
            <w:shd w:val="clear" w:color="auto" w:fill="CCEEFF"/>
          </w:tcPr>
          <w:p>
            <w:pPr>
              <w:spacing w:after="0"/>
              <w:rPr>
                <w:sz w:val="7"/>
                <w:szCs w:val="7"/>
                <w:color w:val="auto"/>
              </w:rPr>
            </w:pPr>
          </w:p>
        </w:tc>
        <w:tc>
          <w:tcPr>
            <w:tcW w:w="500" w:type="dxa"/>
            <w:vAlign w:val="bottom"/>
            <w:tcBorders>
              <w:top w:val="single" w:sz="8" w:color="0000FF"/>
            </w:tcBorders>
            <w:shd w:val="clear" w:color="auto" w:fill="CCEEFF"/>
          </w:tcPr>
          <w:p>
            <w:pPr>
              <w:spacing w:after="0"/>
              <w:rPr>
                <w:sz w:val="7"/>
                <w:szCs w:val="7"/>
                <w:color w:val="auto"/>
              </w:rPr>
            </w:pPr>
          </w:p>
        </w:tc>
        <w:tc>
          <w:tcPr>
            <w:tcW w:w="260" w:type="dxa"/>
            <w:vAlign w:val="bottom"/>
            <w:tcBorders>
              <w:top w:val="single" w:sz="8" w:color="0000FF"/>
            </w:tcBorders>
            <w:shd w:val="clear" w:color="auto" w:fill="CCEEFF"/>
          </w:tcPr>
          <w:p>
            <w:pPr>
              <w:spacing w:after="0"/>
              <w:rPr>
                <w:sz w:val="7"/>
                <w:szCs w:val="7"/>
                <w:color w:val="auto"/>
              </w:rPr>
            </w:pPr>
          </w:p>
        </w:tc>
        <w:tc>
          <w:tcPr>
            <w:tcW w:w="42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140" w:type="dxa"/>
            <w:vAlign w:val="bottom"/>
            <w:tcBorders>
              <w:top w:val="single" w:sz="8" w:color="0000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CCEEFF"/>
            </w:tcBorders>
            <w:vMerge w:val="restart"/>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rPr>
              <w:t>S-1</w:t>
            </w:r>
          </w:p>
        </w:tc>
        <w:tc>
          <w:tcPr>
            <w:tcW w:w="1040" w:type="dxa"/>
            <w:vAlign w:val="bottom"/>
            <w:tcBorders>
              <w:top w:val="single" w:sz="8" w:color="CCEEFF"/>
            </w:tcBorders>
            <w:vMerge w:val="restart"/>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rPr>
              <w:t>333-256641</w:t>
            </w:r>
          </w:p>
        </w:tc>
        <w:tc>
          <w:tcPr>
            <w:tcW w:w="680" w:type="dxa"/>
            <w:vAlign w:val="bottom"/>
            <w:tcBorders>
              <w:top w:val="single" w:sz="8" w:color="CCEEFF"/>
            </w:tcBorders>
            <w:vMerge w:val="restart"/>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rPr>
              <w:t>10.13</w:t>
            </w:r>
          </w:p>
        </w:tc>
        <w:tc>
          <w:tcPr>
            <w:tcW w:w="1820" w:type="dxa"/>
            <w:vAlign w:val="bottom"/>
            <w:tcBorders>
              <w:top w:val="single" w:sz="8" w:color="CCEEFF"/>
            </w:tcBorders>
            <w:vMerge w:val="restart"/>
            <w:shd w:val="clear" w:color="auto" w:fill="CCEEFF"/>
          </w:tcPr>
          <w:p>
            <w:pPr>
              <w:jc w:val="center"/>
              <w:ind w:right="808"/>
              <w:spacing w:after="0" w:line="155" w:lineRule="exact"/>
              <w:rPr>
                <w:sz w:val="20"/>
                <w:szCs w:val="20"/>
                <w:color w:val="auto"/>
              </w:rPr>
            </w:pPr>
            <w:r>
              <w:rPr>
                <w:rFonts w:ascii="Times New Roman" w:cs="Times New Roman" w:eastAsia="Times New Roman" w:hAnsi="Times New Roman"/>
                <w:sz w:val="14"/>
                <w:szCs w:val="14"/>
                <w:color w:val="auto"/>
              </w:rPr>
              <w:t>05/28/21</w:t>
            </w:r>
          </w:p>
        </w:tc>
        <w:tc>
          <w:tcPr>
            <w:tcW w:w="0" w:type="dxa"/>
            <w:vAlign w:val="bottom"/>
          </w:tcPr>
          <w:p>
            <w:pPr>
              <w:spacing w:after="0"/>
              <w:rPr>
                <w:sz w:val="1"/>
                <w:szCs w:val="1"/>
                <w:color w:val="auto"/>
              </w:rPr>
            </w:pPr>
          </w:p>
        </w:tc>
      </w:tr>
      <w:tr>
        <w:trPr>
          <w:trHeight w:val="111"/>
        </w:trPr>
        <w:tc>
          <w:tcPr>
            <w:tcW w:w="86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gridSpan w:val="2"/>
            <w:vMerge w:val="continue"/>
            <w:shd w:val="clear" w:color="auto" w:fill="CCEEFF"/>
          </w:tcPr>
          <w:p>
            <w:pPr>
              <w:spacing w:after="0"/>
              <w:rPr>
                <w:sz w:val="9"/>
                <w:szCs w:val="9"/>
                <w:color w:val="auto"/>
              </w:rPr>
            </w:pPr>
          </w:p>
        </w:tc>
        <w:tc>
          <w:tcPr>
            <w:tcW w:w="300" w:type="dxa"/>
            <w:vAlign w:val="bottom"/>
            <w:tcBorders>
              <w:bottom w:val="single" w:sz="8" w:color="0000FF"/>
            </w:tcBorders>
            <w:vMerge w:val="continue"/>
            <w:shd w:val="clear" w:color="auto" w:fill="CCEEFF"/>
          </w:tcPr>
          <w:p>
            <w:pPr>
              <w:spacing w:after="0"/>
              <w:rPr>
                <w:sz w:val="9"/>
                <w:szCs w:val="9"/>
                <w:color w:val="auto"/>
              </w:rPr>
            </w:pPr>
          </w:p>
        </w:tc>
        <w:tc>
          <w:tcPr>
            <w:tcW w:w="136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82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42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vMerge w:val="continue"/>
            <w:shd w:val="clear" w:color="auto" w:fill="CCEEFF"/>
          </w:tcPr>
          <w:p>
            <w:pPr>
              <w:spacing w:after="0"/>
              <w:rPr>
                <w:sz w:val="9"/>
                <w:szCs w:val="9"/>
                <w:color w:val="auto"/>
              </w:rPr>
            </w:pPr>
          </w:p>
        </w:tc>
        <w:tc>
          <w:tcPr>
            <w:tcW w:w="1040" w:type="dxa"/>
            <w:vAlign w:val="bottom"/>
            <w:tcBorders>
              <w:bottom w:val="single" w:sz="8" w:color="CCEEFF"/>
            </w:tcBorders>
            <w:vMerge w:val="continue"/>
            <w:shd w:val="clear" w:color="auto" w:fill="CCEEFF"/>
          </w:tcPr>
          <w:p>
            <w:pPr>
              <w:spacing w:after="0"/>
              <w:rPr>
                <w:sz w:val="9"/>
                <w:szCs w:val="9"/>
                <w:color w:val="auto"/>
              </w:rPr>
            </w:pPr>
          </w:p>
        </w:tc>
        <w:tc>
          <w:tcPr>
            <w:tcW w:w="680" w:type="dxa"/>
            <w:vAlign w:val="bottom"/>
            <w:tcBorders>
              <w:bottom w:val="single" w:sz="8" w:color="CCEEFF"/>
            </w:tcBorders>
            <w:vMerge w:val="continue"/>
            <w:shd w:val="clear" w:color="auto" w:fill="CCEEFF"/>
          </w:tcPr>
          <w:p>
            <w:pPr>
              <w:spacing w:after="0"/>
              <w:rPr>
                <w:sz w:val="9"/>
                <w:szCs w:val="9"/>
                <w:color w:val="auto"/>
              </w:rPr>
            </w:pPr>
          </w:p>
        </w:tc>
        <w:tc>
          <w:tcPr>
            <w:tcW w:w="182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19.1</w:t>
            </w:r>
          </w:p>
        </w:tc>
        <w:tc>
          <w:tcPr>
            <w:tcW w:w="6240" w:type="dxa"/>
            <w:vAlign w:val="bottom"/>
            <w:gridSpan w:val="22"/>
          </w:tcPr>
          <w:p>
            <w:pPr>
              <w:spacing w:after="0"/>
              <w:rPr>
                <w:sz w:val="20"/>
                <w:szCs w:val="20"/>
                <w:color w:val="auto"/>
              </w:rPr>
            </w:pPr>
            <w:r>
              <w:rPr>
                <w:rFonts w:ascii="Times New Roman" w:cs="Times New Roman" w:eastAsia="Times New Roman" w:hAnsi="Times New Roman"/>
                <w:sz w:val="14"/>
                <w:szCs w:val="14"/>
                <w:u w:val="single" w:color="auto"/>
                <w:color w:val="0000FF"/>
              </w:rPr>
              <w:t>Insider</w:t>
            </w:r>
            <w:r>
              <w:rPr>
                <w:rFonts w:ascii="Times New Roman" w:cs="Times New Roman" w:eastAsia="Times New Roman" w:hAnsi="Times New Roman"/>
                <w:sz w:val="14"/>
                <w:szCs w:val="14"/>
                <w:color w:val="0000FF"/>
              </w:rPr>
              <w:t xml:space="preserve"> Trading Compliance Policy</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jc w:val="center"/>
              <w:ind w:left="88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48"/>
        </w:trPr>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860" w:type="dxa"/>
            <w:vAlign w:val="bottom"/>
            <w:tcBorders>
              <w:bottom w:val="single" w:sz="8" w:color="CCEEFF"/>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21.1</w:t>
            </w:r>
          </w:p>
        </w:tc>
        <w:tc>
          <w:tcPr>
            <w:tcW w:w="2120" w:type="dxa"/>
            <w:vAlign w:val="bottom"/>
            <w:tcBorders>
              <w:bottom w:val="single" w:sz="8" w:color="0000FF"/>
            </w:tcBorders>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0000FF"/>
              </w:rPr>
              <w:t>List of Subsidiaries of the Registrant</w:t>
            </w:r>
          </w:p>
        </w:tc>
        <w:tc>
          <w:tcPr>
            <w:tcW w:w="4120" w:type="dxa"/>
            <w:vAlign w:val="bottom"/>
            <w:tcBorders>
              <w:bottom w:val="single" w:sz="8" w:color="CCEEFF"/>
            </w:tcBorders>
            <w:gridSpan w:val="16"/>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center"/>
              <w:ind w:left="88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23.1</w:t>
            </w:r>
          </w:p>
        </w:tc>
        <w:tc>
          <w:tcPr>
            <w:tcW w:w="62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Consent of Ernst &amp; Young LLP</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jc w:val="center"/>
              <w:ind w:left="88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48"/>
        </w:trPr>
        <w:tc>
          <w:tcPr>
            <w:tcW w:w="86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860" w:type="dxa"/>
            <w:vAlign w:val="bottom"/>
            <w:tcBorders>
              <w:bottom w:val="single" w:sz="8" w:color="CCEEFF"/>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31.1</w:t>
            </w:r>
          </w:p>
        </w:tc>
        <w:tc>
          <w:tcPr>
            <w:tcW w:w="4500" w:type="dxa"/>
            <w:vAlign w:val="bottom"/>
            <w:tcBorders>
              <w:bottom w:val="single" w:sz="8" w:color="0000FF"/>
            </w:tcBorders>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13a-14(a)/15d-14(a)</w:t>
            </w:r>
          </w:p>
        </w:tc>
        <w:tc>
          <w:tcPr>
            <w:tcW w:w="1740" w:type="dxa"/>
            <w:vAlign w:val="bottom"/>
            <w:tcBorders>
              <w:bottom w:val="single" w:sz="8" w:color="CCEEFF"/>
            </w:tcBorders>
            <w:gridSpan w:val="8"/>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center"/>
              <w:ind w:left="88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31.2</w:t>
            </w:r>
          </w:p>
        </w:tc>
        <w:tc>
          <w:tcPr>
            <w:tcW w:w="62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13a-14(a)/15d-14(a)</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jc w:val="center"/>
              <w:ind w:left="88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48"/>
        </w:trPr>
        <w:tc>
          <w:tcPr>
            <w:tcW w:w="86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CCEEFF"/>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32.1</w:t>
            </w:r>
          </w:p>
        </w:tc>
        <w:tc>
          <w:tcPr>
            <w:tcW w:w="4380" w:type="dxa"/>
            <w:vAlign w:val="bottom"/>
            <w:tcBorders>
              <w:bottom w:val="single" w:sz="8" w:color="0000FF"/>
            </w:tcBorders>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w:t>
            </w:r>
          </w:p>
        </w:tc>
        <w:tc>
          <w:tcPr>
            <w:tcW w:w="1860" w:type="dxa"/>
            <w:vAlign w:val="bottom"/>
            <w:tcBorders>
              <w:bottom w:val="single" w:sz="8" w:color="CCEEFF"/>
            </w:tcBorders>
            <w:gridSpan w:val="10"/>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center"/>
              <w:ind w:left="88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2"/>
        </w:trPr>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32.2</w:t>
            </w:r>
          </w:p>
        </w:tc>
        <w:tc>
          <w:tcPr>
            <w:tcW w:w="62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jc w:val="center"/>
              <w:ind w:left="88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48"/>
        </w:trPr>
        <w:tc>
          <w:tcPr>
            <w:tcW w:w="86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8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97.1</w:t>
            </w:r>
          </w:p>
        </w:tc>
        <w:tc>
          <w:tcPr>
            <w:tcW w:w="6240" w:type="dxa"/>
            <w:vAlign w:val="bottom"/>
            <w:gridSpan w:val="22"/>
            <w:shd w:val="clear" w:color="auto" w:fill="CCEEFF"/>
          </w:tcPr>
          <w:p>
            <w:pPr>
              <w:spacing w:after="0"/>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EverCommerce, Inc. Policy for Recovery of Erroneously Awarded Compensation</w:t>
              </w:r>
            </w:hyperlink>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001-40575</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97.1</w:t>
            </w:r>
          </w:p>
        </w:tc>
        <w:tc>
          <w:tcPr>
            <w:tcW w:w="1820" w:type="dxa"/>
            <w:vAlign w:val="bottom"/>
            <w:shd w:val="clear" w:color="auto" w:fill="CCEEFF"/>
          </w:tcPr>
          <w:p>
            <w:pPr>
              <w:jc w:val="center"/>
              <w:ind w:right="808"/>
              <w:spacing w:after="0"/>
              <w:rPr>
                <w:sz w:val="20"/>
                <w:szCs w:val="20"/>
                <w:color w:val="auto"/>
              </w:rPr>
            </w:pPr>
            <w:r>
              <w:rPr>
                <w:rFonts w:ascii="Times New Roman" w:cs="Times New Roman" w:eastAsia="Times New Roman" w:hAnsi="Times New Roman"/>
                <w:sz w:val="14"/>
                <w:szCs w:val="14"/>
                <w:color w:val="auto"/>
              </w:rPr>
              <w:t>3/14/2024</w:t>
            </w:r>
          </w:p>
        </w:tc>
        <w:tc>
          <w:tcPr>
            <w:tcW w:w="0" w:type="dxa"/>
            <w:vAlign w:val="bottom"/>
          </w:tcPr>
          <w:p>
            <w:pPr>
              <w:spacing w:after="0"/>
              <w:rPr>
                <w:sz w:val="1"/>
                <w:szCs w:val="1"/>
                <w:color w:val="auto"/>
              </w:rPr>
            </w:pPr>
          </w:p>
        </w:tc>
      </w:tr>
      <w:tr>
        <w:trPr>
          <w:trHeight w:val="48"/>
        </w:trPr>
        <w:tc>
          <w:tcPr>
            <w:tcW w:w="8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3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8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8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101.INS</w:t>
            </w:r>
          </w:p>
        </w:tc>
        <w:tc>
          <w:tcPr>
            <w:tcW w:w="624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w:t>
            </w: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8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80" w:type="dxa"/>
            <w:vAlign w:val="bottom"/>
            <w:gridSpan w:val="20"/>
            <w:vMerge w:val="restart"/>
          </w:tcPr>
          <w:p>
            <w:pPr>
              <w:spacing w:after="0"/>
              <w:rPr>
                <w:sz w:val="20"/>
                <w:szCs w:val="20"/>
                <w:color w:val="auto"/>
              </w:rPr>
            </w:pPr>
            <w:r>
              <w:rPr>
                <w:rFonts w:ascii="Times New Roman" w:cs="Times New Roman" w:eastAsia="Times New Roman" w:hAnsi="Times New Roman"/>
                <w:sz w:val="14"/>
                <w:szCs w:val="14"/>
                <w:color w:val="auto"/>
              </w:rPr>
              <w:t>because its XBRL tags are embedded within the Inline XBRL document</w:t>
            </w:r>
          </w:p>
        </w:tc>
        <w:tc>
          <w:tcPr>
            <w:tcW w:w="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20" w:type="dxa"/>
            <w:vAlign w:val="bottom"/>
            <w:vMerge w:val="restart"/>
          </w:tcPr>
          <w:p>
            <w:pPr>
              <w:jc w:val="center"/>
              <w:ind w:left="88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94"/>
        </w:trPr>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80" w:type="dxa"/>
            <w:vAlign w:val="bottom"/>
            <w:gridSpan w:val="20"/>
            <w:vMerge w:val="continue"/>
          </w:tcPr>
          <w:p>
            <w:pPr>
              <w:spacing w:after="0"/>
              <w:rPr>
                <w:sz w:val="8"/>
                <w:szCs w:val="8"/>
                <w:color w:val="auto"/>
              </w:rPr>
            </w:pPr>
          </w:p>
        </w:tc>
        <w:tc>
          <w:tcPr>
            <w:tcW w:w="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Borders>
              <w:bottom w:val="single" w:sz="8" w:color="CCEEFF"/>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101.SCH</w:t>
            </w:r>
          </w:p>
        </w:tc>
        <w:tc>
          <w:tcPr>
            <w:tcW w:w="6240" w:type="dxa"/>
            <w:vAlign w:val="bottom"/>
            <w:tcBorders>
              <w:bottom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6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center"/>
              <w:ind w:left="88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93"/>
        </w:trPr>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101.CAL</w:t>
            </w:r>
          </w:p>
        </w:tc>
        <w:tc>
          <w:tcPr>
            <w:tcW w:w="624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20" w:type="dxa"/>
            <w:vAlign w:val="bottom"/>
          </w:tcPr>
          <w:p>
            <w:pPr>
              <w:jc w:val="center"/>
              <w:ind w:left="88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37"/>
        </w:trPr>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Borders>
              <w:bottom w:val="single" w:sz="8" w:color="CCEEFF"/>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101.DEF</w:t>
            </w:r>
          </w:p>
        </w:tc>
        <w:tc>
          <w:tcPr>
            <w:tcW w:w="6240" w:type="dxa"/>
            <w:vAlign w:val="bottom"/>
            <w:tcBorders>
              <w:bottom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6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center"/>
              <w:ind w:left="88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93"/>
        </w:trPr>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101.LAB</w:t>
            </w:r>
          </w:p>
        </w:tc>
        <w:tc>
          <w:tcPr>
            <w:tcW w:w="624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20" w:type="dxa"/>
            <w:vAlign w:val="bottom"/>
          </w:tcPr>
          <w:p>
            <w:pPr>
              <w:jc w:val="center"/>
              <w:ind w:left="88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37"/>
        </w:trPr>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Borders>
              <w:bottom w:val="single" w:sz="8" w:color="CCEEFF"/>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101.PRE</w:t>
            </w:r>
          </w:p>
        </w:tc>
        <w:tc>
          <w:tcPr>
            <w:tcW w:w="6240" w:type="dxa"/>
            <w:vAlign w:val="bottom"/>
            <w:tcBorders>
              <w:bottom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6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center"/>
              <w:ind w:left="88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93"/>
        </w:trPr>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104</w:t>
            </w:r>
          </w:p>
        </w:tc>
        <w:tc>
          <w:tcPr>
            <w:tcW w:w="624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20" w:type="dxa"/>
            <w:vAlign w:val="bottom"/>
          </w:tcPr>
          <w:p>
            <w:pPr>
              <w:jc w:val="center"/>
              <w:ind w:left="88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rPr>
          <w:sz w:val="20"/>
          <w:szCs w:val="20"/>
          <w:color w:val="auto"/>
        </w:rPr>
      </w:pPr>
      <w:r>
        <w:rPr>
          <w:rFonts w:ascii="Times New Roman" w:cs="Times New Roman" w:eastAsia="Times New Roman" w:hAnsi="Times New Roman"/>
          <w:sz w:val="18"/>
          <w:szCs w:val="18"/>
          <w:color w:val="auto"/>
        </w:rPr>
        <w:t># Denotes management contract or compensatory plan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Portions of the exhibit have been omitted as permitted under Item 601(b)(10)(iv) of Regulation S-K.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107" w:name="page108"/>
    <w:bookmarkEnd w:id="107"/>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EVERCOMMERCE INC.</w:t>
      </w:r>
    </w:p>
    <w:p>
      <w:pPr>
        <w:spacing w:after="0" w:line="154" w:lineRule="exact"/>
        <w:rPr>
          <w:sz w:val="20"/>
          <w:szCs w:val="20"/>
          <w:color w:val="auto"/>
        </w:rPr>
      </w:pPr>
    </w:p>
    <w:p>
      <w:pPr>
        <w:ind w:left="20"/>
        <w:spacing w:after="0"/>
        <w:tabs>
          <w:tab w:leader="none" w:pos="6400" w:val="left"/>
          <w:tab w:leader="none" w:pos="8540" w:val="left"/>
        </w:tabs>
        <w:rPr>
          <w:sz w:val="20"/>
          <w:szCs w:val="20"/>
          <w:color w:val="auto"/>
        </w:rPr>
      </w:pPr>
      <w:r>
        <w:rPr>
          <w:rFonts w:ascii="Times New Roman" w:cs="Times New Roman" w:eastAsia="Times New Roman" w:hAnsi="Times New Roman"/>
          <w:sz w:val="18"/>
          <w:szCs w:val="18"/>
          <w:b w:val="1"/>
          <w:bCs w:val="1"/>
          <w:color w:val="auto"/>
        </w:rPr>
        <w:t>Date: March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36830</wp:posOffset>
            </wp:positionV>
            <wp:extent cx="27432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43"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Eric Remer</w:t>
      </w:r>
    </w:p>
    <w:p>
      <w:pPr>
        <w:spacing w:after="0" w:line="50"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52"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56" w:lineRule="exact"/>
        <w:rPr>
          <w:sz w:val="20"/>
          <w:szCs w:val="20"/>
          <w:color w:val="auto"/>
        </w:rPr>
      </w:pPr>
    </w:p>
    <w:p>
      <w:pPr>
        <w:ind w:left="20"/>
        <w:spacing w:after="0"/>
        <w:tabs>
          <w:tab w:leader="none" w:pos="6400" w:val="left"/>
          <w:tab w:leader="none" w:pos="8400" w:val="left"/>
        </w:tabs>
        <w:rPr>
          <w:sz w:val="20"/>
          <w:szCs w:val="20"/>
          <w:color w:val="auto"/>
        </w:rPr>
      </w:pPr>
      <w:r>
        <w:rPr>
          <w:rFonts w:ascii="Times New Roman" w:cs="Times New Roman" w:eastAsia="Times New Roman" w:hAnsi="Times New Roman"/>
          <w:sz w:val="18"/>
          <w:szCs w:val="18"/>
          <w:b w:val="1"/>
          <w:bCs w:val="1"/>
          <w:color w:val="auto"/>
        </w:rPr>
        <w:t>Date: March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36830</wp:posOffset>
            </wp:positionV>
            <wp:extent cx="27432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43"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Ryan H. Siurek</w:t>
      </w:r>
    </w:p>
    <w:p>
      <w:pPr>
        <w:spacing w:after="0" w:line="50"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52"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9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Signatures</w:t>
            </w:r>
          </w:p>
        </w:tc>
        <w:tc>
          <w:tcPr>
            <w:tcW w:w="80" w:type="dxa"/>
            <w:vAlign w:val="bottom"/>
          </w:tcPr>
          <w:p>
            <w:pPr>
              <w:spacing w:after="0"/>
              <w:rPr>
                <w:sz w:val="19"/>
                <w:szCs w:val="19"/>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Date</w:t>
            </w:r>
          </w:p>
        </w:tc>
      </w:tr>
      <w:tr>
        <w:trPr>
          <w:trHeight w:val="29"/>
        </w:trPr>
        <w:tc>
          <w:tcPr>
            <w:tcW w:w="3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315"/>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Eric Remer</w:t>
            </w:r>
          </w:p>
        </w:tc>
        <w:tc>
          <w:tcPr>
            <w:tcW w:w="80" w:type="dxa"/>
            <w:vAlign w:val="bottom"/>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 and Chief Executive Officer (Principal Executive Officer)</w:t>
            </w: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13, 2025</w:t>
            </w:r>
          </w:p>
        </w:tc>
      </w:tr>
      <w:tr>
        <w:trPr>
          <w:trHeight w:val="29"/>
        </w:trPr>
        <w:tc>
          <w:tcPr>
            <w:tcW w:w="3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5"/>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Eric Remer</w:t>
            </w:r>
          </w:p>
        </w:tc>
        <w:tc>
          <w:tcPr>
            <w:tcW w:w="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64"/>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Ryan H. Siurek</w:t>
            </w:r>
          </w:p>
        </w:tc>
        <w:tc>
          <w:tcPr>
            <w:tcW w:w="80" w:type="dxa"/>
            <w:vAlign w:val="bottom"/>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Financial Officer (Principal Financial and Accounting Officer)</w:t>
            </w: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13, 2025</w:t>
            </w:r>
          </w:p>
        </w:tc>
      </w:tr>
      <w:tr>
        <w:trPr>
          <w:trHeight w:val="29"/>
        </w:trPr>
        <w:tc>
          <w:tcPr>
            <w:tcW w:w="3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5"/>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Ryan H. Siurek</w:t>
            </w:r>
          </w:p>
        </w:tc>
        <w:tc>
          <w:tcPr>
            <w:tcW w:w="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65"/>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Penny Baldwin-Leonard</w:t>
            </w:r>
          </w:p>
        </w:tc>
        <w:tc>
          <w:tcPr>
            <w:tcW w:w="80" w:type="dxa"/>
            <w:vAlign w:val="bottom"/>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13, 2025</w:t>
            </w:r>
          </w:p>
        </w:tc>
      </w:tr>
      <w:tr>
        <w:trPr>
          <w:trHeight w:val="29"/>
        </w:trPr>
        <w:tc>
          <w:tcPr>
            <w:tcW w:w="3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5"/>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Penny Baldwin-Leonard</w:t>
            </w:r>
          </w:p>
        </w:tc>
        <w:tc>
          <w:tcPr>
            <w:tcW w:w="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65"/>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Mark Hastings</w:t>
            </w:r>
          </w:p>
        </w:tc>
        <w:tc>
          <w:tcPr>
            <w:tcW w:w="80" w:type="dxa"/>
            <w:vAlign w:val="bottom"/>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13, 2025</w:t>
            </w:r>
          </w:p>
        </w:tc>
      </w:tr>
      <w:tr>
        <w:trPr>
          <w:trHeight w:val="29"/>
        </w:trPr>
        <w:tc>
          <w:tcPr>
            <w:tcW w:w="3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5"/>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 Hastings</w:t>
            </w:r>
          </w:p>
        </w:tc>
        <w:tc>
          <w:tcPr>
            <w:tcW w:w="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65"/>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Tanner Austin</w:t>
            </w:r>
          </w:p>
        </w:tc>
        <w:tc>
          <w:tcPr>
            <w:tcW w:w="80" w:type="dxa"/>
            <w:vAlign w:val="bottom"/>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13, 2025</w:t>
            </w:r>
          </w:p>
        </w:tc>
      </w:tr>
      <w:tr>
        <w:trPr>
          <w:trHeight w:val="29"/>
        </w:trPr>
        <w:tc>
          <w:tcPr>
            <w:tcW w:w="3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5"/>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Tanner Austin</w:t>
            </w:r>
          </w:p>
        </w:tc>
        <w:tc>
          <w:tcPr>
            <w:tcW w:w="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65"/>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Joseph Osnoss</w:t>
            </w:r>
          </w:p>
        </w:tc>
        <w:tc>
          <w:tcPr>
            <w:tcW w:w="80" w:type="dxa"/>
            <w:vAlign w:val="bottom"/>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13, 2025</w:t>
            </w:r>
          </w:p>
        </w:tc>
      </w:tr>
      <w:tr>
        <w:trPr>
          <w:trHeight w:val="29"/>
        </w:trPr>
        <w:tc>
          <w:tcPr>
            <w:tcW w:w="3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5"/>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Joseph Osnoss</w:t>
            </w:r>
          </w:p>
        </w:tc>
        <w:tc>
          <w:tcPr>
            <w:tcW w:w="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65"/>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John Rudella</w:t>
            </w:r>
          </w:p>
        </w:tc>
        <w:tc>
          <w:tcPr>
            <w:tcW w:w="80" w:type="dxa"/>
            <w:vAlign w:val="bottom"/>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13, 2025</w:t>
            </w:r>
          </w:p>
        </w:tc>
      </w:tr>
      <w:tr>
        <w:trPr>
          <w:trHeight w:val="29"/>
        </w:trPr>
        <w:tc>
          <w:tcPr>
            <w:tcW w:w="3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5"/>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Rudella</w:t>
            </w:r>
          </w:p>
        </w:tc>
        <w:tc>
          <w:tcPr>
            <w:tcW w:w="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24"/>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Richard A. Simonson</w:t>
            </w:r>
          </w:p>
        </w:tc>
        <w:tc>
          <w:tcPr>
            <w:tcW w:w="80" w:type="dxa"/>
            <w:vAlign w:val="bottom"/>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13, 2025</w:t>
            </w:r>
          </w:p>
        </w:tc>
      </w:tr>
      <w:tr>
        <w:trPr>
          <w:trHeight w:val="29"/>
        </w:trPr>
        <w:tc>
          <w:tcPr>
            <w:tcW w:w="3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5"/>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Richard A. Simonson</w:t>
            </w:r>
          </w:p>
        </w:tc>
        <w:tc>
          <w:tcPr>
            <w:tcW w:w="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65"/>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Alexi A. Wellman</w:t>
            </w:r>
          </w:p>
        </w:tc>
        <w:tc>
          <w:tcPr>
            <w:tcW w:w="80" w:type="dxa"/>
            <w:vAlign w:val="bottom"/>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13, 2025</w:t>
            </w:r>
          </w:p>
        </w:tc>
      </w:tr>
      <w:tr>
        <w:trPr>
          <w:trHeight w:val="29"/>
        </w:trPr>
        <w:tc>
          <w:tcPr>
            <w:tcW w:w="3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5"/>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Alexi A. Wellman</w:t>
            </w:r>
          </w:p>
        </w:tc>
        <w:tc>
          <w:tcPr>
            <w:tcW w:w="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EverCommerce Inc.</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Insider Trading Compliance Policy</w:t>
      </w:r>
    </w:p>
    <w:p>
      <w:pPr>
        <w:spacing w:after="0" w:line="2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This Insider Trading Compliance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consists of seven sections:</w:t>
      </w:r>
    </w:p>
    <w:p>
      <w:pPr>
        <w:spacing w:after="0" w:line="118" w:lineRule="exact"/>
        <w:rPr>
          <w:sz w:val="20"/>
          <w:szCs w:val="20"/>
          <w:color w:val="auto"/>
        </w:rPr>
      </w:pPr>
    </w:p>
    <w:p>
      <w:pPr>
        <w:ind w:left="2000" w:hanging="322"/>
        <w:spacing w:after="0"/>
        <w:tabs>
          <w:tab w:leader="none" w:pos="200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 provides an overview;</w:t>
      </w:r>
    </w:p>
    <w:p>
      <w:pPr>
        <w:spacing w:after="0" w:line="111" w:lineRule="exact"/>
        <w:rPr>
          <w:rFonts w:ascii="Times New Roman" w:cs="Times New Roman" w:eastAsia="Times New Roman" w:hAnsi="Times New Roman"/>
          <w:sz w:val="22"/>
          <w:szCs w:val="22"/>
          <w:color w:val="auto"/>
        </w:rPr>
      </w:pPr>
    </w:p>
    <w:p>
      <w:pPr>
        <w:ind w:left="2000" w:hanging="322"/>
        <w:spacing w:after="0"/>
        <w:tabs>
          <w:tab w:leader="none" w:pos="200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II sets forth the policies of the Company prohibiting insider trading;</w:t>
      </w:r>
    </w:p>
    <w:p>
      <w:pPr>
        <w:spacing w:after="0" w:line="111" w:lineRule="exact"/>
        <w:rPr>
          <w:rFonts w:ascii="Times New Roman" w:cs="Times New Roman" w:eastAsia="Times New Roman" w:hAnsi="Times New Roman"/>
          <w:sz w:val="22"/>
          <w:szCs w:val="22"/>
          <w:color w:val="auto"/>
        </w:rPr>
      </w:pPr>
    </w:p>
    <w:p>
      <w:pPr>
        <w:ind w:left="2000" w:hanging="322"/>
        <w:spacing w:after="0"/>
        <w:tabs>
          <w:tab w:leader="none" w:pos="200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III explains insider trading;</w:t>
      </w:r>
    </w:p>
    <w:p>
      <w:pPr>
        <w:spacing w:after="0" w:line="111" w:lineRule="exact"/>
        <w:rPr>
          <w:rFonts w:ascii="Times New Roman" w:cs="Times New Roman" w:eastAsia="Times New Roman" w:hAnsi="Times New Roman"/>
          <w:sz w:val="22"/>
          <w:szCs w:val="22"/>
          <w:color w:val="auto"/>
        </w:rPr>
      </w:pPr>
    </w:p>
    <w:p>
      <w:pPr>
        <w:ind w:left="2000" w:right="880" w:hanging="322"/>
        <w:spacing w:after="0" w:line="271" w:lineRule="auto"/>
        <w:tabs>
          <w:tab w:leader="none" w:pos="1995"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IV consists of procedures that have been put in place by the Company to prevent insider trading;</w:t>
      </w:r>
    </w:p>
    <w:p>
      <w:pPr>
        <w:spacing w:after="0" w:line="63" w:lineRule="exact"/>
        <w:rPr>
          <w:rFonts w:ascii="Times New Roman" w:cs="Times New Roman" w:eastAsia="Times New Roman" w:hAnsi="Times New Roman"/>
          <w:sz w:val="22"/>
          <w:szCs w:val="22"/>
          <w:color w:val="auto"/>
        </w:rPr>
      </w:pPr>
    </w:p>
    <w:p>
      <w:pPr>
        <w:ind w:left="2000" w:hanging="322"/>
        <w:spacing w:after="0"/>
        <w:tabs>
          <w:tab w:leader="none" w:pos="200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 sets forth additional transactions that are prohibited by this Policy;</w:t>
      </w:r>
    </w:p>
    <w:p>
      <w:pPr>
        <w:spacing w:after="0" w:line="111" w:lineRule="exact"/>
        <w:rPr>
          <w:rFonts w:ascii="Times New Roman" w:cs="Times New Roman" w:eastAsia="Times New Roman" w:hAnsi="Times New Roman"/>
          <w:sz w:val="22"/>
          <w:szCs w:val="22"/>
          <w:color w:val="auto"/>
        </w:rPr>
      </w:pPr>
    </w:p>
    <w:p>
      <w:pPr>
        <w:ind w:left="2000" w:hanging="322"/>
        <w:spacing w:after="0"/>
        <w:tabs>
          <w:tab w:leader="none" w:pos="200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VI explains Rule 10b5-1 trading plans; and</w:t>
      </w:r>
    </w:p>
    <w:p>
      <w:pPr>
        <w:spacing w:after="0" w:line="111" w:lineRule="exact"/>
        <w:rPr>
          <w:rFonts w:ascii="Times New Roman" w:cs="Times New Roman" w:eastAsia="Times New Roman" w:hAnsi="Times New Roman"/>
          <w:sz w:val="22"/>
          <w:szCs w:val="22"/>
          <w:color w:val="auto"/>
        </w:rPr>
      </w:pPr>
    </w:p>
    <w:p>
      <w:pPr>
        <w:ind w:left="2000" w:hanging="322"/>
        <w:spacing w:after="0"/>
        <w:tabs>
          <w:tab w:leader="none" w:pos="200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VII refers to the execution and return of a certificate of compliance.</w:t>
      </w:r>
    </w:p>
    <w:p>
      <w:pPr>
        <w:spacing w:after="0" w:line="215" w:lineRule="exact"/>
        <w:rPr>
          <w:rFonts w:ascii="Times New Roman" w:cs="Times New Roman" w:eastAsia="Times New Roman" w:hAnsi="Times New Roman"/>
          <w:sz w:val="22"/>
          <w:szCs w:val="22"/>
          <w:color w:val="auto"/>
        </w:rPr>
      </w:pPr>
    </w:p>
    <w:p>
      <w:pPr>
        <w:ind w:left="1340" w:hanging="634"/>
        <w:spacing w:after="0"/>
        <w:tabs>
          <w:tab w:leader="none" w:pos="134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Summary</w:t>
      </w:r>
    </w:p>
    <w:p>
      <w:pPr>
        <w:spacing w:after="0" w:line="264" w:lineRule="exact"/>
        <w:rPr>
          <w:rFonts w:ascii="Times New Roman" w:cs="Times New Roman" w:eastAsia="Times New Roman" w:hAnsi="Times New Roman"/>
          <w:sz w:val="22"/>
          <w:szCs w:val="22"/>
          <w:b w:val="1"/>
          <w:bCs w:val="1"/>
          <w:color w:val="auto"/>
        </w:rPr>
      </w:pPr>
    </w:p>
    <w:p>
      <w:pPr>
        <w:ind w:left="13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Preventing insider trading is necessary to comply with securities laws and to preserve the reputation and</w:t>
      </w:r>
    </w:p>
    <w:p>
      <w:pPr>
        <w:spacing w:after="0" w:line="29" w:lineRule="exact"/>
        <w:rPr>
          <w:sz w:val="20"/>
          <w:szCs w:val="20"/>
          <w:color w:val="auto"/>
        </w:rPr>
      </w:pPr>
    </w:p>
    <w:p>
      <w:pPr>
        <w:jc w:val="both"/>
        <w:ind w:left="700" w:right="300"/>
        <w:spacing w:after="0" w:line="263" w:lineRule="auto"/>
        <w:rPr>
          <w:sz w:val="20"/>
          <w:szCs w:val="20"/>
          <w:color w:val="auto"/>
        </w:rPr>
      </w:pPr>
      <w:r>
        <w:rPr>
          <w:rFonts w:ascii="Times New Roman" w:cs="Times New Roman" w:eastAsia="Times New Roman" w:hAnsi="Times New Roman"/>
          <w:sz w:val="21"/>
          <w:szCs w:val="21"/>
          <w:color w:val="auto"/>
        </w:rPr>
        <w:t>integrity of EverCommerce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as well as that of all persons affiliated with the Company. “Insider trading” occurs when any person purchases or sells a security while in possession of inside information relating to the security. As explained in Section III below, “inside information” is information that is both “material” and “non-public.” Insider trading is a crime. The penalties for violating insider trading laws include imprisonment, disgorgement of profits, civil fines, and significant criminal fines. Insider trading is also prohibited by this Policy, and violation of this Policy may result in Company-imposed sanctions, including termination of employment for cause.</w:t>
      </w:r>
    </w:p>
    <w:p>
      <w:pPr>
        <w:spacing w:after="0" w:line="60" w:lineRule="exact"/>
        <w:rPr>
          <w:sz w:val="20"/>
          <w:szCs w:val="20"/>
          <w:color w:val="auto"/>
        </w:rPr>
      </w:pPr>
    </w:p>
    <w:p>
      <w:pPr>
        <w:jc w:val="both"/>
        <w:ind w:left="700" w:right="300" w:firstLine="647"/>
        <w:spacing w:after="0" w:line="249" w:lineRule="auto"/>
        <w:rPr>
          <w:sz w:val="20"/>
          <w:szCs w:val="20"/>
          <w:color w:val="auto"/>
        </w:rPr>
      </w:pPr>
      <w:r>
        <w:rPr>
          <w:rFonts w:ascii="Times New Roman" w:cs="Times New Roman" w:eastAsia="Times New Roman" w:hAnsi="Times New Roman"/>
          <w:sz w:val="22"/>
          <w:szCs w:val="22"/>
          <w:color w:val="auto"/>
        </w:rPr>
        <w:t>This Policy applies to all officers, directors and employees of the Company. Individuals subject to this Policy are responsible for ensuring that members of their households also comply with this Policy. This Policy also applies to any entities controlled by individuals subject to the Policy, including any corporations, limited liability companies, partnerships or trusts (such entities, together with all officers, directors and employees of the Company, are referred to as the “</w:t>
      </w:r>
      <w:r>
        <w:rPr>
          <w:rFonts w:ascii="Times New Roman" w:cs="Times New Roman" w:eastAsia="Times New Roman" w:hAnsi="Times New Roman"/>
          <w:sz w:val="22"/>
          <w:szCs w:val="22"/>
          <w:b w:val="1"/>
          <w:bCs w:val="1"/>
          <w:i w:val="1"/>
          <w:iCs w:val="1"/>
          <w:color w:val="auto"/>
        </w:rPr>
        <w:t>Covered Persons</w:t>
      </w:r>
      <w:r>
        <w:rPr>
          <w:rFonts w:ascii="Times New Roman" w:cs="Times New Roman" w:eastAsia="Times New Roman" w:hAnsi="Times New Roman"/>
          <w:sz w:val="22"/>
          <w:szCs w:val="22"/>
          <w:color w:val="auto"/>
        </w:rPr>
        <w:t>”), and transactions by these entities should be treated for the purposes of this Policy and applicable securities laws as if they were for the individual’s own account. This Policy extends to all activities within and outside an individual’s Company duties. Every officer, director and employee must review this Policy. Questions regarding the Policy should be directed to the Company’s General Counsel.</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US-DOCS\139652658.1</w:t>
      </w:r>
    </w:p>
    <w:p>
      <w:pPr>
        <w:sectPr>
          <w:pgSz w:w="11900" w:h="16838" w:orient="portrait"/>
          <w:cols w:equalWidth="0" w:num="1">
            <w:col w:w="11200"/>
          </w:cols>
          <w:pgMar w:left="360" w:top="589"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398" w:lineRule="exact"/>
        <w:rPr>
          <w:sz w:val="20"/>
          <w:szCs w:val="20"/>
          <w:color w:val="auto"/>
        </w:rPr>
      </w:pPr>
    </w:p>
    <w:p>
      <w:pPr>
        <w:ind w:left="1340" w:hanging="634"/>
        <w:spacing w:after="0"/>
        <w:tabs>
          <w:tab w:leader="none" w:pos="134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Statement of Policies Prohibiting Insider Trading</w:t>
      </w:r>
    </w:p>
    <w:p>
      <w:pPr>
        <w:spacing w:after="0" w:line="264" w:lineRule="exact"/>
        <w:rPr>
          <w:sz w:val="20"/>
          <w:szCs w:val="20"/>
          <w:color w:val="auto"/>
        </w:rPr>
      </w:pPr>
    </w:p>
    <w:p>
      <w:pPr>
        <w:jc w:val="both"/>
        <w:ind w:left="700" w:right="300" w:firstLine="647"/>
        <w:spacing w:after="0" w:line="250" w:lineRule="auto"/>
        <w:rPr>
          <w:sz w:val="20"/>
          <w:szCs w:val="20"/>
          <w:color w:val="auto"/>
        </w:rPr>
      </w:pPr>
      <w:r>
        <w:rPr>
          <w:rFonts w:ascii="Times New Roman" w:cs="Times New Roman" w:eastAsia="Times New Roman" w:hAnsi="Times New Roman"/>
          <w:sz w:val="22"/>
          <w:szCs w:val="22"/>
          <w:color w:val="auto"/>
        </w:rPr>
        <w:t>No officer, director or employee shall purchase or sell any type of security while in possession of material, non-public information relating to the security or its issuer, whether the issuer of such security is the Company or any other company. For example, if a director, officer or employee learns material non-public information about another company with which the Company does business, including a business partner or collaborator, that person may not trade in such other company’s securities until the information becomes public or is no longer material. Further, no Covered Person shall purchase or sell any security of any other company in the Company’s industry or the industry of a company that is the subject of a potential strategic transaction with the Company, while in possession of material nonpublic information that was obtained in the course of the Covered Person’s employment or service with the Company.</w:t>
      </w:r>
    </w:p>
    <w:p>
      <w:pPr>
        <w:spacing w:after="0" w:line="7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These prohibitions do not apply to the following “permitted transactions”:</w:t>
      </w:r>
    </w:p>
    <w:p>
      <w:pPr>
        <w:spacing w:after="0" w:line="112" w:lineRule="exact"/>
        <w:rPr>
          <w:sz w:val="20"/>
          <w:szCs w:val="20"/>
          <w:color w:val="auto"/>
        </w:rPr>
      </w:pPr>
    </w:p>
    <w:p>
      <w:pPr>
        <w:jc w:val="both"/>
        <w:ind w:left="2000" w:right="300" w:hanging="322"/>
        <w:spacing w:after="0" w:line="257" w:lineRule="auto"/>
        <w:tabs>
          <w:tab w:leader="none" w:pos="199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the Company’s securities by a Covered Person from the Company, including without limitation pursuant to an employee stock purchase plan, or sales of the Company’s securities by a Covered Person to the Company;</w:t>
      </w:r>
    </w:p>
    <w:p>
      <w:pPr>
        <w:spacing w:after="0" w:line="64" w:lineRule="exact"/>
        <w:rPr>
          <w:rFonts w:ascii="Times New Roman" w:cs="Times New Roman" w:eastAsia="Times New Roman" w:hAnsi="Times New Roman"/>
          <w:sz w:val="22"/>
          <w:szCs w:val="22"/>
          <w:color w:val="auto"/>
        </w:rPr>
      </w:pPr>
    </w:p>
    <w:p>
      <w:pPr>
        <w:jc w:val="both"/>
        <w:ind w:left="2000" w:right="320" w:hanging="322"/>
        <w:spacing w:after="0" w:line="251" w:lineRule="auto"/>
        <w:tabs>
          <w:tab w:leader="none" w:pos="199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 stock option through a broker </w:t>
      </w:r>
      <w:r>
        <w:rPr>
          <w:rFonts w:ascii="Times New Roman" w:cs="Times New Roman" w:eastAsia="Times New Roman" w:hAnsi="Times New Roman"/>
          <w:sz w:val="22"/>
          <w:szCs w:val="22"/>
          <w:u w:val="single" w:color="auto"/>
          <w:color w:val="auto"/>
        </w:rPr>
        <w:t>does</w:t>
      </w:r>
      <w:r>
        <w:rPr>
          <w:rFonts w:ascii="Times New Roman" w:cs="Times New Roman" w:eastAsia="Times New Roman" w:hAnsi="Times New Roman"/>
          <w:sz w:val="22"/>
          <w:szCs w:val="22"/>
          <w:color w:val="auto"/>
        </w:rPr>
        <w:t xml:space="preserve"> involve a market sale of the Company’s securities, and therefore would not qualify under this exception);</w:t>
      </w:r>
    </w:p>
    <w:p>
      <w:pPr>
        <w:spacing w:after="0" w:line="82" w:lineRule="exact"/>
        <w:rPr>
          <w:rFonts w:ascii="Times New Roman" w:cs="Times New Roman" w:eastAsia="Times New Roman" w:hAnsi="Times New Roman"/>
          <w:sz w:val="22"/>
          <w:szCs w:val="22"/>
          <w:color w:val="auto"/>
        </w:rPr>
      </w:pPr>
    </w:p>
    <w:p>
      <w:pPr>
        <w:jc w:val="both"/>
        <w:ind w:left="2000" w:right="300" w:hanging="322"/>
        <w:spacing w:after="0" w:line="259" w:lineRule="auto"/>
        <w:tabs>
          <w:tab w:leader="none" w:pos="199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bona fide </w:t>
      </w:r>
      <w:r>
        <w:rPr>
          <w:rFonts w:ascii="Times New Roman" w:cs="Times New Roman" w:eastAsia="Times New Roman" w:hAnsi="Times New Roman"/>
          <w:sz w:val="22"/>
          <w:szCs w:val="22"/>
          <w:color w:val="auto"/>
        </w:rPr>
        <w:t>gifts of the Company’s securities, unless the person making the gift has reason to believe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the recipient intends to sell the securities while the donor is in possession of material, non-public information about the Company;</w:t>
      </w:r>
    </w:p>
    <w:p>
      <w:pPr>
        <w:spacing w:after="0" w:line="62" w:lineRule="exact"/>
        <w:rPr>
          <w:rFonts w:ascii="Times New Roman" w:cs="Times New Roman" w:eastAsia="Times New Roman" w:hAnsi="Times New Roman"/>
          <w:sz w:val="22"/>
          <w:szCs w:val="22"/>
          <w:color w:val="auto"/>
        </w:rPr>
      </w:pPr>
    </w:p>
    <w:p>
      <w:pPr>
        <w:jc w:val="both"/>
        <w:ind w:left="2000" w:right="300" w:hanging="322"/>
        <w:spacing w:after="0" w:line="250" w:lineRule="auto"/>
        <w:tabs>
          <w:tab w:leader="none" w:pos="199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meets all of the requirements of the affirmative defense provided by Rule 10b5-1 (“</w:t>
      </w:r>
      <w:r>
        <w:rPr>
          <w:rFonts w:ascii="Times New Roman" w:cs="Times New Roman" w:eastAsia="Times New Roman" w:hAnsi="Times New Roman"/>
          <w:sz w:val="22"/>
          <w:szCs w:val="22"/>
          <w:b w:val="1"/>
          <w:bCs w:val="1"/>
          <w:i w:val="1"/>
          <w:iCs w:val="1"/>
          <w:color w:val="auto"/>
        </w:rPr>
        <w:t>Rule 10b5-1</w:t>
      </w:r>
      <w:r>
        <w:rPr>
          <w:rFonts w:ascii="Times New Roman" w:cs="Times New Roman" w:eastAsia="Times New Roman" w:hAnsi="Times New Roman"/>
          <w:sz w:val="22"/>
          <w:szCs w:val="22"/>
          <w:color w:val="auto"/>
        </w:rPr>
        <w:t>”) promulgated under the Securities Exchange Act of 1934, as amended (the “</w:t>
      </w:r>
      <w:r>
        <w:rPr>
          <w:rFonts w:ascii="Times New Roman" w:cs="Times New Roman" w:eastAsia="Times New Roman" w:hAnsi="Times New Roman"/>
          <w:sz w:val="22"/>
          <w:szCs w:val="22"/>
          <w:b w:val="1"/>
          <w:bCs w:val="1"/>
          <w:i w:val="1"/>
          <w:iCs w:val="1"/>
          <w:color w:val="auto"/>
        </w:rPr>
        <w:t>1934 Act</w:t>
      </w:r>
      <w:r>
        <w:rPr>
          <w:rFonts w:ascii="Times New Roman" w:cs="Times New Roman" w:eastAsia="Times New Roman" w:hAnsi="Times New Roman"/>
          <w:sz w:val="22"/>
          <w:szCs w:val="22"/>
          <w:color w:val="auto"/>
        </w:rPr>
        <w:t>”), (ii) was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 or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0" w:hanging="316"/>
        <w:spacing w:after="0"/>
        <w:tabs>
          <w:tab w:leader="none" w:pos="3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color w:val="auto"/>
        </w:rPr>
        <w:t>US-DOCS\139652658.1</w:t>
      </w:r>
    </w:p>
    <w:p>
      <w:pPr>
        <w:sectPr>
          <w:pgSz w:w="11900" w:h="16838" w:orient="portrait"/>
          <w:cols w:equalWidth="0" w:num="1">
            <w:col w:w="11200"/>
          </w:cols>
          <w:pgMar w:left="360" w:top="589"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2000" w:right="300" w:hanging="322"/>
        <w:spacing w:after="0" w:line="251" w:lineRule="auto"/>
        <w:tabs>
          <w:tab w:leader="none" w:pos="199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the Company’s securities made pursuant to a “non-Rule 10b5- 1 trading arrangement” as defined in Item 408 of Regulation S-K that (i) was entered into outside of a black-out period and while the Covered Person was unaware of any material, non-public information, (ii) has been pre-cleared by the General Counsel and (iii) has not been modified after such initial pre-clearance without such amendment or modification being pre-cleared in advance by the General Counsel.</w:t>
      </w:r>
    </w:p>
    <w:p>
      <w:pPr>
        <w:spacing w:after="0" w:line="391" w:lineRule="exact"/>
        <w:rPr>
          <w:sz w:val="20"/>
          <w:szCs w:val="20"/>
          <w:color w:val="auto"/>
        </w:rPr>
      </w:pPr>
    </w:p>
    <w:p>
      <w:pPr>
        <w:jc w:val="both"/>
        <w:ind w:left="700" w:right="300" w:firstLine="647"/>
        <w:spacing w:after="0" w:line="254" w:lineRule="auto"/>
        <w:rPr>
          <w:sz w:val="20"/>
          <w:szCs w:val="20"/>
          <w:color w:val="auto"/>
        </w:rPr>
      </w:pPr>
      <w:r>
        <w:rPr>
          <w:rFonts w:ascii="Times New Roman" w:cs="Times New Roman" w:eastAsia="Times New Roman" w:hAnsi="Times New Roman"/>
          <w:sz w:val="22"/>
          <w:szCs w:val="22"/>
          <w:color w:val="auto"/>
        </w:rPr>
        <w:t>In addition, no officer, director or employee shall directly or indirectly communicate (or “</w:t>
      </w:r>
      <w:r>
        <w:rPr>
          <w:rFonts w:ascii="Times New Roman" w:cs="Times New Roman" w:eastAsia="Times New Roman" w:hAnsi="Times New Roman"/>
          <w:sz w:val="22"/>
          <w:szCs w:val="22"/>
          <w:b w:val="1"/>
          <w:bCs w:val="1"/>
          <w:i w:val="1"/>
          <w:iCs w:val="1"/>
          <w:color w:val="auto"/>
        </w:rPr>
        <w:t>tip</w:t>
      </w:r>
      <w:r>
        <w:rPr>
          <w:rFonts w:ascii="Times New Roman" w:cs="Times New Roman" w:eastAsia="Times New Roman" w:hAnsi="Times New Roman"/>
          <w:sz w:val="22"/>
          <w:szCs w:val="22"/>
          <w:color w:val="auto"/>
        </w:rPr>
        <w:t>”) material, non-public information to anyone outside of the Company (except in accordance with the Company’s policies regarding the protection or authorized external disclosure of Company information) or to anyone within the Company other than on a need-to-know basis.</w:t>
      </w:r>
    </w:p>
    <w:p>
      <w:pPr>
        <w:spacing w:after="0" w:line="173" w:lineRule="exact"/>
        <w:rPr>
          <w:sz w:val="20"/>
          <w:szCs w:val="20"/>
          <w:color w:val="auto"/>
        </w:rPr>
      </w:pPr>
    </w:p>
    <w:p>
      <w:pPr>
        <w:ind w:left="1340" w:hanging="634"/>
        <w:spacing w:after="0"/>
        <w:tabs>
          <w:tab w:leader="none" w:pos="134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Explanation of Insider Trading</w:t>
      </w:r>
    </w:p>
    <w:p>
      <w:pPr>
        <w:spacing w:after="0" w:line="272" w:lineRule="exact"/>
        <w:rPr>
          <w:sz w:val="20"/>
          <w:szCs w:val="20"/>
          <w:color w:val="auto"/>
        </w:rPr>
      </w:pPr>
    </w:p>
    <w:p>
      <w:pPr>
        <w:jc w:val="both"/>
        <w:ind w:left="700" w:right="320" w:firstLine="647"/>
        <w:spacing w:after="0" w:line="276"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Insider trading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refers to the purchase or sale of a security while in possession of “material,” “non-public”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information relating to the security or its issuer.</w:t>
      </w:r>
    </w:p>
    <w:p>
      <w:pPr>
        <w:spacing w:after="0" w:line="39" w:lineRule="exact"/>
        <w:rPr>
          <w:sz w:val="20"/>
          <w:szCs w:val="20"/>
          <w:color w:val="auto"/>
        </w:rPr>
      </w:pPr>
    </w:p>
    <w:p>
      <w:pPr>
        <w:jc w:val="both"/>
        <w:ind w:left="700" w:right="320" w:firstLine="647"/>
        <w:spacing w:after="0" w:line="289"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 stocks, bonds, notes, debentures, options, warrants and other convertible securities,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well as derivative instruments.</w:t>
      </w:r>
    </w:p>
    <w:p>
      <w:pPr>
        <w:spacing w:after="0" w:line="25" w:lineRule="exact"/>
        <w:rPr>
          <w:sz w:val="20"/>
          <w:szCs w:val="20"/>
          <w:color w:val="auto"/>
        </w:rPr>
      </w:pPr>
    </w:p>
    <w:p>
      <w:pPr>
        <w:jc w:val="both"/>
        <w:ind w:left="700" w:right="300" w:firstLine="647"/>
        <w:spacing w:after="0" w:line="254"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Purchase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sale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defined broadly under the federal securities law.</w:t>
      </w:r>
      <w:r>
        <w:rPr>
          <w:rFonts w:ascii="Times New Roman" w:cs="Times New Roman" w:eastAsia="Times New Roman" w:hAnsi="Times New Roman"/>
          <w:sz w:val="22"/>
          <w:szCs w:val="22"/>
          <w:i w:val="1"/>
          <w:iCs w:val="1"/>
          <w:color w:val="auto"/>
        </w:rPr>
        <w:t xml:space="preserve"> “Purchase” </w:t>
      </w:r>
      <w:r>
        <w:rPr>
          <w:rFonts w:ascii="Times New Roman" w:cs="Times New Roman" w:eastAsia="Times New Roman" w:hAnsi="Times New Roman"/>
          <w:sz w:val="22"/>
          <w:szCs w:val="22"/>
          <w:color w:val="auto"/>
        </w:rPr>
        <w:t>includes not only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actual purchase of a security, but any contract to purchase or otherwise acquire a security. </w:t>
      </w:r>
      <w:r>
        <w:rPr>
          <w:rFonts w:ascii="Times New Roman" w:cs="Times New Roman" w:eastAsia="Times New Roman" w:hAnsi="Times New Roman"/>
          <w:sz w:val="22"/>
          <w:szCs w:val="22"/>
          <w:i w:val="1"/>
          <w:iCs w:val="1"/>
          <w:color w:val="auto"/>
        </w:rPr>
        <w:t>“Sale”</w:t>
      </w:r>
      <w:r>
        <w:rPr>
          <w:rFonts w:ascii="Times New Roman" w:cs="Times New Roman" w:eastAsia="Times New Roman" w:hAnsi="Times New Roman"/>
          <w:sz w:val="22"/>
          <w:szCs w:val="22"/>
          <w:color w:val="auto"/>
        </w:rPr>
        <w:t xml:space="preserve"> includes not only the actual sale of a security, but any contract to sell or otherwise dispose of a security. These definitions extend to a broad range of transactions, including conventional cash-for-stock transactions, gifts, conversions, the exercise of stock options, and acquisitions and exercises of warrants or puts, calls or other derivative securities.</w:t>
      </w:r>
    </w:p>
    <w:p>
      <w:pPr>
        <w:spacing w:after="0" w:line="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It is generally understood that insider trading includes the following:</w:t>
      </w:r>
    </w:p>
    <w:p>
      <w:pPr>
        <w:spacing w:after="0" w:line="112" w:lineRule="exact"/>
        <w:rPr>
          <w:sz w:val="20"/>
          <w:szCs w:val="20"/>
          <w:color w:val="auto"/>
        </w:rPr>
      </w:pPr>
    </w:p>
    <w:p>
      <w:pPr>
        <w:ind w:left="2000" w:hanging="322"/>
        <w:spacing w:after="0"/>
        <w:tabs>
          <w:tab w:leader="none" w:pos="200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by insiders while in possession of material, non-public information;</w:t>
      </w:r>
    </w:p>
    <w:p>
      <w:pPr>
        <w:spacing w:after="0" w:line="111" w:lineRule="exact"/>
        <w:rPr>
          <w:rFonts w:ascii="Times New Roman" w:cs="Times New Roman" w:eastAsia="Times New Roman" w:hAnsi="Times New Roman"/>
          <w:sz w:val="22"/>
          <w:szCs w:val="22"/>
          <w:color w:val="auto"/>
        </w:rPr>
      </w:pPr>
    </w:p>
    <w:p>
      <w:pPr>
        <w:jc w:val="both"/>
        <w:ind w:left="2000" w:right="300" w:hanging="322"/>
        <w:spacing w:after="0" w:line="257" w:lineRule="auto"/>
        <w:tabs>
          <w:tab w:leader="none" w:pos="1995"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by persons other than insiders while in possession of material, non-public information, if the information either was given in breach of an insider’s fiduciary duty to keep it confidential or was misappropriated; and</w:t>
      </w:r>
    </w:p>
    <w:p>
      <w:pPr>
        <w:spacing w:after="0" w:line="64" w:lineRule="exact"/>
        <w:rPr>
          <w:rFonts w:ascii="Times New Roman" w:cs="Times New Roman" w:eastAsia="Times New Roman" w:hAnsi="Times New Roman"/>
          <w:sz w:val="22"/>
          <w:szCs w:val="22"/>
          <w:color w:val="auto"/>
        </w:rPr>
      </w:pPr>
    </w:p>
    <w:p>
      <w:pPr>
        <w:ind w:left="2000" w:right="300" w:hanging="322"/>
        <w:spacing w:after="0" w:line="284" w:lineRule="auto"/>
        <w:tabs>
          <w:tab w:leader="none" w:pos="1995"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communicating or tipping material, non-public information to others, including recommending the purchase or sale of a security while in possession of such information.</w:t>
      </w:r>
    </w:p>
    <w:p>
      <w:pPr>
        <w:spacing w:after="0" w:line="143" w:lineRule="exact"/>
        <w:rPr>
          <w:rFonts w:ascii="Times New Roman" w:cs="Times New Roman" w:eastAsia="Times New Roman" w:hAnsi="Times New Roman"/>
          <w:sz w:val="22"/>
          <w:szCs w:val="22"/>
          <w:color w:val="auto"/>
        </w:rPr>
      </w:pPr>
    </w:p>
    <w:p>
      <w:pPr>
        <w:ind w:left="2000" w:hanging="646"/>
        <w:spacing w:after="0"/>
        <w:tabs>
          <w:tab w:leader="none" w:pos="20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What Facts are Material?</w:t>
      </w:r>
    </w:p>
    <w:p>
      <w:pPr>
        <w:spacing w:after="0" w:line="220" w:lineRule="exact"/>
        <w:rPr>
          <w:sz w:val="20"/>
          <w:szCs w:val="20"/>
          <w:color w:val="auto"/>
        </w:rPr>
      </w:pPr>
    </w:p>
    <w:p>
      <w:pPr>
        <w:ind w:left="700" w:right="300" w:firstLine="647"/>
        <w:spacing w:after="0" w:line="271" w:lineRule="auto"/>
        <w:rPr>
          <w:sz w:val="20"/>
          <w:szCs w:val="20"/>
          <w:color w:val="auto"/>
        </w:rPr>
      </w:pPr>
      <w:r>
        <w:rPr>
          <w:rFonts w:ascii="Times New Roman" w:cs="Times New Roman" w:eastAsia="Times New Roman" w:hAnsi="Times New Roman"/>
          <w:sz w:val="22"/>
          <w:szCs w:val="22"/>
          <w:color w:val="auto"/>
        </w:rPr>
        <w:t>The materiality of a fact depends upon the circumstances. A fact is considered “material” if there is a substantial likelihood that a reasonable investor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hanging="316"/>
        <w:spacing w:after="0"/>
        <w:tabs>
          <w:tab w:leader="none" w:pos="3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color w:val="auto"/>
        </w:rPr>
        <w:t>US-DOCS\139652658.1</w:t>
      </w:r>
    </w:p>
    <w:p>
      <w:pPr>
        <w:sectPr>
          <w:pgSz w:w="11900" w:h="16838" w:orient="portrait"/>
          <w:cols w:equalWidth="0" w:num="1">
            <w:col w:w="11200"/>
          </w:cols>
          <w:pgMar w:left="360" w:top="589"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700" w:right="300"/>
        <w:spacing w:after="0" w:line="263" w:lineRule="auto"/>
        <w:rPr>
          <w:sz w:val="20"/>
          <w:szCs w:val="20"/>
          <w:color w:val="auto"/>
        </w:rPr>
      </w:pPr>
      <w:r>
        <w:rPr>
          <w:rFonts w:ascii="Times New Roman" w:cs="Times New Roman" w:eastAsia="Times New Roman" w:hAnsi="Times New Roman"/>
          <w:sz w:val="22"/>
          <w:szCs w:val="22"/>
          <w:color w:val="auto"/>
        </w:rPr>
        <w:t>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spacing w:after="0" w:line="5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Examples of material information include (but are not limited to) information about:</w:t>
      </w:r>
    </w:p>
    <w:p>
      <w:pPr>
        <w:spacing w:after="0" w:line="112" w:lineRule="exact"/>
        <w:rPr>
          <w:sz w:val="20"/>
          <w:szCs w:val="20"/>
          <w:color w:val="auto"/>
        </w:rPr>
      </w:pPr>
    </w:p>
    <w:p>
      <w:pPr>
        <w:ind w:left="2000" w:hanging="322"/>
        <w:spacing w:after="0"/>
        <w:tabs>
          <w:tab w:leader="none" w:pos="20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earnings or earnings forecasts;</w:t>
      </w:r>
    </w:p>
    <w:p>
      <w:pPr>
        <w:spacing w:after="0" w:line="111" w:lineRule="exact"/>
        <w:rPr>
          <w:rFonts w:ascii="Times New Roman" w:cs="Times New Roman" w:eastAsia="Times New Roman" w:hAnsi="Times New Roman"/>
          <w:sz w:val="22"/>
          <w:szCs w:val="22"/>
          <w:color w:val="auto"/>
        </w:rPr>
      </w:pPr>
    </w:p>
    <w:p>
      <w:pPr>
        <w:ind w:left="2000" w:hanging="322"/>
        <w:spacing w:after="0"/>
        <w:tabs>
          <w:tab w:leader="none" w:pos="20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possible mergers, acquisitions, tender offers or dispositions;</w:t>
      </w:r>
    </w:p>
    <w:p>
      <w:pPr>
        <w:spacing w:after="0" w:line="111" w:lineRule="exact"/>
        <w:rPr>
          <w:rFonts w:ascii="Times New Roman" w:cs="Times New Roman" w:eastAsia="Times New Roman" w:hAnsi="Times New Roman"/>
          <w:sz w:val="22"/>
          <w:szCs w:val="22"/>
          <w:color w:val="auto"/>
        </w:rPr>
      </w:pPr>
    </w:p>
    <w:p>
      <w:pPr>
        <w:ind w:left="2000" w:hanging="322"/>
        <w:spacing w:after="0"/>
        <w:tabs>
          <w:tab w:leader="none" w:pos="20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new products or product developments;</w:t>
      </w:r>
    </w:p>
    <w:p>
      <w:pPr>
        <w:spacing w:after="0" w:line="111" w:lineRule="exact"/>
        <w:rPr>
          <w:rFonts w:ascii="Times New Roman" w:cs="Times New Roman" w:eastAsia="Times New Roman" w:hAnsi="Times New Roman"/>
          <w:sz w:val="22"/>
          <w:szCs w:val="22"/>
          <w:color w:val="auto"/>
        </w:rPr>
      </w:pPr>
    </w:p>
    <w:p>
      <w:pPr>
        <w:ind w:left="2000" w:right="1160" w:hanging="322"/>
        <w:spacing w:after="0" w:line="284" w:lineRule="auto"/>
        <w:tabs>
          <w:tab w:leader="none" w:pos="199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important business developments, such as developments regarding strategic collaborations or developments with major customers;</w:t>
      </w:r>
    </w:p>
    <w:p>
      <w:pPr>
        <w:spacing w:after="0" w:line="35" w:lineRule="exact"/>
        <w:rPr>
          <w:rFonts w:ascii="Times New Roman" w:cs="Times New Roman" w:eastAsia="Times New Roman" w:hAnsi="Times New Roman"/>
          <w:sz w:val="22"/>
          <w:szCs w:val="22"/>
          <w:color w:val="auto"/>
        </w:rPr>
      </w:pPr>
    </w:p>
    <w:p>
      <w:pPr>
        <w:ind w:left="2000" w:hanging="322"/>
        <w:spacing w:after="0"/>
        <w:tabs>
          <w:tab w:leader="none" w:pos="20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the Company’s intellectual property portfolio;</w:t>
      </w:r>
    </w:p>
    <w:p>
      <w:pPr>
        <w:spacing w:after="0" w:line="111" w:lineRule="exact"/>
        <w:rPr>
          <w:rFonts w:ascii="Times New Roman" w:cs="Times New Roman" w:eastAsia="Times New Roman" w:hAnsi="Times New Roman"/>
          <w:sz w:val="22"/>
          <w:szCs w:val="22"/>
          <w:color w:val="auto"/>
        </w:rPr>
      </w:pPr>
    </w:p>
    <w:p>
      <w:pPr>
        <w:ind w:left="2000" w:hanging="322"/>
        <w:spacing w:after="0"/>
        <w:tabs>
          <w:tab w:leader="none" w:pos="20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incidents involving cybersecurity or data protection;</w:t>
      </w:r>
    </w:p>
    <w:p>
      <w:pPr>
        <w:spacing w:after="0" w:line="84" w:lineRule="exact"/>
        <w:rPr>
          <w:rFonts w:ascii="Times New Roman" w:cs="Times New Roman" w:eastAsia="Times New Roman" w:hAnsi="Times New Roman"/>
          <w:sz w:val="22"/>
          <w:szCs w:val="22"/>
          <w:color w:val="auto"/>
        </w:rPr>
      </w:pPr>
    </w:p>
    <w:p>
      <w:pPr>
        <w:ind w:left="2000" w:hanging="322"/>
        <w:spacing w:after="0"/>
        <w:tabs>
          <w:tab w:leader="none" w:pos="20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or control changes;</w:t>
      </w:r>
    </w:p>
    <w:p>
      <w:pPr>
        <w:spacing w:after="0" w:line="111" w:lineRule="exact"/>
        <w:rPr>
          <w:rFonts w:ascii="Times New Roman" w:cs="Times New Roman" w:eastAsia="Times New Roman" w:hAnsi="Times New Roman"/>
          <w:sz w:val="22"/>
          <w:szCs w:val="22"/>
          <w:color w:val="auto"/>
        </w:rPr>
      </w:pPr>
    </w:p>
    <w:p>
      <w:pPr>
        <w:ind w:left="2000" w:right="920" w:hanging="322"/>
        <w:spacing w:after="0" w:line="271" w:lineRule="auto"/>
        <w:tabs>
          <w:tab w:leader="none" w:pos="199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financing developments including pending public sales or offerings of debt or equity securities;</w:t>
      </w:r>
    </w:p>
    <w:p>
      <w:pPr>
        <w:spacing w:after="0" w:line="49" w:lineRule="exact"/>
        <w:rPr>
          <w:rFonts w:ascii="Times New Roman" w:cs="Times New Roman" w:eastAsia="Times New Roman" w:hAnsi="Times New Roman"/>
          <w:sz w:val="22"/>
          <w:szCs w:val="22"/>
          <w:color w:val="auto"/>
        </w:rPr>
      </w:pPr>
    </w:p>
    <w:p>
      <w:pPr>
        <w:ind w:left="2000" w:hanging="322"/>
        <w:spacing w:after="0"/>
        <w:tabs>
          <w:tab w:leader="none" w:pos="20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defaults on borrowings;</w:t>
      </w:r>
    </w:p>
    <w:p>
      <w:pPr>
        <w:spacing w:after="0" w:line="111" w:lineRule="exact"/>
        <w:rPr>
          <w:rFonts w:ascii="Times New Roman" w:cs="Times New Roman" w:eastAsia="Times New Roman" w:hAnsi="Times New Roman"/>
          <w:sz w:val="22"/>
          <w:szCs w:val="22"/>
          <w:color w:val="auto"/>
        </w:rPr>
      </w:pPr>
    </w:p>
    <w:p>
      <w:pPr>
        <w:ind w:left="2000" w:hanging="322"/>
        <w:spacing w:after="0"/>
        <w:tabs>
          <w:tab w:leader="none" w:pos="20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and</w:t>
      </w:r>
    </w:p>
    <w:p>
      <w:pPr>
        <w:spacing w:after="0" w:line="111" w:lineRule="exact"/>
        <w:rPr>
          <w:rFonts w:ascii="Times New Roman" w:cs="Times New Roman" w:eastAsia="Times New Roman" w:hAnsi="Times New Roman"/>
          <w:sz w:val="22"/>
          <w:szCs w:val="22"/>
          <w:color w:val="auto"/>
        </w:rPr>
      </w:pPr>
    </w:p>
    <w:p>
      <w:pPr>
        <w:ind w:left="2000" w:hanging="322"/>
        <w:spacing w:after="0"/>
        <w:tabs>
          <w:tab w:leader="none" w:pos="20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or regulatory actions.</w:t>
      </w:r>
    </w:p>
    <w:p>
      <w:pPr>
        <w:spacing w:after="0" w:line="112" w:lineRule="exact"/>
        <w:rPr>
          <w:sz w:val="20"/>
          <w:szCs w:val="20"/>
          <w:color w:val="auto"/>
        </w:rPr>
      </w:pPr>
    </w:p>
    <w:p>
      <w:pPr>
        <w:ind w:left="700" w:right="300" w:firstLine="647"/>
        <w:spacing w:after="0" w:line="309" w:lineRule="auto"/>
        <w:rPr>
          <w:sz w:val="20"/>
          <w:szCs w:val="20"/>
          <w:color w:val="auto"/>
        </w:rPr>
      </w:pPr>
      <w:r>
        <w:rPr>
          <w:rFonts w:ascii="Times New Roman" w:cs="Times New Roman" w:eastAsia="Times New Roman" w:hAnsi="Times New Roman"/>
          <w:sz w:val="21"/>
          <w:szCs w:val="21"/>
          <w:color w:val="auto"/>
        </w:rPr>
        <w:t>Moreover, material information does not have to be related to a company’s business. For example, the contents of a forthcoming newspaper column that is expected to affect the market price of a security can be material.</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 xml:space="preserve">A good general rule of thumb: </w:t>
      </w:r>
      <w:r>
        <w:rPr>
          <w:rFonts w:ascii="Times New Roman" w:cs="Times New Roman" w:eastAsia="Times New Roman" w:hAnsi="Times New Roman"/>
          <w:sz w:val="22"/>
          <w:szCs w:val="22"/>
          <w:b w:val="1"/>
          <w:bCs w:val="1"/>
          <w:color w:val="auto"/>
        </w:rPr>
        <w:t>When in doubt, do not trade.</w:t>
      </w:r>
    </w:p>
    <w:p>
      <w:pPr>
        <w:spacing w:after="0" w:line="224" w:lineRule="exact"/>
        <w:rPr>
          <w:sz w:val="20"/>
          <w:szCs w:val="20"/>
          <w:color w:val="auto"/>
        </w:rPr>
      </w:pPr>
    </w:p>
    <w:p>
      <w:pPr>
        <w:ind w:left="2000" w:hanging="646"/>
        <w:spacing w:after="0"/>
        <w:tabs>
          <w:tab w:leader="none" w:pos="20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What is Non-Public?</w:t>
      </w:r>
    </w:p>
    <w:p>
      <w:pPr>
        <w:spacing w:after="0" w:line="220" w:lineRule="exact"/>
        <w:rPr>
          <w:sz w:val="20"/>
          <w:szCs w:val="20"/>
          <w:color w:val="auto"/>
        </w:rPr>
      </w:pPr>
    </w:p>
    <w:p>
      <w:pPr>
        <w:jc w:val="both"/>
        <w:ind w:left="700" w:right="300" w:firstLine="647"/>
        <w:spacing w:after="0" w:line="251" w:lineRule="auto"/>
        <w:rPr>
          <w:sz w:val="20"/>
          <w:szCs w:val="20"/>
          <w:color w:val="auto"/>
        </w:rPr>
      </w:pPr>
      <w:r>
        <w:rPr>
          <w:rFonts w:ascii="Times New Roman" w:cs="Times New Roman" w:eastAsia="Times New Roman" w:hAnsi="Times New Roman"/>
          <w:sz w:val="22"/>
          <w:szCs w:val="22"/>
          <w:color w:val="auto"/>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Times New Roman" w:cs="Times New Roman" w:eastAsia="Times New Roman" w:hAnsi="Times New Roman"/>
          <w:sz w:val="22"/>
          <w:szCs w:val="22"/>
          <w:u w:val="single" w:color="auto"/>
          <w:color w:val="auto"/>
        </w:rPr>
        <w:t>Dow Jones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Business Wire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Reuters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Associated Press</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United Press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International</w:t>
      </w:r>
      <w:r>
        <w:rPr>
          <w:rFonts w:ascii="Times New Roman" w:cs="Times New Roman" w:eastAsia="Times New Roman" w:hAnsi="Times New Roman"/>
          <w:sz w:val="22"/>
          <w:szCs w:val="22"/>
          <w:color w:val="auto"/>
        </w:rPr>
        <w:t>, a broadcast on widely available radio or television programs, publication in a widely available newspaper, magazine or news web site, a Regulation FD-compliant conference call, or public disclosure documents filed with the Securities and Exchange Commission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that are available on the SEC’s web site.</w:t>
      </w:r>
    </w:p>
    <w:p>
      <w:pPr>
        <w:spacing w:after="0" w:line="73" w:lineRule="exact"/>
        <w:rPr>
          <w:sz w:val="20"/>
          <w:szCs w:val="20"/>
          <w:color w:val="auto"/>
        </w:rPr>
      </w:pPr>
    </w:p>
    <w:p>
      <w:pPr>
        <w:jc w:val="both"/>
        <w:ind w:left="700" w:right="320" w:firstLine="647"/>
        <w:spacing w:after="0" w:line="256" w:lineRule="auto"/>
        <w:rPr>
          <w:sz w:val="20"/>
          <w:szCs w:val="20"/>
          <w:color w:val="auto"/>
        </w:rPr>
      </w:pPr>
      <w:r>
        <w:rPr>
          <w:rFonts w:ascii="Times New Roman" w:cs="Times New Roman" w:eastAsia="Times New Roman" w:hAnsi="Times New Roman"/>
          <w:sz w:val="22"/>
          <w:szCs w:val="22"/>
          <w:color w:val="auto"/>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hanging="316"/>
        <w:spacing w:after="0"/>
        <w:tabs>
          <w:tab w:leader="none" w:pos="3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color w:val="auto"/>
        </w:rPr>
        <w:t>US-DOCS\139652658.1</w:t>
      </w:r>
    </w:p>
    <w:p>
      <w:pPr>
        <w:sectPr>
          <w:pgSz w:w="11900" w:h="16838" w:orient="portrait"/>
          <w:cols w:equalWidth="0" w:num="1">
            <w:col w:w="11200"/>
          </w:cols>
          <w:pgMar w:left="360" w:top="589"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700" w:right="300"/>
        <w:spacing w:after="0" w:line="251" w:lineRule="auto"/>
        <w:rPr>
          <w:sz w:val="20"/>
          <w:szCs w:val="20"/>
          <w:color w:val="auto"/>
        </w:rPr>
      </w:pPr>
      <w:r>
        <w:rPr>
          <w:rFonts w:ascii="Times New Roman" w:cs="Times New Roman" w:eastAsia="Times New Roman" w:hAnsi="Times New Roman"/>
          <w:sz w:val="22"/>
          <w:szCs w:val="22"/>
          <w:color w:val="auto"/>
        </w:rPr>
        <w:t>public. For the purposes of this Policy, a “trading day” is a day on which national stock exchanges are open for trading. If, for example, the Company were to make an announcement on a Monday prior to 9:30 a.m. Eastern time, the information would be deemed public after the close of trading on Tuesday. If an announcement were made on a Monday after 9:30 a.m. Eastern time, the information would be deemed public after the close of trading on Wednesday. If you have any question as to whether information is publicly available, please err on the side of caution and direct an inquiry to the General Counsel.</w:t>
      </w:r>
    </w:p>
    <w:p>
      <w:pPr>
        <w:spacing w:after="0" w:line="181" w:lineRule="exact"/>
        <w:rPr>
          <w:sz w:val="20"/>
          <w:szCs w:val="20"/>
          <w:color w:val="auto"/>
        </w:rPr>
      </w:pPr>
    </w:p>
    <w:p>
      <w:pPr>
        <w:ind w:left="2000" w:hanging="646"/>
        <w:spacing w:after="0"/>
        <w:tabs>
          <w:tab w:leader="none" w:pos="20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Who is an Insider?</w:t>
      </w:r>
    </w:p>
    <w:p>
      <w:pPr>
        <w:spacing w:after="0" w:line="233" w:lineRule="exact"/>
        <w:rPr>
          <w:sz w:val="20"/>
          <w:szCs w:val="20"/>
          <w:color w:val="auto"/>
        </w:rPr>
      </w:pPr>
    </w:p>
    <w:p>
      <w:pPr>
        <w:jc w:val="both"/>
        <w:ind w:left="700" w:right="300" w:firstLine="647"/>
        <w:spacing w:after="0" w:line="250" w:lineRule="auto"/>
        <w:rPr>
          <w:sz w:val="20"/>
          <w:szCs w:val="20"/>
          <w:color w:val="auto"/>
        </w:rPr>
      </w:pPr>
      <w:r>
        <w:rPr>
          <w:rFonts w:ascii="Times New Roman" w:cs="Times New Roman" w:eastAsia="Times New Roman" w:hAnsi="Times New Roman"/>
          <w:sz w:val="22"/>
          <w:szCs w:val="22"/>
          <w:color w:val="auto"/>
        </w:rPr>
        <w:t>“Insiders” include officers, directors and employees of a company and anyone else who has material non-public information about a company. Insiders have independent fiduciary duties to their company and its stockholders not to trade on material, non-public information relating to the company’s securities. All employees, as well as officers and directors of the Company should consider themselves insiders with respect to material, non-public information about the Company’s business, activities and securities.</w:t>
      </w:r>
    </w:p>
    <w:p>
      <w:pPr>
        <w:spacing w:after="0" w:line="86" w:lineRule="exact"/>
        <w:rPr>
          <w:sz w:val="20"/>
          <w:szCs w:val="20"/>
          <w:color w:val="auto"/>
        </w:rPr>
      </w:pPr>
    </w:p>
    <w:p>
      <w:pPr>
        <w:jc w:val="both"/>
        <w:ind w:left="700" w:right="300" w:firstLine="647"/>
        <w:spacing w:after="0" w:line="252" w:lineRule="auto"/>
        <w:rPr>
          <w:sz w:val="20"/>
          <w:szCs w:val="20"/>
          <w:color w:val="auto"/>
        </w:rPr>
      </w:pPr>
      <w:r>
        <w:rPr>
          <w:rFonts w:ascii="Times New Roman" w:cs="Times New Roman" w:eastAsia="Times New Roman" w:hAnsi="Times New Roman"/>
          <w:sz w:val="22"/>
          <w:szCs w:val="22"/>
          <w:color w:val="auto"/>
        </w:rPr>
        <w:t>Individuals subject to this Policy are responsible for ensuring that members of their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w:t>
      </w:r>
    </w:p>
    <w:p>
      <w:pPr>
        <w:spacing w:after="0" w:line="179" w:lineRule="exact"/>
        <w:rPr>
          <w:sz w:val="20"/>
          <w:szCs w:val="20"/>
          <w:color w:val="auto"/>
        </w:rPr>
      </w:pPr>
    </w:p>
    <w:p>
      <w:pPr>
        <w:ind w:left="2000" w:hanging="646"/>
        <w:spacing w:after="0"/>
        <w:tabs>
          <w:tab w:leader="none" w:pos="20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by Persons Other than Insiders</w:t>
      </w:r>
    </w:p>
    <w:p>
      <w:pPr>
        <w:spacing w:after="0" w:line="233" w:lineRule="exact"/>
        <w:rPr>
          <w:sz w:val="20"/>
          <w:szCs w:val="20"/>
          <w:color w:val="auto"/>
        </w:rPr>
      </w:pPr>
    </w:p>
    <w:p>
      <w:pPr>
        <w:jc w:val="both"/>
        <w:ind w:left="700" w:right="300" w:firstLine="647"/>
        <w:spacing w:after="0" w:line="252" w:lineRule="auto"/>
        <w:rPr>
          <w:sz w:val="20"/>
          <w:szCs w:val="20"/>
          <w:color w:val="auto"/>
        </w:rPr>
      </w:pPr>
      <w:r>
        <w:rPr>
          <w:rFonts w:ascii="Times New Roman" w:cs="Times New Roman" w:eastAsia="Times New Roman" w:hAnsi="Times New Roman"/>
          <w:sz w:val="22"/>
          <w:szCs w:val="22"/>
          <w:color w:val="auto"/>
        </w:rPr>
        <w:t>Insiders may be liable for communicating or tipping material, non-public information to a third party (“</w:t>
      </w:r>
      <w:r>
        <w:rPr>
          <w:rFonts w:ascii="Times New Roman" w:cs="Times New Roman" w:eastAsia="Times New Roman" w:hAnsi="Times New Roman"/>
          <w:sz w:val="22"/>
          <w:szCs w:val="22"/>
          <w:b w:val="1"/>
          <w:bCs w:val="1"/>
          <w:i w:val="1"/>
          <w:iCs w:val="1"/>
          <w:color w:val="auto"/>
        </w:rPr>
        <w:t>tippee</w:t>
      </w:r>
      <w:r>
        <w:rPr>
          <w:rFonts w:ascii="Times New Roman" w:cs="Times New Roman" w:eastAsia="Times New Roman" w:hAnsi="Times New Roman"/>
          <w:sz w:val="22"/>
          <w:szCs w:val="22"/>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spacing w:after="0" w:line="71" w:lineRule="exact"/>
        <w:rPr>
          <w:sz w:val="20"/>
          <w:szCs w:val="20"/>
          <w:color w:val="auto"/>
        </w:rPr>
      </w:pPr>
    </w:p>
    <w:p>
      <w:pPr>
        <w:jc w:val="both"/>
        <w:ind w:left="700" w:right="300" w:firstLine="647"/>
        <w:spacing w:after="0" w:line="253" w:lineRule="auto"/>
        <w:rPr>
          <w:sz w:val="20"/>
          <w:szCs w:val="20"/>
          <w:color w:val="auto"/>
        </w:rPr>
      </w:pPr>
      <w:r>
        <w:rPr>
          <w:rFonts w:ascii="Times New Roman" w:cs="Times New Roman" w:eastAsia="Times New Roman" w:hAnsi="Times New Roman"/>
          <w:sz w:val="22"/>
          <w:szCs w:val="22"/>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79" w:lineRule="exact"/>
        <w:rPr>
          <w:sz w:val="20"/>
          <w:szCs w:val="20"/>
          <w:color w:val="auto"/>
        </w:rPr>
      </w:pPr>
    </w:p>
    <w:p>
      <w:pPr>
        <w:ind w:left="2000" w:hanging="646"/>
        <w:spacing w:after="0"/>
        <w:tabs>
          <w:tab w:leader="none" w:pos="20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Penalties for Engaging in Insider Trading</w:t>
      </w:r>
    </w:p>
    <w:p>
      <w:pPr>
        <w:spacing w:after="0" w:line="220" w:lineRule="exact"/>
        <w:rPr>
          <w:sz w:val="20"/>
          <w:szCs w:val="20"/>
          <w:color w:val="auto"/>
        </w:rPr>
      </w:pPr>
    </w:p>
    <w:p>
      <w:pPr>
        <w:jc w:val="both"/>
        <w:ind w:left="700" w:right="300" w:firstLine="647"/>
        <w:spacing w:after="0" w:line="263" w:lineRule="auto"/>
        <w:rPr>
          <w:sz w:val="20"/>
          <w:szCs w:val="20"/>
          <w:color w:val="auto"/>
        </w:rPr>
      </w:pPr>
      <w:r>
        <w:rPr>
          <w:rFonts w:ascii="Times New Roman" w:cs="Times New Roman" w:eastAsia="Times New Roman" w:hAnsi="Times New Roman"/>
          <w:sz w:val="22"/>
          <w:szCs w:val="22"/>
          <w:color w:val="auto"/>
        </w:rPr>
        <w:t>Penalties for trading on or tipping material, non-public information can extend significantly beyond any profits made or losses avoided, both for individuals engaging in such unlawful conduct and their employers. The SEC and Department of</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hanging="316"/>
        <w:spacing w:after="0"/>
        <w:tabs>
          <w:tab w:leader="none" w:pos="3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color w:val="auto"/>
        </w:rPr>
        <w:t>US-DOCS\139652658.1</w:t>
      </w:r>
    </w:p>
    <w:p>
      <w:pPr>
        <w:sectPr>
          <w:pgSz w:w="11900" w:h="16838" w:orient="portrait"/>
          <w:cols w:equalWidth="0" w:num="1">
            <w:col w:w="11200"/>
          </w:cols>
          <w:pgMar w:left="360" w:top="589"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00" w:right="300"/>
        <w:spacing w:after="0" w:line="271" w:lineRule="auto"/>
        <w:rPr>
          <w:sz w:val="20"/>
          <w:szCs w:val="20"/>
          <w:color w:val="auto"/>
        </w:rPr>
      </w:pPr>
      <w:r>
        <w:rPr>
          <w:rFonts w:ascii="Times New Roman" w:cs="Times New Roman" w:eastAsia="Times New Roman" w:hAnsi="Times New Roman"/>
          <w:sz w:val="22"/>
          <w:szCs w:val="22"/>
          <w:color w:val="auto"/>
        </w:rPr>
        <w:t>Justice have made the civil and criminal prosecution of insider trading violations a top priority. Enforcement remedies available to the government or private plaintiffs under the federal securities laws include:</w:t>
      </w:r>
    </w:p>
    <w:p>
      <w:pPr>
        <w:spacing w:after="0" w:line="63" w:lineRule="exact"/>
        <w:rPr>
          <w:sz w:val="20"/>
          <w:szCs w:val="20"/>
          <w:color w:val="auto"/>
        </w:rPr>
      </w:pPr>
    </w:p>
    <w:p>
      <w:pPr>
        <w:ind w:left="2000" w:hanging="322"/>
        <w:spacing w:after="0"/>
        <w:tabs>
          <w:tab w:leader="none" w:pos="20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administrative sanctions;</w:t>
      </w:r>
    </w:p>
    <w:p>
      <w:pPr>
        <w:spacing w:after="0" w:line="111" w:lineRule="exact"/>
        <w:rPr>
          <w:rFonts w:ascii="Times New Roman" w:cs="Times New Roman" w:eastAsia="Times New Roman" w:hAnsi="Times New Roman"/>
          <w:sz w:val="22"/>
          <w:szCs w:val="22"/>
          <w:color w:val="auto"/>
        </w:rPr>
      </w:pPr>
    </w:p>
    <w:p>
      <w:pPr>
        <w:ind w:left="2000" w:hanging="322"/>
        <w:spacing w:after="0"/>
        <w:tabs>
          <w:tab w:leader="none" w:pos="20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industry self-regulatory organization sanctions;</w:t>
      </w:r>
    </w:p>
    <w:p>
      <w:pPr>
        <w:spacing w:after="0" w:line="111" w:lineRule="exact"/>
        <w:rPr>
          <w:rFonts w:ascii="Times New Roman" w:cs="Times New Roman" w:eastAsia="Times New Roman" w:hAnsi="Times New Roman"/>
          <w:sz w:val="22"/>
          <w:szCs w:val="22"/>
          <w:color w:val="auto"/>
        </w:rPr>
      </w:pPr>
    </w:p>
    <w:p>
      <w:pPr>
        <w:ind w:left="2000" w:hanging="322"/>
        <w:spacing w:after="0"/>
        <w:tabs>
          <w:tab w:leader="none" w:pos="20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injunctions;</w:t>
      </w:r>
    </w:p>
    <w:p>
      <w:pPr>
        <w:spacing w:after="0" w:line="111" w:lineRule="exact"/>
        <w:rPr>
          <w:rFonts w:ascii="Times New Roman" w:cs="Times New Roman" w:eastAsia="Times New Roman" w:hAnsi="Times New Roman"/>
          <w:sz w:val="22"/>
          <w:szCs w:val="22"/>
          <w:color w:val="auto"/>
        </w:rPr>
      </w:pPr>
    </w:p>
    <w:p>
      <w:pPr>
        <w:ind w:left="2000" w:hanging="322"/>
        <w:spacing w:after="0"/>
        <w:tabs>
          <w:tab w:leader="none" w:pos="20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damage awards to private plaintiffs;</w:t>
      </w:r>
    </w:p>
    <w:p>
      <w:pPr>
        <w:spacing w:after="0" w:line="111" w:lineRule="exact"/>
        <w:rPr>
          <w:rFonts w:ascii="Times New Roman" w:cs="Times New Roman" w:eastAsia="Times New Roman" w:hAnsi="Times New Roman"/>
          <w:sz w:val="22"/>
          <w:szCs w:val="22"/>
          <w:color w:val="auto"/>
        </w:rPr>
      </w:pPr>
    </w:p>
    <w:p>
      <w:pPr>
        <w:ind w:left="2000" w:hanging="322"/>
        <w:spacing w:after="0"/>
        <w:tabs>
          <w:tab w:leader="none" w:pos="20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disgorgement of all profits;</w:t>
      </w:r>
    </w:p>
    <w:p>
      <w:pPr>
        <w:spacing w:after="0" w:line="111" w:lineRule="exact"/>
        <w:rPr>
          <w:rFonts w:ascii="Times New Roman" w:cs="Times New Roman" w:eastAsia="Times New Roman" w:hAnsi="Times New Roman"/>
          <w:sz w:val="22"/>
          <w:szCs w:val="22"/>
          <w:color w:val="auto"/>
        </w:rPr>
      </w:pPr>
    </w:p>
    <w:p>
      <w:pPr>
        <w:ind w:left="2000" w:hanging="322"/>
        <w:spacing w:after="0"/>
        <w:tabs>
          <w:tab w:leader="none" w:pos="20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fines for the violator of up to three times the amount of profit gained or loss avoided;</w:t>
      </w:r>
    </w:p>
    <w:p>
      <w:pPr>
        <w:spacing w:after="0" w:line="111" w:lineRule="exact"/>
        <w:rPr>
          <w:rFonts w:ascii="Times New Roman" w:cs="Times New Roman" w:eastAsia="Times New Roman" w:hAnsi="Times New Roman"/>
          <w:sz w:val="22"/>
          <w:szCs w:val="22"/>
          <w:color w:val="auto"/>
        </w:rPr>
      </w:pPr>
    </w:p>
    <w:p>
      <w:pPr>
        <w:ind w:left="2000" w:right="860" w:hanging="322"/>
        <w:spacing w:after="0" w:line="261" w:lineRule="auto"/>
        <w:tabs>
          <w:tab w:leader="none" w:pos="199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fines for the employer or other controlling person of a violator (i.e., where the violator is an employee or other controlled person) of up to the greater of</w:t>
      </w:r>
    </w:p>
    <w:p>
      <w:pPr>
        <w:ind w:left="2000" w:right="8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$2,479,282 (subject to adjustment for inflation) or three times the amount of profit gained or loss avoided by the violator;</w:t>
      </w:r>
    </w:p>
    <w:p>
      <w:pPr>
        <w:spacing w:after="0" w:line="74" w:lineRule="exact"/>
        <w:rPr>
          <w:rFonts w:ascii="Times New Roman" w:cs="Times New Roman" w:eastAsia="Times New Roman" w:hAnsi="Times New Roman"/>
          <w:sz w:val="22"/>
          <w:szCs w:val="22"/>
          <w:color w:val="auto"/>
        </w:rPr>
      </w:pPr>
    </w:p>
    <w:p>
      <w:pPr>
        <w:ind w:left="2000" w:hanging="322"/>
        <w:spacing w:after="0"/>
        <w:tabs>
          <w:tab w:leader="none" w:pos="20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criminal fines for individual violators of up to $5,000,000 ($25,000,000 for an entity); and</w:t>
      </w:r>
    </w:p>
    <w:p>
      <w:pPr>
        <w:spacing w:after="0" w:line="111" w:lineRule="exact"/>
        <w:rPr>
          <w:rFonts w:ascii="Times New Roman" w:cs="Times New Roman" w:eastAsia="Times New Roman" w:hAnsi="Times New Roman"/>
          <w:sz w:val="22"/>
          <w:szCs w:val="22"/>
          <w:color w:val="auto"/>
        </w:rPr>
      </w:pPr>
    </w:p>
    <w:p>
      <w:pPr>
        <w:ind w:left="2000" w:hanging="322"/>
        <w:spacing w:after="0"/>
        <w:tabs>
          <w:tab w:leader="none" w:pos="20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jail sentences of up to 20 years.</w:t>
      </w:r>
    </w:p>
    <w:p>
      <w:pPr>
        <w:spacing w:after="0" w:line="220" w:lineRule="exact"/>
        <w:rPr>
          <w:sz w:val="20"/>
          <w:szCs w:val="20"/>
          <w:color w:val="auto"/>
        </w:rPr>
      </w:pPr>
    </w:p>
    <w:p>
      <w:pPr>
        <w:jc w:val="both"/>
        <w:ind w:left="700" w:right="300" w:firstLine="647"/>
        <w:spacing w:after="0" w:line="256" w:lineRule="auto"/>
        <w:rPr>
          <w:sz w:val="20"/>
          <w:szCs w:val="20"/>
          <w:color w:val="auto"/>
        </w:rPr>
      </w:pPr>
      <w:r>
        <w:rPr>
          <w:rFonts w:ascii="Times New Roman" w:cs="Times New Roman" w:eastAsia="Times New Roman" w:hAnsi="Times New Roman"/>
          <w:sz w:val="22"/>
          <w:szCs w:val="22"/>
          <w:color w:val="auto"/>
        </w:rPr>
        <w:t>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(RICO), also may be violated in connection with insider trading.</w:t>
      </w:r>
    </w:p>
    <w:p>
      <w:pPr>
        <w:spacing w:after="0" w:line="176" w:lineRule="exact"/>
        <w:rPr>
          <w:sz w:val="20"/>
          <w:szCs w:val="20"/>
          <w:color w:val="auto"/>
        </w:rPr>
      </w:pPr>
    </w:p>
    <w:p>
      <w:pPr>
        <w:ind w:left="1980" w:hanging="626"/>
        <w:spacing w:after="0"/>
        <w:tabs>
          <w:tab w:leader="none" w:pos="19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Size of Transaction and Reason for Transaction Do Not Matter</w:t>
      </w:r>
    </w:p>
    <w:p>
      <w:pPr>
        <w:spacing w:after="0" w:line="220" w:lineRule="exact"/>
        <w:rPr>
          <w:sz w:val="20"/>
          <w:szCs w:val="20"/>
          <w:color w:val="auto"/>
        </w:rPr>
      </w:pPr>
    </w:p>
    <w:p>
      <w:pPr>
        <w:jc w:val="both"/>
        <w:ind w:left="700" w:right="300" w:firstLine="647"/>
        <w:spacing w:after="0" w:line="272" w:lineRule="auto"/>
        <w:rPr>
          <w:sz w:val="20"/>
          <w:szCs w:val="20"/>
          <w:color w:val="auto"/>
        </w:rPr>
      </w:pPr>
      <w:r>
        <w:rPr>
          <w:rFonts w:ascii="Times New Roman" w:cs="Times New Roman" w:eastAsia="Times New Roman" w:hAnsi="Times New Roman"/>
          <w:sz w:val="21"/>
          <w:szCs w:val="21"/>
          <w:color w:val="auto"/>
        </w:rPr>
        <w:t>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non-public information. The SEC aggressively investigates even small insider trading violations.</w:t>
      </w:r>
    </w:p>
    <w:p>
      <w:pPr>
        <w:spacing w:after="0" w:line="80" w:lineRule="exact"/>
        <w:rPr>
          <w:sz w:val="20"/>
          <w:szCs w:val="20"/>
          <w:color w:val="auto"/>
        </w:rPr>
      </w:pPr>
    </w:p>
    <w:p>
      <w:pPr>
        <w:ind w:left="1360" w:right="4440" w:hanging="6"/>
        <w:spacing w:after="0" w:line="499" w:lineRule="auto"/>
        <w:tabs>
          <w:tab w:leader="none" w:pos="190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Examples of Insider Trading</w:t>
      </w:r>
      <w:r>
        <w:rPr>
          <w:rFonts w:ascii="Times New Roman" w:cs="Times New Roman" w:eastAsia="Times New Roman" w:hAnsi="Times New Roman"/>
          <w:sz w:val="22"/>
          <w:szCs w:val="22"/>
          <w:color w:val="auto"/>
        </w:rPr>
        <w:t xml:space="preserve"> Examples of insider trading cases include:</w:t>
      </w:r>
    </w:p>
    <w:p>
      <w:pPr>
        <w:spacing w:after="0" w:line="1" w:lineRule="exact"/>
        <w:rPr>
          <w:rFonts w:ascii="Times New Roman" w:cs="Times New Roman" w:eastAsia="Times New Roman" w:hAnsi="Times New Roman"/>
          <w:sz w:val="22"/>
          <w:szCs w:val="22"/>
          <w:color w:val="auto"/>
        </w:rPr>
      </w:pPr>
    </w:p>
    <w:p>
      <w:pPr>
        <w:ind w:left="2000" w:right="320" w:hanging="322"/>
        <w:spacing w:after="0" w:line="271" w:lineRule="auto"/>
        <w:tabs>
          <w:tab w:leader="none" w:pos="1995"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actions brought against corporate officers, directors, and employees who traded in a company’s securities after learning of significant confidential corporate developments;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hanging="316"/>
        <w:spacing w:after="0"/>
        <w:tabs>
          <w:tab w:leader="none" w:pos="3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color w:val="auto"/>
        </w:rPr>
        <w:t>US-DOCS\139652658.1</w:t>
      </w:r>
    </w:p>
    <w:p>
      <w:pPr>
        <w:sectPr>
          <w:pgSz w:w="11900" w:h="16838" w:orient="portrait"/>
          <w:cols w:equalWidth="0" w:num="1">
            <w:col w:w="11200"/>
          </w:cols>
          <w:pgMar w:left="360" w:top="589"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00" w:right="320" w:hanging="322"/>
        <w:spacing w:after="0" w:line="271" w:lineRule="auto"/>
        <w:tabs>
          <w:tab w:leader="none" w:pos="199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friends, business associates, family members and other tippees of such officers, directors, and employees who traded in the securities after receiving such information;</w:t>
      </w:r>
    </w:p>
    <w:p>
      <w:pPr>
        <w:spacing w:after="0" w:line="49" w:lineRule="exact"/>
        <w:rPr>
          <w:rFonts w:ascii="Times New Roman" w:cs="Times New Roman" w:eastAsia="Times New Roman" w:hAnsi="Times New Roman"/>
          <w:sz w:val="22"/>
          <w:szCs w:val="22"/>
          <w:color w:val="auto"/>
        </w:rPr>
      </w:pPr>
    </w:p>
    <w:p>
      <w:pPr>
        <w:ind w:left="2000" w:hanging="322"/>
        <w:spacing w:after="0"/>
        <w:tabs>
          <w:tab w:leader="none" w:pos="20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government employees who learned of such information in the course of their employment; and</w:t>
      </w:r>
    </w:p>
    <w:p>
      <w:pPr>
        <w:spacing w:after="0" w:line="125" w:lineRule="exact"/>
        <w:rPr>
          <w:rFonts w:ascii="Times New Roman" w:cs="Times New Roman" w:eastAsia="Times New Roman" w:hAnsi="Times New Roman"/>
          <w:sz w:val="22"/>
          <w:szCs w:val="22"/>
          <w:color w:val="auto"/>
        </w:rPr>
      </w:pPr>
    </w:p>
    <w:p>
      <w:pPr>
        <w:ind w:left="2000" w:right="320" w:hanging="322"/>
        <w:spacing w:after="0" w:line="271" w:lineRule="auto"/>
        <w:tabs>
          <w:tab w:leader="none" w:pos="199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persons who misappropriated, and took advantage of, confidential information from their employers.</w:t>
      </w:r>
    </w:p>
    <w:p>
      <w:pPr>
        <w:spacing w:after="0" w:line="50" w:lineRule="exact"/>
        <w:rPr>
          <w:sz w:val="20"/>
          <w:szCs w:val="20"/>
          <w:color w:val="auto"/>
        </w:rPr>
      </w:pPr>
    </w:p>
    <w:p>
      <w:pPr>
        <w:ind w:left="700" w:right="320" w:firstLine="647"/>
        <w:spacing w:after="0" w:line="271" w:lineRule="auto"/>
        <w:rPr>
          <w:sz w:val="20"/>
          <w:szCs w:val="20"/>
          <w:color w:val="auto"/>
        </w:rPr>
      </w:pPr>
      <w:r>
        <w:rPr>
          <w:rFonts w:ascii="Times New Roman" w:cs="Times New Roman" w:eastAsia="Times New Roman" w:hAnsi="Times New Roman"/>
          <w:sz w:val="22"/>
          <w:szCs w:val="22"/>
          <w:color w:val="auto"/>
        </w:rPr>
        <w:t>The following are illustrations of insider trading violations. These illustrations are hypothetical and, consequently, not intended to reflect on the actual activities or business of the Company or any other entity.</w:t>
      </w:r>
    </w:p>
    <w:p>
      <w:pPr>
        <w:spacing w:after="0" w:line="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Trading by Insider</w:t>
      </w:r>
    </w:p>
    <w:p>
      <w:pPr>
        <w:spacing w:after="0" w:line="112" w:lineRule="exact"/>
        <w:rPr>
          <w:sz w:val="20"/>
          <w:szCs w:val="20"/>
          <w:color w:val="auto"/>
        </w:rPr>
      </w:pPr>
    </w:p>
    <w:p>
      <w:pPr>
        <w:jc w:val="both"/>
        <w:ind w:left="1360" w:right="300"/>
        <w:spacing w:after="0" w:line="251" w:lineRule="auto"/>
        <w:rPr>
          <w:sz w:val="20"/>
          <w:szCs w:val="20"/>
          <w:color w:val="auto"/>
        </w:rPr>
      </w:pPr>
      <w:r>
        <w:rPr>
          <w:rFonts w:ascii="Times New Roman" w:cs="Times New Roman" w:eastAsia="Times New Roman" w:hAnsi="Times New Roman"/>
          <w:sz w:val="22"/>
          <w:szCs w:val="22"/>
          <w:color w:val="auto"/>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w:t>
      </w:r>
    </w:p>
    <w:p>
      <w:pPr>
        <w:spacing w:after="0" w:line="8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Trading by Tippee</w:t>
      </w:r>
    </w:p>
    <w:p>
      <w:pPr>
        <w:spacing w:after="0" w:line="112" w:lineRule="exact"/>
        <w:rPr>
          <w:sz w:val="20"/>
          <w:szCs w:val="20"/>
          <w:color w:val="auto"/>
        </w:rPr>
      </w:pPr>
    </w:p>
    <w:p>
      <w:pPr>
        <w:jc w:val="both"/>
        <w:ind w:left="1360" w:right="300"/>
        <w:spacing w:after="0" w:line="253" w:lineRule="auto"/>
        <w:rPr>
          <w:sz w:val="20"/>
          <w:szCs w:val="20"/>
          <w:color w:val="auto"/>
        </w:rPr>
      </w:pPr>
      <w:r>
        <w:rPr>
          <w:rFonts w:ascii="Times New Roman" w:cs="Times New Roman" w:eastAsia="Times New Roman" w:hAnsi="Times New Roman"/>
          <w:sz w:val="22"/>
          <w:szCs w:val="22"/>
          <w:color w:val="auto"/>
        </w:rPr>
        <w:t>An officer of X Corporation tells a friend that X Corporation is about to publicly announce that it has signed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20" w:hanging="316"/>
        <w:spacing w:after="0"/>
        <w:tabs>
          <w:tab w:leader="none" w:pos="3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color w:val="auto"/>
        </w:rPr>
        <w:t>US-DOCS\139652658.1</w:t>
      </w:r>
    </w:p>
    <w:p>
      <w:pPr>
        <w:sectPr>
          <w:pgSz w:w="11900" w:h="16838" w:orient="portrait"/>
          <w:cols w:equalWidth="0" w:num="1">
            <w:col w:w="11200"/>
          </w:cols>
          <w:pgMar w:left="360" w:top="589"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0" w:hanging="646"/>
        <w:spacing w:after="0"/>
        <w:tabs>
          <w:tab w:leader="none" w:pos="20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Prohibition of Records Falsification and False Statements</w:t>
      </w:r>
    </w:p>
    <w:p>
      <w:pPr>
        <w:spacing w:after="0" w:line="220" w:lineRule="exact"/>
        <w:rPr>
          <w:sz w:val="20"/>
          <w:szCs w:val="20"/>
          <w:color w:val="auto"/>
        </w:rPr>
      </w:pPr>
    </w:p>
    <w:p>
      <w:pPr>
        <w:jc w:val="both"/>
        <w:ind w:left="700" w:right="300" w:firstLine="647"/>
        <w:spacing w:after="0" w:line="263" w:lineRule="auto"/>
        <w:rPr>
          <w:sz w:val="20"/>
          <w:szCs w:val="20"/>
          <w:color w:val="auto"/>
        </w:rPr>
      </w:pPr>
      <w:r>
        <w:rPr>
          <w:rFonts w:ascii="Times New Roman" w:cs="Times New Roman" w:eastAsia="Times New Roman" w:hAnsi="Times New Roman"/>
          <w:sz w:val="21"/>
          <w:szCs w:val="21"/>
          <w:color w:val="auto"/>
        </w:rPr>
        <w:t>Section 13(b)(2) of the 1934 Act requires companies subject to the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169" w:lineRule="exact"/>
        <w:rPr>
          <w:sz w:val="20"/>
          <w:szCs w:val="20"/>
          <w:color w:val="auto"/>
        </w:rPr>
      </w:pPr>
    </w:p>
    <w:p>
      <w:pPr>
        <w:ind w:left="70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IV.</w:t>
        <w:tab/>
        <w:t>Statement of Procedures Preventing Insider Trading</w:t>
      </w:r>
    </w:p>
    <w:p>
      <w:pPr>
        <w:spacing w:after="0" w:line="278" w:lineRule="exact"/>
        <w:rPr>
          <w:sz w:val="20"/>
          <w:szCs w:val="20"/>
          <w:color w:val="auto"/>
        </w:rPr>
      </w:pPr>
    </w:p>
    <w:p>
      <w:pPr>
        <w:jc w:val="both"/>
        <w:ind w:left="700" w:right="320" w:firstLine="647"/>
        <w:spacing w:after="0" w:line="271" w:lineRule="auto"/>
        <w:rPr>
          <w:sz w:val="20"/>
          <w:szCs w:val="20"/>
          <w:color w:val="auto"/>
        </w:rPr>
      </w:pPr>
      <w:r>
        <w:rPr>
          <w:rFonts w:ascii="Times New Roman" w:cs="Times New Roman" w:eastAsia="Times New Roman" w:hAnsi="Times New Roman"/>
          <w:sz w:val="22"/>
          <w:szCs w:val="22"/>
          <w:color w:val="auto"/>
        </w:rPr>
        <w:t>The following procedures have been established, and will be maintained and enforced, by the Company to prevent insider trading. Every officer, director and employee is required to follow these procedures.</w:t>
      </w:r>
    </w:p>
    <w:p>
      <w:pPr>
        <w:spacing w:after="0" w:line="158" w:lineRule="exact"/>
        <w:rPr>
          <w:sz w:val="20"/>
          <w:szCs w:val="20"/>
          <w:color w:val="auto"/>
        </w:rPr>
      </w:pPr>
    </w:p>
    <w:p>
      <w:pPr>
        <w:ind w:left="2000" w:hanging="646"/>
        <w:spacing w:after="0"/>
        <w:tabs>
          <w:tab w:leader="none" w:pos="20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Pre-Clearance of All Trades by All Officers, Directors and Certain Employees</w:t>
      </w:r>
    </w:p>
    <w:p>
      <w:pPr>
        <w:spacing w:after="0" w:line="220" w:lineRule="exact"/>
        <w:rPr>
          <w:sz w:val="20"/>
          <w:szCs w:val="20"/>
          <w:color w:val="auto"/>
        </w:rPr>
      </w:pPr>
    </w:p>
    <w:p>
      <w:pPr>
        <w:jc w:val="both"/>
        <w:ind w:left="700" w:right="300" w:firstLine="647"/>
        <w:spacing w:after="0" w:line="248" w:lineRule="auto"/>
        <w:rPr>
          <w:sz w:val="20"/>
          <w:szCs w:val="20"/>
          <w:color w:val="auto"/>
        </w:rPr>
      </w:pPr>
      <w:r>
        <w:rPr>
          <w:rFonts w:ascii="Times New Roman" w:cs="Times New Roman" w:eastAsia="Times New Roman" w:hAnsi="Times New Roman"/>
          <w:sz w:val="22"/>
          <w:szCs w:val="22"/>
          <w:color w:val="auto"/>
        </w:rPr>
        <w:t xml:space="preserve">To provide assistance in preventing inadvertent violations of applicable securities laws and to avoid the appearance of impropriety in connection with the purchase and sale of the Company’s securities, </w:t>
      </w:r>
      <w:r>
        <w:rPr>
          <w:rFonts w:ascii="Times New Roman" w:cs="Times New Roman" w:eastAsia="Times New Roman" w:hAnsi="Times New Roman"/>
          <w:sz w:val="22"/>
          <w:szCs w:val="22"/>
          <w:b w:val="1"/>
          <w:bCs w:val="1"/>
          <w:color w:val="auto"/>
        </w:rPr>
        <w:t>all transactions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the Company’s securities (including without limitation, acquisitions and dispositions of Company stock, gifts, the exercise of stock options and the sale of Company stock issued upon exercise of stock options) by officers, directors and such other employees as are designated in Schedule I, as may be amended from time to time by the Board of Directors, the Chief Executive Officer, Chief Financial Officer or the General Counsel as being subject to this pre-clearance process (each, a “</w:t>
      </w:r>
      <w:r>
        <w:rPr>
          <w:rFonts w:ascii="Times New Roman" w:cs="Times New Roman" w:eastAsia="Times New Roman" w:hAnsi="Times New Roman"/>
          <w:sz w:val="22"/>
          <w:szCs w:val="22"/>
          <w:b w:val="1"/>
          <w:bCs w:val="1"/>
          <w:i w:val="1"/>
          <w:iCs w:val="1"/>
          <w:color w:val="auto"/>
        </w:rPr>
        <w:t>Pre-Clearance Person</w:t>
      </w:r>
      <w:r>
        <w:rPr>
          <w:rFonts w:ascii="Times New Roman" w:cs="Times New Roman" w:eastAsia="Times New Roman" w:hAnsi="Times New Roman"/>
          <w:sz w:val="22"/>
          <w:szCs w:val="22"/>
          <w:b w:val="1"/>
          <w:bCs w:val="1"/>
          <w:color w:val="auto"/>
        </w:rPr>
        <w:t>”) must be pre- cleared by the Company’s General Counsel or the General Counsel’s designee</w:t>
      </w:r>
      <w:r>
        <w:rPr>
          <w:rFonts w:ascii="Times New Roman" w:cs="Times New Roman" w:eastAsia="Times New Roman" w:hAnsi="Times New Roman"/>
          <w:sz w:val="22"/>
          <w:szCs w:val="22"/>
          <w:color w:val="auto"/>
        </w:rPr>
        <w:t>. Pre-clearance does not relieve anyone of his or 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responsibility under SEC rules. For the avoidance of doubt, any designation by the Board of Directors of the employees who are subject to pre-clearance may be updated from time to time by the Chief Executive Officer, the Chief Financial Officer or the General Counsel.</w:t>
      </w:r>
    </w:p>
    <w:p>
      <w:pPr>
        <w:spacing w:after="0" w:line="81" w:lineRule="exact"/>
        <w:rPr>
          <w:sz w:val="20"/>
          <w:szCs w:val="20"/>
          <w:color w:val="auto"/>
        </w:rPr>
      </w:pPr>
    </w:p>
    <w:p>
      <w:pPr>
        <w:jc w:val="both"/>
        <w:ind w:left="700" w:right="300" w:firstLine="647"/>
        <w:spacing w:after="0" w:line="251" w:lineRule="auto"/>
        <w:rPr>
          <w:sz w:val="20"/>
          <w:szCs w:val="20"/>
          <w:color w:val="auto"/>
        </w:rPr>
      </w:pPr>
      <w:r>
        <w:rPr>
          <w:rFonts w:ascii="Times New Roman" w:cs="Times New Roman" w:eastAsia="Times New Roman" w:hAnsi="Times New Roman"/>
          <w:sz w:val="22"/>
          <w:szCs w:val="22"/>
          <w:color w:val="auto"/>
        </w:rPr>
        <w:t>A request for pre-clearance may be oral or in writing (including without limitation by e- mail), should be made at least two (2) business days in advance of the proposed transaction using the form of pre-clearance attached hereto as “Attachment A.” In addition, unless otherwise determined by the General Counsel, the Pre-Clearance Person must execute a certification (in the form approved by the General Counsel) that he, she or it is not aware of material, non-public information about the Company. The General Counsel shall have sole discretion to decide whether to clear any contemplated transaction, provided that the Chief Financial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hanging="316"/>
        <w:spacing w:after="0"/>
        <w:tabs>
          <w:tab w:leader="none" w:pos="3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color w:val="auto"/>
        </w:rPr>
        <w:t>US-DOCS\139652658.1</w:t>
      </w:r>
    </w:p>
    <w:p>
      <w:pPr>
        <w:sectPr>
          <w:pgSz w:w="11900" w:h="16838" w:orient="portrait"/>
          <w:cols w:equalWidth="0" w:num="1">
            <w:col w:w="11200"/>
          </w:cols>
          <w:pgMar w:left="360" w:top="589"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700" w:right="300"/>
        <w:spacing w:after="0" w:line="250" w:lineRule="auto"/>
        <w:rPr>
          <w:sz w:val="20"/>
          <w:szCs w:val="20"/>
          <w:color w:val="auto"/>
        </w:rPr>
      </w:pPr>
      <w:r>
        <w:rPr>
          <w:rFonts w:ascii="Times New Roman" w:cs="Times New Roman" w:eastAsia="Times New Roman" w:hAnsi="Times New Roman"/>
          <w:sz w:val="22"/>
          <w:szCs w:val="22"/>
          <w:color w:val="auto"/>
        </w:rPr>
        <w:t>Officer shall have sole discretion to decide whether to clear transactions by the General Counsel or persons or entities subject to this policy as a result of their relationship with the General Counsel. All trades that are pre-cleared must be effected within five business days of receipt of the pre-clearance unless a specific exception has been granted by the General Counsel (or the Chief Financial Officer, in the case of the General Counsel or persons or entities subject to this policy as a result of their relationship with the General Counsel). A pre-cleared trade (or any portion of a pre-cleared trade) that has not been effected during the five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spacing w:after="0" w:line="180" w:lineRule="exact"/>
        <w:rPr>
          <w:sz w:val="20"/>
          <w:szCs w:val="20"/>
          <w:color w:val="auto"/>
        </w:rPr>
      </w:pPr>
    </w:p>
    <w:p>
      <w:pPr>
        <w:ind w:left="2000" w:hanging="646"/>
        <w:spacing w:after="0"/>
        <w:tabs>
          <w:tab w:leader="none" w:pos="20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Black-Out Periods</w:t>
      </w:r>
    </w:p>
    <w:p>
      <w:pPr>
        <w:spacing w:after="0" w:line="216" w:lineRule="exact"/>
        <w:rPr>
          <w:sz w:val="20"/>
          <w:szCs w:val="20"/>
          <w:color w:val="auto"/>
        </w:rPr>
      </w:pPr>
    </w:p>
    <w:p>
      <w:pPr>
        <w:jc w:val="both"/>
        <w:ind w:left="700" w:right="300" w:firstLine="647"/>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No officer, director or other employee designated in Schedule II, as may be amended from time to time by the Board of Directors, the Chief Executive Officer, the Chief Financial Officer or the General Counsel as being subject to quarterly blackout periods shall purchase or sell any security of the Company during the period beginning at 11:59 p.m., Eastern time, on the 14th calendar day before the end of any fiscal quarter of the Company and ending upon the completion of the second full trading day after the public release of earnings data for such fiscal quarter or during any other trading suspension period declared by the Company, </w:t>
      </w:r>
      <w:r>
        <w:rPr>
          <w:rFonts w:ascii="Times New Roman" w:cs="Times New Roman" w:eastAsia="Times New Roman" w:hAnsi="Times New Roman"/>
          <w:sz w:val="22"/>
          <w:szCs w:val="22"/>
          <w:color w:val="auto"/>
        </w:rPr>
        <w:t>except for purchases and sales made pursuant to the permitted transactions described in Section II. For example, if the Company’s fourth fiscal quarter ends at 11:59 p.m., Eastern time, on December 31, the corresponding blackout period would begin at 11:59 p.m., Eastern time, on December 17. For the avoidance of doubt, any designation by the Board of Directors of the employees who are subject to quarterly blackout periods may be updated from time to time by the Chief Executive Officer, Chief Financial Officer or General Counsel.</w:t>
      </w:r>
    </w:p>
    <w:p>
      <w:pPr>
        <w:spacing w:after="0" w:line="73" w:lineRule="exact"/>
        <w:rPr>
          <w:sz w:val="20"/>
          <w:szCs w:val="20"/>
          <w:color w:val="auto"/>
        </w:rPr>
      </w:pPr>
    </w:p>
    <w:p>
      <w:pPr>
        <w:jc w:val="both"/>
        <w:ind w:left="700" w:right="300" w:firstLine="701"/>
        <w:spacing w:after="0" w:line="256" w:lineRule="auto"/>
        <w:rPr>
          <w:sz w:val="20"/>
          <w:szCs w:val="20"/>
          <w:color w:val="auto"/>
        </w:rPr>
      </w:pPr>
      <w:r>
        <w:rPr>
          <w:rFonts w:ascii="Times New Roman" w:cs="Times New Roman" w:eastAsia="Times New Roman" w:hAnsi="Times New Roman"/>
          <w:sz w:val="22"/>
          <w:szCs w:val="22"/>
          <w:color w:val="auto"/>
        </w:rPr>
        <w:t>Exceptions to the black-out period policy may be approved only by the Company’s General Counsel (or, in the case of an exception for the General Counsel or persons or entities subject to this policy as a result of their relationship with the General Counsel, the Chief Financial Officer or, in the case of exceptions for directors or persons or entities subject to this policy as a result of their relationship with a director, the Board of Directors).</w:t>
      </w:r>
    </w:p>
    <w:p>
      <w:pPr>
        <w:spacing w:after="0" w:line="68" w:lineRule="exact"/>
        <w:rPr>
          <w:sz w:val="20"/>
          <w:szCs w:val="20"/>
          <w:color w:val="auto"/>
        </w:rPr>
      </w:pPr>
    </w:p>
    <w:p>
      <w:pPr>
        <w:jc w:val="both"/>
        <w:ind w:left="700" w:right="300" w:firstLine="647"/>
        <w:spacing w:after="0" w:line="251" w:lineRule="auto"/>
        <w:rPr>
          <w:sz w:val="20"/>
          <w:szCs w:val="20"/>
          <w:color w:val="auto"/>
        </w:rPr>
      </w:pPr>
      <w:r>
        <w:rPr>
          <w:rFonts w:ascii="Times New Roman" w:cs="Times New Roman" w:eastAsia="Times New Roman" w:hAnsi="Times New Roman"/>
          <w:sz w:val="22"/>
          <w:szCs w:val="22"/>
          <w:color w:val="auto"/>
        </w:rPr>
        <w:t>From time to time, the Company, through the Board of Directors, the Company’s disclosure committee, the Chief Financial Officer or the General Counsel, may recommend that officers, directors, employees or others suspend trading in the Company’s securities because of developments that have not yet been disclosed to the public. Subject to the exceptions noted above, all of those affected should not trade in the Company’s securities while the suspension is in effect, and should not disclose to others that the Company has suspended trading. Any trading suspension will remain effective until revoked by the General Counsel.</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0" w:hanging="316"/>
        <w:spacing w:after="0"/>
        <w:tabs>
          <w:tab w:leader="none" w:pos="3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color w:val="auto"/>
        </w:rPr>
        <w:t>US-DOCS\139652658.1</w:t>
      </w:r>
    </w:p>
    <w:p>
      <w:pPr>
        <w:sectPr>
          <w:pgSz w:w="11900" w:h="16838" w:orient="portrait"/>
          <w:cols w:equalWidth="0" w:num="1">
            <w:col w:w="11200"/>
          </w:cols>
          <w:pgMar w:left="360" w:top="589"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700" w:right="300" w:firstLine="647"/>
        <w:spacing w:after="0" w:line="256" w:lineRule="auto"/>
        <w:rPr>
          <w:sz w:val="20"/>
          <w:szCs w:val="20"/>
          <w:color w:val="auto"/>
        </w:rPr>
      </w:pPr>
      <w:r>
        <w:rPr>
          <w:rFonts w:ascii="Times New Roman" w:cs="Times New Roman" w:eastAsia="Times New Roman" w:hAnsi="Times New Roman"/>
          <w:sz w:val="22"/>
          <w:szCs w:val="22"/>
          <w:color w:val="auto"/>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p>
      <w:pPr>
        <w:spacing w:after="0" w:line="176" w:lineRule="exact"/>
        <w:rPr>
          <w:sz w:val="20"/>
          <w:szCs w:val="20"/>
          <w:color w:val="auto"/>
        </w:rPr>
      </w:pPr>
    </w:p>
    <w:p>
      <w:pPr>
        <w:ind w:left="2000" w:hanging="646"/>
        <w:spacing w:after="0"/>
        <w:tabs>
          <w:tab w:leader="none" w:pos="20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Post-Termination Transactions</w:t>
      </w:r>
    </w:p>
    <w:p>
      <w:pPr>
        <w:spacing w:after="0" w:line="220" w:lineRule="exact"/>
        <w:rPr>
          <w:sz w:val="20"/>
          <w:szCs w:val="20"/>
          <w:color w:val="auto"/>
        </w:rPr>
      </w:pPr>
    </w:p>
    <w:p>
      <w:pPr>
        <w:jc w:val="both"/>
        <w:ind w:left="700" w:right="300" w:firstLine="647"/>
        <w:spacing w:after="0" w:line="263" w:lineRule="auto"/>
        <w:rPr>
          <w:sz w:val="20"/>
          <w:szCs w:val="20"/>
          <w:color w:val="auto"/>
        </w:rPr>
      </w:pPr>
      <w:r>
        <w:rPr>
          <w:rFonts w:ascii="Times New Roman" w:cs="Times New Roman" w:eastAsia="Times New Roman" w:hAnsi="Times New Roman"/>
          <w:sz w:val="22"/>
          <w:szCs w:val="22"/>
          <w:color w:val="auto"/>
        </w:rPr>
        <w:t>If an individual is in possession of material, non-public information when his or her service terminates, that individual may not trade in the Company’s securities until that information has become public or is no longer material.</w:t>
      </w:r>
    </w:p>
    <w:p>
      <w:pPr>
        <w:spacing w:after="0" w:line="167" w:lineRule="exact"/>
        <w:rPr>
          <w:sz w:val="20"/>
          <w:szCs w:val="20"/>
          <w:color w:val="auto"/>
        </w:rPr>
      </w:pPr>
    </w:p>
    <w:p>
      <w:pPr>
        <w:ind w:left="2000" w:hanging="646"/>
        <w:spacing w:after="0"/>
        <w:tabs>
          <w:tab w:leader="none" w:pos="20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Relating to the Company</w:t>
      </w:r>
    </w:p>
    <w:p>
      <w:pPr>
        <w:spacing w:after="0" w:line="216" w:lineRule="exact"/>
        <w:rPr>
          <w:sz w:val="20"/>
          <w:szCs w:val="20"/>
          <w:color w:val="auto"/>
        </w:rPr>
      </w:pPr>
    </w:p>
    <w:p>
      <w:pPr>
        <w:ind w:left="2640" w:hanging="638"/>
        <w:spacing w:after="0"/>
        <w:tabs>
          <w:tab w:leader="none" w:pos="26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Access to Information</w:t>
      </w:r>
    </w:p>
    <w:p>
      <w:pPr>
        <w:spacing w:after="0" w:line="5" w:lineRule="exact"/>
        <w:rPr>
          <w:sz w:val="20"/>
          <w:szCs w:val="20"/>
          <w:color w:val="auto"/>
        </w:rPr>
      </w:pPr>
    </w:p>
    <w:p>
      <w:pPr>
        <w:jc w:val="both"/>
        <w:ind w:left="700" w:firstLine="648"/>
        <w:spacing w:after="0" w:line="212" w:lineRule="auto"/>
        <w:rPr>
          <w:sz w:val="20"/>
          <w:szCs w:val="20"/>
          <w:color w:val="auto"/>
        </w:rPr>
      </w:pPr>
      <w:r>
        <w:rPr>
          <w:rFonts w:ascii="Times New Roman" w:cs="Times New Roman" w:eastAsia="Times New Roman" w:hAnsi="Times New Roman"/>
          <w:sz w:val="22"/>
          <w:szCs w:val="22"/>
          <w:color w:val="auto"/>
        </w:rPr>
        <w:t>Access to material, non-public information about the Company, including the Company’s business, earnings, prospects or acquisition activities, should be limited to officers, directors and employees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need-to-know basis.</w:t>
      </w:r>
    </w:p>
    <w:p>
      <w:pPr>
        <w:spacing w:after="0" w:line="74" w:lineRule="exact"/>
        <w:rPr>
          <w:sz w:val="20"/>
          <w:szCs w:val="20"/>
          <w:color w:val="auto"/>
        </w:rPr>
      </w:pPr>
    </w:p>
    <w:p>
      <w:pPr>
        <w:jc w:val="both"/>
        <w:ind w:left="700" w:right="300" w:firstLine="647"/>
        <w:spacing w:after="0" w:line="263" w:lineRule="auto"/>
        <w:rPr>
          <w:sz w:val="20"/>
          <w:szCs w:val="20"/>
          <w:color w:val="auto"/>
        </w:rPr>
      </w:pPr>
      <w:r>
        <w:rPr>
          <w:rFonts w:ascii="Times New Roman" w:cs="Times New Roman" w:eastAsia="Times New Roman" w:hAnsi="Times New Roman"/>
          <w:sz w:val="22"/>
          <w:szCs w:val="22"/>
          <w:color w:val="auto"/>
        </w:rPr>
        <w:t>In communicating material, non-public information to employees of the Company, all officers, directors and employees must take care to emphasize the need for confidential treatment of such information and adherence to the Company’s policies with regard to confidential information.</w:t>
      </w:r>
    </w:p>
    <w:p>
      <w:pPr>
        <w:spacing w:after="0" w:line="55" w:lineRule="exact"/>
        <w:rPr>
          <w:sz w:val="20"/>
          <w:szCs w:val="20"/>
          <w:color w:val="auto"/>
        </w:rPr>
      </w:pPr>
    </w:p>
    <w:p>
      <w:pPr>
        <w:ind w:left="2640" w:hanging="638"/>
        <w:spacing w:after="0"/>
        <w:tabs>
          <w:tab w:leader="none" w:pos="26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Inquiries From Third Parties</w:t>
      </w:r>
    </w:p>
    <w:p>
      <w:pPr>
        <w:spacing w:after="0" w:line="116" w:lineRule="exact"/>
        <w:rPr>
          <w:sz w:val="20"/>
          <w:szCs w:val="20"/>
          <w:color w:val="auto"/>
        </w:rPr>
      </w:pPr>
    </w:p>
    <w:p>
      <w:pPr>
        <w:ind w:left="700" w:right="320" w:firstLine="647"/>
        <w:spacing w:after="0" w:line="271" w:lineRule="auto"/>
        <w:rPr>
          <w:sz w:val="20"/>
          <w:szCs w:val="20"/>
          <w:color w:val="auto"/>
        </w:rPr>
      </w:pPr>
      <w:r>
        <w:rPr>
          <w:rFonts w:ascii="Times New Roman" w:cs="Times New Roman" w:eastAsia="Times New Roman" w:hAnsi="Times New Roman"/>
          <w:sz w:val="22"/>
          <w:szCs w:val="22"/>
          <w:color w:val="auto"/>
        </w:rPr>
        <w:t>Inquiries from third parties, such as industry analysts or members of the media, about the Company should be directed to the Chief Financial Officer or the General Counsel.</w:t>
      </w:r>
    </w:p>
    <w:p>
      <w:pPr>
        <w:spacing w:after="0" w:line="158" w:lineRule="exact"/>
        <w:rPr>
          <w:sz w:val="20"/>
          <w:szCs w:val="20"/>
          <w:color w:val="auto"/>
        </w:rPr>
      </w:pPr>
    </w:p>
    <w:p>
      <w:pPr>
        <w:ind w:left="2000" w:hanging="646"/>
        <w:spacing w:after="0"/>
        <w:tabs>
          <w:tab w:leader="none" w:pos="20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Access to Company Information</w:t>
      </w:r>
    </w:p>
    <w:p>
      <w:pPr>
        <w:spacing w:after="0" w:line="233" w:lineRule="exact"/>
        <w:rPr>
          <w:sz w:val="20"/>
          <w:szCs w:val="20"/>
          <w:color w:val="auto"/>
        </w:rPr>
      </w:pPr>
    </w:p>
    <w:p>
      <w:pPr>
        <w:ind w:left="700" w:right="320" w:firstLine="647"/>
        <w:spacing w:after="0" w:line="271" w:lineRule="auto"/>
        <w:rPr>
          <w:sz w:val="20"/>
          <w:szCs w:val="20"/>
          <w:color w:val="auto"/>
        </w:rPr>
      </w:pPr>
      <w:r>
        <w:rPr>
          <w:rFonts w:ascii="Times New Roman" w:cs="Times New Roman" w:eastAsia="Times New Roman" w:hAnsi="Times New Roman"/>
          <w:sz w:val="22"/>
          <w:szCs w:val="22"/>
          <w:color w:val="auto"/>
        </w:rPr>
        <w:t>The following procedures are designed to maintain confidentiality with respect to the Company’s business operations and activities.</w:t>
      </w:r>
    </w:p>
    <w:p>
      <w:pPr>
        <w:spacing w:after="0" w:line="50" w:lineRule="exact"/>
        <w:rPr>
          <w:sz w:val="20"/>
          <w:szCs w:val="20"/>
          <w:color w:val="auto"/>
        </w:rPr>
      </w:pPr>
    </w:p>
    <w:p>
      <w:pPr>
        <w:ind w:left="700" w:right="320" w:firstLine="647"/>
        <w:spacing w:after="0" w:line="271" w:lineRule="auto"/>
        <w:rPr>
          <w:sz w:val="20"/>
          <w:szCs w:val="20"/>
          <w:color w:val="auto"/>
        </w:rPr>
      </w:pPr>
      <w:r>
        <w:rPr>
          <w:rFonts w:ascii="Times New Roman" w:cs="Times New Roman" w:eastAsia="Times New Roman" w:hAnsi="Times New Roman"/>
          <w:sz w:val="22"/>
          <w:szCs w:val="22"/>
          <w:color w:val="auto"/>
        </w:rPr>
        <w:t>All officers, directors and employees should take all steps and precautions necessary to restrict access to, and secure, material, non-public information by, among other things:</w:t>
      </w:r>
    </w:p>
    <w:p>
      <w:pPr>
        <w:spacing w:after="0" w:line="50" w:lineRule="exact"/>
        <w:rPr>
          <w:sz w:val="20"/>
          <w:szCs w:val="20"/>
          <w:color w:val="auto"/>
        </w:rPr>
      </w:pPr>
    </w:p>
    <w:p>
      <w:pPr>
        <w:ind w:left="2000" w:hanging="322"/>
        <w:spacing w:after="0"/>
        <w:tabs>
          <w:tab w:leader="none" w:pos="20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the confidentiality of Company-related transactions;</w:t>
      </w:r>
    </w:p>
    <w:p>
      <w:pPr>
        <w:spacing w:after="0" w:line="111" w:lineRule="exact"/>
        <w:rPr>
          <w:rFonts w:ascii="Times New Roman" w:cs="Times New Roman" w:eastAsia="Times New Roman" w:hAnsi="Times New Roman"/>
          <w:sz w:val="22"/>
          <w:szCs w:val="22"/>
          <w:color w:val="auto"/>
        </w:rPr>
      </w:pPr>
    </w:p>
    <w:p>
      <w:pPr>
        <w:jc w:val="both"/>
        <w:ind w:left="2000" w:right="300" w:hanging="322"/>
        <w:spacing w:after="0" w:line="263" w:lineRule="auto"/>
        <w:tabs>
          <w:tab w:leader="none" w:pos="199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conducting their business and social activities so as not to risk inadvertent disclosure of confidential information. Review of confidential documents in public places should be conducted so as to prevent access by unauthorized persons;</w:t>
      </w:r>
    </w:p>
    <w:p>
      <w:pPr>
        <w:spacing w:after="0" w:line="59" w:lineRule="exact"/>
        <w:rPr>
          <w:rFonts w:ascii="Times New Roman" w:cs="Times New Roman" w:eastAsia="Times New Roman" w:hAnsi="Times New Roman"/>
          <w:sz w:val="22"/>
          <w:szCs w:val="22"/>
          <w:color w:val="auto"/>
        </w:rPr>
      </w:pPr>
    </w:p>
    <w:p>
      <w:pPr>
        <w:ind w:left="2000" w:right="320" w:hanging="322"/>
        <w:spacing w:after="0" w:line="271" w:lineRule="auto"/>
        <w:tabs>
          <w:tab w:leader="none" w:pos="199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restricting access to documents and files (including computer files) containing material, non-public information to individuals on a need-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hanging="316"/>
        <w:spacing w:after="0"/>
        <w:tabs>
          <w:tab w:leader="none" w:pos="3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color w:val="auto"/>
        </w:rPr>
        <w:t>US-DOCS\139652658.1</w:t>
      </w:r>
    </w:p>
    <w:p>
      <w:pPr>
        <w:sectPr>
          <w:pgSz w:w="11900" w:h="16838" w:orient="portrait"/>
          <w:cols w:equalWidth="0" w:num="1">
            <w:col w:w="11200"/>
          </w:cols>
          <w:pgMar w:left="360" w:top="589"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00" w:right="320"/>
        <w:spacing w:after="0" w:line="271" w:lineRule="auto"/>
        <w:rPr>
          <w:sz w:val="20"/>
          <w:szCs w:val="20"/>
          <w:color w:val="auto"/>
        </w:rPr>
      </w:pPr>
      <w:r>
        <w:rPr>
          <w:rFonts w:ascii="Times New Roman" w:cs="Times New Roman" w:eastAsia="Times New Roman" w:hAnsi="Times New Roman"/>
          <w:sz w:val="22"/>
          <w:szCs w:val="22"/>
          <w:color w:val="auto"/>
        </w:rPr>
        <w:t>to-know basis (including maintaining control over the distribution of documents and drafts of documents);</w:t>
      </w:r>
    </w:p>
    <w:p>
      <w:pPr>
        <w:spacing w:after="0" w:line="50" w:lineRule="exact"/>
        <w:rPr>
          <w:sz w:val="20"/>
          <w:szCs w:val="20"/>
          <w:color w:val="auto"/>
        </w:rPr>
      </w:pPr>
    </w:p>
    <w:p>
      <w:pPr>
        <w:ind w:left="2000" w:right="300" w:hanging="322"/>
        <w:spacing w:after="0" w:line="284" w:lineRule="auto"/>
        <w:tabs>
          <w:tab w:leader="none" w:pos="199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removing and cleaning up all confidential documents and other materials from conference rooms following the conclusion of any meetings;</w:t>
      </w:r>
    </w:p>
    <w:p>
      <w:pPr>
        <w:spacing w:after="0" w:line="35" w:lineRule="exact"/>
        <w:rPr>
          <w:rFonts w:ascii="Times New Roman" w:cs="Times New Roman" w:eastAsia="Times New Roman" w:hAnsi="Times New Roman"/>
          <w:sz w:val="22"/>
          <w:szCs w:val="22"/>
          <w:color w:val="auto"/>
        </w:rPr>
      </w:pPr>
    </w:p>
    <w:p>
      <w:pPr>
        <w:ind w:left="2000" w:right="320" w:hanging="322"/>
        <w:spacing w:after="0" w:line="271" w:lineRule="auto"/>
        <w:tabs>
          <w:tab w:leader="none" w:pos="199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disposing of all confidential documents and other papers, after there is no longer any business or other legally required need, through shredders when appropriate;</w:t>
      </w:r>
    </w:p>
    <w:p>
      <w:pPr>
        <w:spacing w:after="0" w:line="49" w:lineRule="exact"/>
        <w:rPr>
          <w:rFonts w:ascii="Times New Roman" w:cs="Times New Roman" w:eastAsia="Times New Roman" w:hAnsi="Times New Roman"/>
          <w:sz w:val="22"/>
          <w:szCs w:val="22"/>
          <w:color w:val="auto"/>
        </w:rPr>
      </w:pPr>
    </w:p>
    <w:p>
      <w:pPr>
        <w:ind w:left="2000" w:right="300" w:hanging="322"/>
        <w:spacing w:after="0" w:line="271" w:lineRule="auto"/>
        <w:tabs>
          <w:tab w:leader="none" w:pos="199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restricting access to areas likely to contain confidential documents or material, non- public information;</w:t>
      </w:r>
    </w:p>
    <w:p>
      <w:pPr>
        <w:spacing w:after="0" w:line="49" w:lineRule="exact"/>
        <w:rPr>
          <w:rFonts w:ascii="Times New Roman" w:cs="Times New Roman" w:eastAsia="Times New Roman" w:hAnsi="Times New Roman"/>
          <w:sz w:val="22"/>
          <w:szCs w:val="22"/>
          <w:color w:val="auto"/>
        </w:rPr>
      </w:pPr>
    </w:p>
    <w:p>
      <w:pPr>
        <w:ind w:left="2000" w:right="320" w:hanging="322"/>
        <w:spacing w:after="0" w:line="284" w:lineRule="auto"/>
        <w:tabs>
          <w:tab w:leader="none" w:pos="199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safeguarding laptop computers, mobile devices, tablets, memory sticks, CDs and other items that contain confidential information; and</w:t>
      </w:r>
    </w:p>
    <w:p>
      <w:pPr>
        <w:spacing w:after="0" w:line="35" w:lineRule="exact"/>
        <w:rPr>
          <w:rFonts w:ascii="Times New Roman" w:cs="Times New Roman" w:eastAsia="Times New Roman" w:hAnsi="Times New Roman"/>
          <w:sz w:val="22"/>
          <w:szCs w:val="22"/>
          <w:color w:val="auto"/>
        </w:rPr>
      </w:pPr>
    </w:p>
    <w:p>
      <w:pPr>
        <w:ind w:left="2000" w:right="300" w:hanging="322"/>
        <w:spacing w:after="0" w:line="271" w:lineRule="auto"/>
        <w:tabs>
          <w:tab w:leader="none" w:pos="199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avoiding the discussion of material, non-public information in places where the information could be overheard by others such as in elevators, restrooms, hallways, restaurants, airplanes or taxicabs.</w:t>
      </w:r>
    </w:p>
    <w:p>
      <w:pPr>
        <w:spacing w:after="0" w:line="50" w:lineRule="exact"/>
        <w:rPr>
          <w:sz w:val="20"/>
          <w:szCs w:val="20"/>
          <w:color w:val="auto"/>
        </w:rPr>
      </w:pPr>
    </w:p>
    <w:p>
      <w:pPr>
        <w:ind w:left="700" w:right="300" w:firstLine="647"/>
        <w:spacing w:after="0" w:line="271" w:lineRule="auto"/>
        <w:rPr>
          <w:sz w:val="20"/>
          <w:szCs w:val="20"/>
          <w:color w:val="auto"/>
        </w:rPr>
      </w:pPr>
      <w:r>
        <w:rPr>
          <w:rFonts w:ascii="Times New Roman" w:cs="Times New Roman" w:eastAsia="Times New Roman" w:hAnsi="Times New Roman"/>
          <w:sz w:val="22"/>
          <w:szCs w:val="22"/>
          <w:color w:val="auto"/>
        </w:rPr>
        <w:t>Personnel involved with material, non-public information, to the extent feasible, should conduct their business and activities in areas separate from other Company activities.</w:t>
      </w:r>
    </w:p>
    <w:p>
      <w:pPr>
        <w:spacing w:after="0" w:line="262" w:lineRule="exact"/>
        <w:rPr>
          <w:sz w:val="20"/>
          <w:szCs w:val="20"/>
          <w:color w:val="auto"/>
        </w:rPr>
      </w:pPr>
    </w:p>
    <w:p>
      <w:pPr>
        <w:ind w:left="1320" w:hanging="614"/>
        <w:spacing w:after="0"/>
        <w:tabs>
          <w:tab w:leader="none" w:pos="132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Prohibited Transactions</w:t>
      </w:r>
    </w:p>
    <w:p>
      <w:pPr>
        <w:spacing w:after="0" w:line="264" w:lineRule="exact"/>
        <w:rPr>
          <w:sz w:val="20"/>
          <w:szCs w:val="20"/>
          <w:color w:val="auto"/>
        </w:rPr>
      </w:pPr>
    </w:p>
    <w:p>
      <w:pPr>
        <w:jc w:val="both"/>
        <w:ind w:left="700" w:right="320" w:firstLine="647"/>
        <w:spacing w:after="0" w:line="256" w:lineRule="auto"/>
        <w:rPr>
          <w:sz w:val="20"/>
          <w:szCs w:val="20"/>
          <w:color w:val="auto"/>
        </w:rPr>
      </w:pPr>
      <w:r>
        <w:rPr>
          <w:rFonts w:ascii="Times New Roman" w:cs="Times New Roman" w:eastAsia="Times New Roman" w:hAnsi="Times New Roman"/>
          <w:sz w:val="22"/>
          <w:szCs w:val="22"/>
          <w:color w:val="auto"/>
        </w:rPr>
        <w:t>The Company has determined that there is a heightened legal risk and/or the appearance of improper or inappropriate conduct if the persons subject to this Policy engage in certain types of transactions. Therefore, officers, directors and employees shall comply with the following policies with respect to certain transactions in the Company securities:</w:t>
      </w:r>
    </w:p>
    <w:p>
      <w:pPr>
        <w:spacing w:after="0" w:line="176" w:lineRule="exact"/>
        <w:rPr>
          <w:sz w:val="20"/>
          <w:szCs w:val="20"/>
          <w:color w:val="auto"/>
        </w:rPr>
      </w:pPr>
    </w:p>
    <w:p>
      <w:pPr>
        <w:ind w:left="2000" w:hanging="646"/>
        <w:spacing w:after="0"/>
        <w:tabs>
          <w:tab w:leader="none" w:pos="20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 Sales</w:t>
      </w:r>
    </w:p>
    <w:p>
      <w:pPr>
        <w:spacing w:after="0" w:line="220" w:lineRule="exact"/>
        <w:rPr>
          <w:sz w:val="20"/>
          <w:szCs w:val="20"/>
          <w:color w:val="auto"/>
        </w:rPr>
      </w:pPr>
    </w:p>
    <w:p>
      <w:pPr>
        <w:jc w:val="both"/>
        <w:ind w:left="700" w:right="300" w:firstLine="647"/>
        <w:spacing w:after="0" w:line="250" w:lineRule="auto"/>
        <w:rPr>
          <w:sz w:val="20"/>
          <w:szCs w:val="20"/>
          <w:color w:val="auto"/>
        </w:rPr>
      </w:pPr>
      <w:r>
        <w:rPr>
          <w:rFonts w:ascii="Times New Roman" w:cs="Times New Roman" w:eastAsia="Times New Roman" w:hAnsi="Times New Roman"/>
          <w:sz w:val="22"/>
          <w:szCs w:val="22"/>
          <w:color w:val="auto"/>
        </w:rPr>
        <w:t xml:space="preserve">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1934 Act absolutely prohibits Section 16 reporting persons (i.e., directors, certain officers and the Company’s 10% stockholders) from making short sales of the Company’s equity securities,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sales of shares that the insider does not own at the time of sale, or sales of shares against which the insider does not deliver the shares within 20 days after the sale.</w:t>
      </w:r>
    </w:p>
    <w:p>
      <w:pPr>
        <w:spacing w:after="0" w:line="187" w:lineRule="exact"/>
        <w:rPr>
          <w:sz w:val="20"/>
          <w:szCs w:val="20"/>
          <w:color w:val="auto"/>
        </w:rPr>
      </w:pPr>
    </w:p>
    <w:p>
      <w:pPr>
        <w:ind w:left="2000" w:hanging="646"/>
        <w:spacing w:after="0"/>
        <w:tabs>
          <w:tab w:leader="none" w:pos="20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20" w:hanging="316"/>
        <w:spacing w:after="0"/>
        <w:tabs>
          <w:tab w:leader="none" w:pos="3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color w:val="auto"/>
        </w:rPr>
        <w:t>US-DOCS\139652658.1</w:t>
      </w:r>
    </w:p>
    <w:p>
      <w:pPr>
        <w:sectPr>
          <w:pgSz w:w="11900" w:h="16838" w:orient="portrait"/>
          <w:cols w:equalWidth="0" w:num="1">
            <w:col w:w="11200"/>
          </w:cols>
          <w:pgMar w:left="360" w:top="589"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700" w:right="300" w:firstLine="647"/>
        <w:spacing w:after="0" w:line="250" w:lineRule="auto"/>
        <w:rPr>
          <w:sz w:val="20"/>
          <w:szCs w:val="20"/>
          <w:color w:val="auto"/>
        </w:rPr>
      </w:pPr>
      <w:r>
        <w:rPr>
          <w:rFonts w:ascii="Times New Roman" w:cs="Times New Roman" w:eastAsia="Times New Roman" w:hAnsi="Times New Roman"/>
          <w:sz w:val="22"/>
          <w:szCs w:val="22"/>
          <w:color w:val="auto"/>
        </w:rPr>
        <w:t>A transaction in options is, in effect, a bet on the short-term movement of the Company’s stock and therefore creates the appearance that an officer, director or employee is trading based on inside information. Transactions in options, whether traded on an exchange, on any other organized market or on an over-the-counter market, also may focus an officer’s, director’s or employee’s attention on short-term performance at the expense of the Company’s long-term objectives. Accordingly, transactions in puts, calls or other derivative securities involving the Company’s equity securities, on an exchange, on or in any other organized market or on an over-the-counter market, are prohibited by this Policy.</w:t>
      </w:r>
    </w:p>
    <w:p>
      <w:pPr>
        <w:spacing w:after="0" w:line="194" w:lineRule="exact"/>
        <w:rPr>
          <w:sz w:val="20"/>
          <w:szCs w:val="20"/>
          <w:color w:val="auto"/>
        </w:rPr>
      </w:pPr>
    </w:p>
    <w:p>
      <w:pPr>
        <w:ind w:left="2000" w:hanging="646"/>
        <w:spacing w:after="0"/>
        <w:tabs>
          <w:tab w:leader="none" w:pos="20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Hedging Transactions</w:t>
      </w:r>
    </w:p>
    <w:p>
      <w:pPr>
        <w:spacing w:after="0" w:line="220" w:lineRule="exact"/>
        <w:rPr>
          <w:sz w:val="20"/>
          <w:szCs w:val="20"/>
          <w:color w:val="auto"/>
        </w:rPr>
      </w:pPr>
    </w:p>
    <w:p>
      <w:pPr>
        <w:jc w:val="both"/>
        <w:ind w:left="700" w:right="300" w:firstLine="647"/>
        <w:spacing w:after="0" w:line="251" w:lineRule="auto"/>
        <w:rPr>
          <w:sz w:val="20"/>
          <w:szCs w:val="20"/>
          <w:color w:val="auto"/>
        </w:rPr>
      </w:pPr>
      <w:r>
        <w:rPr>
          <w:rFonts w:ascii="Times New Roman" w:cs="Times New Roman" w:eastAsia="Times New Roman" w:hAnsi="Times New Roman"/>
          <w:sz w:val="22"/>
          <w:szCs w:val="22"/>
          <w:color w:val="auto"/>
        </w:rPr>
        <w:t>Purchasing financial instruments, such as prepaid variable forward contracts, equity swaps, collars, and exchange funds, or otherwise engaging in transactions that hedge or offset, or are designed to hedge or offset, any decrease in the market value of the Company’s equity securities, may cause an officer, director, or employee to no longer have the same objectives as the Company’s other stockholders. Therefore, all such transactions involving the Company’s equity securities, whether such securities were granted as compensation or are otherwise held, directly or indirectly, are prohibited by this Policy.</w:t>
      </w:r>
    </w:p>
    <w:p>
      <w:pPr>
        <w:spacing w:after="0" w:line="181" w:lineRule="exact"/>
        <w:rPr>
          <w:sz w:val="20"/>
          <w:szCs w:val="20"/>
          <w:color w:val="auto"/>
        </w:rPr>
      </w:pPr>
    </w:p>
    <w:p>
      <w:pPr>
        <w:ind w:left="2000" w:right="880" w:hanging="646"/>
        <w:spacing w:after="0" w:line="271" w:lineRule="auto"/>
        <w:tabs>
          <w:tab w:leader="none" w:pos="199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Purchases of the Company’s Securities on Margin; Pledging the Company’s Securities to Secure Margin or Other Loans</w:t>
      </w:r>
    </w:p>
    <w:p>
      <w:pPr>
        <w:spacing w:after="0" w:line="158" w:lineRule="exact"/>
        <w:rPr>
          <w:sz w:val="20"/>
          <w:szCs w:val="20"/>
          <w:color w:val="auto"/>
        </w:rPr>
      </w:pPr>
    </w:p>
    <w:p>
      <w:pPr>
        <w:jc w:val="both"/>
        <w:ind w:left="700" w:right="320" w:firstLine="647"/>
        <w:spacing w:after="0" w:line="272" w:lineRule="auto"/>
        <w:rPr>
          <w:sz w:val="20"/>
          <w:szCs w:val="20"/>
          <w:color w:val="auto"/>
        </w:rPr>
      </w:pPr>
      <w:r>
        <w:rPr>
          <w:rFonts w:ascii="Times New Roman" w:cs="Times New Roman" w:eastAsia="Times New Roman" w:hAnsi="Times New Roman"/>
          <w:sz w:val="21"/>
          <w:szCs w:val="21"/>
          <w:color w:val="auto"/>
        </w:rPr>
        <w:t>Purchasing on margin means borrowing from a brokerage firm, bank or other entity in order to purchase the Company’s securities (other than in connection with a cashless exercise of stock options through a broker under the Company’s equity plans). Margin purchases of the Company’s securities are prohibited by this Policy. Pledging the Company’s securities as collateral to secure loans is prohibited. This prohibition means, among other things, that you</w:t>
      </w:r>
    </w:p>
    <w:p>
      <w:pPr>
        <w:spacing w:after="0" w:line="12" w:lineRule="exact"/>
        <w:rPr>
          <w:sz w:val="20"/>
          <w:szCs w:val="20"/>
          <w:color w:val="auto"/>
        </w:rPr>
      </w:pPr>
    </w:p>
    <w:p>
      <w:pPr>
        <w:ind w:left="700" w:right="100"/>
        <w:spacing w:after="0" w:line="284" w:lineRule="auto"/>
        <w:rPr>
          <w:sz w:val="20"/>
          <w:szCs w:val="20"/>
          <w:color w:val="auto"/>
        </w:rPr>
      </w:pPr>
      <w:r>
        <w:rPr>
          <w:rFonts w:ascii="Times New Roman" w:cs="Times New Roman" w:eastAsia="Times New Roman" w:hAnsi="Times New Roman"/>
          <w:sz w:val="22"/>
          <w:szCs w:val="22"/>
          <w:color w:val="auto"/>
        </w:rPr>
        <w:t>cannot hold the Company’s securities in a “margin account” (which would allow you to borrow against your holdings to buy securities).</w:t>
      </w:r>
    </w:p>
    <w:p>
      <w:pPr>
        <w:spacing w:after="0" w:line="144" w:lineRule="exact"/>
        <w:rPr>
          <w:sz w:val="20"/>
          <w:szCs w:val="20"/>
          <w:color w:val="auto"/>
        </w:rPr>
      </w:pPr>
    </w:p>
    <w:p>
      <w:pPr>
        <w:ind w:left="2000" w:hanging="646"/>
        <w:spacing w:after="0"/>
        <w:tabs>
          <w:tab w:leader="none" w:pos="20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Partnership Distributions</w:t>
      </w:r>
    </w:p>
    <w:p>
      <w:pPr>
        <w:spacing w:after="0" w:line="220" w:lineRule="exact"/>
        <w:rPr>
          <w:sz w:val="20"/>
          <w:szCs w:val="20"/>
          <w:color w:val="auto"/>
        </w:rPr>
      </w:pPr>
    </w:p>
    <w:p>
      <w:pPr>
        <w:jc w:val="both"/>
        <w:ind w:left="700" w:right="300" w:firstLine="647"/>
        <w:spacing w:after="0" w:line="253" w:lineRule="auto"/>
        <w:rPr>
          <w:sz w:val="20"/>
          <w:szCs w:val="20"/>
          <w:color w:val="auto"/>
        </w:rPr>
      </w:pPr>
      <w:r>
        <w:rPr>
          <w:rFonts w:ascii="Times New Roman" w:cs="Times New Roman" w:eastAsia="Times New Roman" w:hAnsi="Times New Roman"/>
          <w:sz w:val="22"/>
          <w:szCs w:val="22"/>
          <w:color w:val="auto"/>
        </w:rPr>
        <w:t>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75" w:lineRule="exact"/>
        <w:rPr>
          <w:sz w:val="20"/>
          <w:szCs w:val="20"/>
          <w:color w:val="auto"/>
        </w:rPr>
      </w:pPr>
    </w:p>
    <w:p>
      <w:pPr>
        <w:ind w:left="70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color w:val="auto"/>
        </w:rPr>
        <w:t>Rule 10b5-1 Trading Plans</w:t>
      </w:r>
    </w:p>
    <w:p>
      <w:pPr>
        <w:spacing w:after="0" w:line="278" w:lineRule="exact"/>
        <w:rPr>
          <w:sz w:val="20"/>
          <w:szCs w:val="20"/>
          <w:color w:val="auto"/>
        </w:rPr>
      </w:pPr>
    </w:p>
    <w:p>
      <w:pPr>
        <w:ind w:left="2000" w:hanging="646"/>
        <w:spacing w:after="0"/>
        <w:tabs>
          <w:tab w:leader="none" w:pos="20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Overview</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20" w:hanging="316"/>
        <w:spacing w:after="0"/>
        <w:tabs>
          <w:tab w:leader="none" w:pos="32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color w:val="auto"/>
        </w:rPr>
        <w:t>US-DOCS\139652658.1</w:t>
      </w:r>
    </w:p>
    <w:p>
      <w:pPr>
        <w:sectPr>
          <w:pgSz w:w="11900" w:h="16838" w:orient="portrait"/>
          <w:cols w:equalWidth="0" w:num="1">
            <w:col w:w="11200"/>
          </w:cols>
          <w:pgMar w:left="360" w:top="589"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700" w:right="300" w:firstLine="647"/>
        <w:spacing w:after="0" w:line="248" w:lineRule="auto"/>
        <w:rPr>
          <w:sz w:val="20"/>
          <w:szCs w:val="20"/>
          <w:color w:val="auto"/>
        </w:rPr>
      </w:pPr>
      <w:r>
        <w:rPr>
          <w:rFonts w:ascii="Times New Roman" w:cs="Times New Roman" w:eastAsia="Times New Roman" w:hAnsi="Times New Roman"/>
          <w:sz w:val="22"/>
          <w:szCs w:val="22"/>
          <w:color w:val="auto"/>
        </w:rPr>
        <w:t>Rule 10b5-1 presents an opportunity for insiders to establish arrangements to sell (or purchase) Company stock without the restrictions of trading windows and black-out periods, even when there is undisclosed material information. Rule 10b5-1 will protect directors, officers and employees from insider trading liability under Rule 10b5-1 for transactions under a previously established contract, plan or instruction to trade in the Company’s stock entered into in good faith and in accordance with the terms of Rule 10b5-1 (a “</w:t>
      </w:r>
      <w:r>
        <w:rPr>
          <w:rFonts w:ascii="Times New Roman" w:cs="Times New Roman" w:eastAsia="Times New Roman" w:hAnsi="Times New Roman"/>
          <w:sz w:val="22"/>
          <w:szCs w:val="22"/>
          <w:b w:val="1"/>
          <w:bCs w:val="1"/>
          <w:i w:val="1"/>
          <w:iCs w:val="1"/>
          <w:color w:val="auto"/>
        </w:rPr>
        <w:t>Trading Plan</w:t>
      </w:r>
      <w:r>
        <w:rPr>
          <w:rFonts w:ascii="Times New Roman" w:cs="Times New Roman" w:eastAsia="Times New Roman" w:hAnsi="Times New Roman"/>
          <w:sz w:val="22"/>
          <w:szCs w:val="22"/>
          <w:color w:val="auto"/>
        </w:rPr>
        <w:t>”) and will be exempt from the trading restrictions set forth in this Policy. Each such Trading Plan, and any proposed modification or termination thereof, must be submitted to and pre-approved by the Company’s General Counsel, or such other person as the Board of Directors may designate from time to time (the “</w:t>
      </w:r>
      <w:r>
        <w:rPr>
          <w:rFonts w:ascii="Times New Roman" w:cs="Times New Roman" w:eastAsia="Times New Roman" w:hAnsi="Times New Roman"/>
          <w:sz w:val="22"/>
          <w:szCs w:val="22"/>
          <w:b w:val="1"/>
          <w:bCs w:val="1"/>
          <w:i w:val="1"/>
          <w:iCs w:val="1"/>
          <w:color w:val="auto"/>
        </w:rPr>
        <w:t>Authorizing Officer</w:t>
      </w:r>
      <w:r>
        <w:rPr>
          <w:rFonts w:ascii="Times New Roman" w:cs="Times New Roman" w:eastAsia="Times New Roman" w:hAnsi="Times New Roman"/>
          <w:sz w:val="22"/>
          <w:szCs w:val="22"/>
          <w:color w:val="auto"/>
        </w:rPr>
        <w:t>”), who may impose such conditions on the implementation and operation of the Trading Plan as the Authorizing Officer deems necessary or advisable. However, compliance of the Trading Plan to the terms of Rule 10b5-1 and the execution of transactions pursuant to the Trading Plan are the sole responsibility of the person initiating the Trading Plan, not the Company or the Authorizing Officer.</w:t>
      </w:r>
    </w:p>
    <w:p>
      <w:pPr>
        <w:spacing w:after="0" w:line="72" w:lineRule="exact"/>
        <w:rPr>
          <w:sz w:val="20"/>
          <w:szCs w:val="20"/>
          <w:color w:val="auto"/>
        </w:rPr>
      </w:pPr>
    </w:p>
    <w:p>
      <w:pPr>
        <w:jc w:val="both"/>
        <w:ind w:left="700" w:right="740" w:firstLine="647"/>
        <w:spacing w:after="0" w:line="258" w:lineRule="auto"/>
        <w:rPr>
          <w:sz w:val="20"/>
          <w:szCs w:val="20"/>
          <w:color w:val="auto"/>
        </w:rPr>
      </w:pPr>
      <w:r>
        <w:rPr>
          <w:rFonts w:ascii="Times New Roman" w:cs="Times New Roman" w:eastAsia="Times New Roman" w:hAnsi="Times New Roman"/>
          <w:sz w:val="22"/>
          <w:szCs w:val="22"/>
          <w:b w:val="1"/>
          <w:bCs w:val="1"/>
          <w:color w:val="auto"/>
        </w:rPr>
        <w:t>Trading Plans do not exempt individuals subject to Section 16 of the 1934 Act from complying with Section 16 reporting obligations or from short-swing profit rules or liability. Furthermore, a Trading Plan only provides an “affirmative defense” in the event there is an insider trading lawsuit. It does not prevent someone from bringing a lawsuit.</w:t>
      </w:r>
    </w:p>
    <w:p>
      <w:pPr>
        <w:spacing w:after="0" w:line="64" w:lineRule="exact"/>
        <w:rPr>
          <w:sz w:val="20"/>
          <w:szCs w:val="20"/>
          <w:color w:val="auto"/>
        </w:rPr>
      </w:pPr>
    </w:p>
    <w:p>
      <w:pPr>
        <w:jc w:val="both"/>
        <w:ind w:left="700" w:right="300" w:firstLine="647"/>
        <w:spacing w:after="0" w:line="248" w:lineRule="auto"/>
        <w:rPr>
          <w:sz w:val="20"/>
          <w:szCs w:val="20"/>
          <w:color w:val="auto"/>
        </w:rPr>
      </w:pPr>
      <w:r>
        <w:rPr>
          <w:rFonts w:ascii="Times New Roman" w:cs="Times New Roman" w:eastAsia="Times New Roman" w:hAnsi="Times New Roman"/>
          <w:sz w:val="22"/>
          <w:szCs w:val="22"/>
          <w:color w:val="auto"/>
        </w:rPr>
        <w:t>A director, officer or employee may enter into a Trading Plan only when he or she is not in possession of material, non-public information, and only during a trading window period outside of the trading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 Form 4. However, the ultimate responsibility, and liability, for timely filing remains with the Section 16 reporting person. 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w:t>
      </w:r>
    </w:p>
    <w:p>
      <w:pPr>
        <w:spacing w:after="0" w:line="54" w:lineRule="exact"/>
        <w:rPr>
          <w:sz w:val="20"/>
          <w:szCs w:val="20"/>
          <w:color w:val="auto"/>
        </w:rPr>
      </w:pPr>
    </w:p>
    <w:p>
      <w:pPr>
        <w:jc w:val="both"/>
        <w:ind w:left="700" w:right="320"/>
        <w:spacing w:after="0" w:line="271" w:lineRule="auto"/>
        <w:rPr>
          <w:sz w:val="20"/>
          <w:szCs w:val="20"/>
          <w:color w:val="auto"/>
        </w:rPr>
      </w:pPr>
      <w:r>
        <w:rPr>
          <w:rFonts w:ascii="Times New Roman" w:cs="Times New Roman" w:eastAsia="Times New Roman" w:hAnsi="Times New Roman"/>
          <w:sz w:val="22"/>
          <w:szCs w:val="22"/>
          <w:color w:val="auto"/>
        </w:rPr>
        <w:t>transactions in the Company’s securities. Failure to discontinue purchases and sales as directed shall constitute a violation of the terms of this Section VI and result in a loss of the exemption set forth herein.</w:t>
      </w:r>
    </w:p>
    <w:p>
      <w:pPr>
        <w:spacing w:after="0" w:line="50" w:lineRule="exact"/>
        <w:rPr>
          <w:sz w:val="20"/>
          <w:szCs w:val="20"/>
          <w:color w:val="auto"/>
        </w:rPr>
      </w:pPr>
    </w:p>
    <w:p>
      <w:pPr>
        <w:jc w:val="both"/>
        <w:ind w:left="700" w:right="300" w:firstLine="647"/>
        <w:spacing w:after="0" w:line="256" w:lineRule="auto"/>
        <w:rPr>
          <w:sz w:val="20"/>
          <w:szCs w:val="20"/>
          <w:color w:val="auto"/>
        </w:rPr>
      </w:pPr>
      <w:r>
        <w:rPr>
          <w:rFonts w:ascii="Times New Roman" w:cs="Times New Roman" w:eastAsia="Times New Roman" w:hAnsi="Times New Roman"/>
          <w:sz w:val="22"/>
          <w:szCs w:val="22"/>
          <w:color w:val="auto"/>
        </w:rPr>
        <w:t>Officers, directors and employees may adopt Trading Plans with brokers that outline a pre- set plan for trading of the Company’s stock, including the exercise of options. Trades pursuant to a Trading Plan generally may occur at any time. However, the Trading Plan must include a minimum “cooling-off period” between the establishment of a Trading Plan and commencement of any transactions under such plan for: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hanging="316"/>
        <w:spacing w:after="0"/>
        <w:tabs>
          <w:tab w:leader="none" w:pos="3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color w:val="auto"/>
        </w:rPr>
        <w:t>US-DOCS\139652658.1</w:t>
      </w:r>
    </w:p>
    <w:p>
      <w:pPr>
        <w:sectPr>
          <w:pgSz w:w="11900" w:h="16838" w:orient="portrait"/>
          <w:cols w:equalWidth="0" w:num="1">
            <w:col w:w="11200"/>
          </w:cols>
          <w:pgMar w:left="360" w:top="589"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360" w:right="300" w:hanging="330"/>
        <w:spacing w:after="0" w:line="263" w:lineRule="auto"/>
        <w:tabs>
          <w:tab w:leader="none" w:pos="135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16 reporting persons that extends to the later of 90 days after adoption or modification of a Trading Plan or two business days after filing the Form 10-K or Form 10-Q covering the fiscal quarter in which the Trading Plan was adopted or modified, as applicable, up to a maximum of 120 days; and</w:t>
      </w:r>
    </w:p>
    <w:p>
      <w:pPr>
        <w:spacing w:after="0" w:line="59" w:lineRule="exact"/>
        <w:rPr>
          <w:rFonts w:ascii="Times New Roman" w:cs="Times New Roman" w:eastAsia="Times New Roman" w:hAnsi="Times New Roman"/>
          <w:sz w:val="22"/>
          <w:szCs w:val="22"/>
          <w:color w:val="auto"/>
        </w:rPr>
      </w:pPr>
    </w:p>
    <w:p>
      <w:pPr>
        <w:ind w:left="1360" w:right="320" w:hanging="330"/>
        <w:spacing w:after="0" w:line="271" w:lineRule="auto"/>
        <w:tabs>
          <w:tab w:leader="none" w:pos="135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who are not Section 16 reporting persons and any other persons, other than the Company, that extends 30 days after adoption or modification of a Trading Plan.</w:t>
      </w:r>
    </w:p>
    <w:p>
      <w:pPr>
        <w:spacing w:after="0" w:line="50" w:lineRule="exact"/>
        <w:rPr>
          <w:sz w:val="20"/>
          <w:szCs w:val="20"/>
          <w:color w:val="auto"/>
        </w:rPr>
      </w:pPr>
    </w:p>
    <w:p>
      <w:pPr>
        <w:jc w:val="both"/>
        <w:ind w:left="700" w:right="320" w:firstLine="647"/>
        <w:spacing w:after="0" w:line="271" w:lineRule="auto"/>
        <w:rPr>
          <w:sz w:val="20"/>
          <w:szCs w:val="20"/>
          <w:color w:val="auto"/>
        </w:rPr>
      </w:pPr>
      <w:r>
        <w:rPr>
          <w:rFonts w:ascii="Times New Roman" w:cs="Times New Roman" w:eastAsia="Times New Roman" w:hAnsi="Times New Roman"/>
          <w:sz w:val="22"/>
          <w:szCs w:val="22"/>
          <w:color w:val="auto"/>
        </w:rPr>
        <w:t>Individuals may not adopt more than one Trading Plan at a time except under the limited circumstances permitted by Rule 10b5-1 and subject to pre-approval by the Authorizing Officer.</w:t>
      </w:r>
    </w:p>
    <w:p>
      <w:pPr>
        <w:spacing w:after="0" w:line="50" w:lineRule="exact"/>
        <w:rPr>
          <w:sz w:val="20"/>
          <w:szCs w:val="20"/>
          <w:color w:val="auto"/>
        </w:rPr>
      </w:pPr>
    </w:p>
    <w:p>
      <w:pPr>
        <w:jc w:val="both"/>
        <w:ind w:left="700" w:right="300" w:firstLine="647"/>
        <w:spacing w:after="0" w:line="256" w:lineRule="auto"/>
        <w:rPr>
          <w:sz w:val="20"/>
          <w:szCs w:val="20"/>
          <w:color w:val="auto"/>
        </w:rPr>
      </w:pPr>
      <w:r>
        <w:rPr>
          <w:rFonts w:ascii="Times New Roman" w:cs="Times New Roman" w:eastAsia="Times New Roman" w:hAnsi="Times New Roman"/>
          <w:sz w:val="22"/>
          <w:szCs w:val="22"/>
          <w:color w:val="auto"/>
        </w:rPr>
        <w:t>For clarity, the requirements of this Section VI.A do not apply to any Trading Plan entered into by a private equity firm or other similar entity with which a director is affiliated. It is the responsibility of each such private equity firm or other entity, in consultation with their own counsel (as appropriate), to comply with applicable securities laws in connection with any Trading Plan.</w:t>
      </w:r>
    </w:p>
    <w:p>
      <w:pPr>
        <w:spacing w:after="0" w:line="176" w:lineRule="exact"/>
        <w:rPr>
          <w:sz w:val="20"/>
          <w:szCs w:val="20"/>
          <w:color w:val="auto"/>
        </w:rPr>
      </w:pPr>
    </w:p>
    <w:p>
      <w:pPr>
        <w:ind w:left="2000" w:hanging="646"/>
        <w:spacing w:after="0"/>
        <w:tabs>
          <w:tab w:leader="none" w:pos="20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and Modifications to Trading Plans</w:t>
      </w:r>
    </w:p>
    <w:p>
      <w:pPr>
        <w:spacing w:after="0" w:line="220" w:lineRule="exact"/>
        <w:rPr>
          <w:sz w:val="20"/>
          <w:szCs w:val="20"/>
          <w:color w:val="auto"/>
        </w:rPr>
      </w:pPr>
    </w:p>
    <w:p>
      <w:pPr>
        <w:jc w:val="both"/>
        <w:ind w:left="700" w:right="300" w:firstLine="647"/>
        <w:spacing w:after="0" w:line="263" w:lineRule="auto"/>
        <w:rPr>
          <w:sz w:val="20"/>
          <w:szCs w:val="20"/>
          <w:color w:val="auto"/>
        </w:rPr>
      </w:pPr>
      <w:r>
        <w:rPr>
          <w:rFonts w:ascii="Times New Roman" w:cs="Times New Roman" w:eastAsia="Times New Roman" w:hAnsi="Times New Roman"/>
          <w:sz w:val="22"/>
          <w:szCs w:val="22"/>
          <w:color w:val="auto"/>
        </w:rPr>
        <w:t>Termination of Trading Plans should occur only in unusual circumstances and if the person terminating the plan is acting in good faith. Effectiveness of any termination or modification of a Trading Plan will be subject to the prior review and approval of the Authorizing Officer. Termination is effected upon written notice to the broker.</w:t>
      </w:r>
    </w:p>
    <w:p>
      <w:pPr>
        <w:spacing w:after="0" w:line="59" w:lineRule="exact"/>
        <w:rPr>
          <w:sz w:val="20"/>
          <w:szCs w:val="20"/>
          <w:color w:val="auto"/>
        </w:rPr>
      </w:pPr>
    </w:p>
    <w:p>
      <w:pPr>
        <w:jc w:val="both"/>
        <w:ind w:left="700" w:right="300" w:firstLine="647"/>
        <w:spacing w:after="0" w:line="253" w:lineRule="auto"/>
        <w:rPr>
          <w:sz w:val="20"/>
          <w:szCs w:val="20"/>
          <w:color w:val="auto"/>
        </w:rPr>
      </w:pPr>
      <w:r>
        <w:rPr>
          <w:rFonts w:ascii="Times New Roman" w:cs="Times New Roman" w:eastAsia="Times New Roman" w:hAnsi="Times New Roman"/>
          <w:sz w:val="22"/>
          <w:szCs w:val="22"/>
          <w:color w:val="auto"/>
        </w:rPr>
        <w:t>A person acting in good faith may modify a prior Trading Plan so long as such modifications are made outside of a quarterly trading black-out period and at a time when the Trading Plan participant does not possess material, non-public information. Modifications to a Trading Plan are subject to pre-approval by the Authorizing Officer and modifications of a Trading Plan that change the amount, price, or timing of the purchase or sale of the securities underlying a Trading Plan will trigger a new cooling-off period (as described in Section VI.A above).</w:t>
      </w:r>
    </w:p>
    <w:p>
      <w:pPr>
        <w:spacing w:after="0" w:line="67" w:lineRule="exact"/>
        <w:rPr>
          <w:sz w:val="20"/>
          <w:szCs w:val="20"/>
          <w:color w:val="auto"/>
        </w:rPr>
      </w:pPr>
    </w:p>
    <w:p>
      <w:pPr>
        <w:jc w:val="both"/>
        <w:ind w:left="700" w:right="300" w:firstLine="647"/>
        <w:spacing w:after="0" w:line="274" w:lineRule="auto"/>
        <w:rPr>
          <w:sz w:val="20"/>
          <w:szCs w:val="20"/>
          <w:color w:val="auto"/>
        </w:rPr>
      </w:pPr>
      <w:r>
        <w:rPr>
          <w:rFonts w:ascii="Times New Roman" w:cs="Times New Roman" w:eastAsia="Times New Roman" w:hAnsi="Times New Roman"/>
          <w:sz w:val="21"/>
          <w:szCs w:val="21"/>
          <w:color w:val="auto"/>
        </w:rPr>
        <w:t xml:space="preserve">Under certain circumstances, a Trading Plan </w:t>
      </w:r>
      <w:r>
        <w:rPr>
          <w:rFonts w:ascii="Times New Roman" w:cs="Times New Roman" w:eastAsia="Times New Roman" w:hAnsi="Times New Roman"/>
          <w:sz w:val="21"/>
          <w:szCs w:val="21"/>
          <w:i w:val="1"/>
          <w:iCs w:val="1"/>
          <w:color w:val="auto"/>
        </w:rPr>
        <w:t>must</w:t>
      </w:r>
      <w:r>
        <w:rPr>
          <w:rFonts w:ascii="Times New Roman" w:cs="Times New Roman" w:eastAsia="Times New Roman" w:hAnsi="Times New Roman"/>
          <w:sz w:val="21"/>
          <w:szCs w:val="21"/>
          <w:color w:val="auto"/>
        </w:rPr>
        <w:t xml:space="preserve"> be terminated.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revocation.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0" w:hanging="316"/>
        <w:spacing w:after="0"/>
        <w:tabs>
          <w:tab w:leader="none" w:pos="3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color w:val="auto"/>
        </w:rPr>
        <w:t>US-DOCS\139652658.1</w:t>
      </w:r>
    </w:p>
    <w:p>
      <w:pPr>
        <w:sectPr>
          <w:pgSz w:w="11900" w:h="16838" w:orient="portrait"/>
          <w:cols w:equalWidth="0" w:num="1">
            <w:col w:w="11200"/>
          </w:cols>
          <w:pgMar w:left="360" w:top="589"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0" w:hanging="646"/>
        <w:spacing w:after="0"/>
        <w:tabs>
          <w:tab w:leader="none" w:pos="20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Plans</w:t>
      </w:r>
    </w:p>
    <w:p>
      <w:pPr>
        <w:spacing w:after="0" w:line="220" w:lineRule="exact"/>
        <w:rPr>
          <w:sz w:val="20"/>
          <w:szCs w:val="20"/>
          <w:color w:val="auto"/>
        </w:rPr>
      </w:pPr>
    </w:p>
    <w:p>
      <w:pPr>
        <w:jc w:val="both"/>
        <w:ind w:left="700" w:right="300" w:firstLine="647"/>
        <w:spacing w:after="0" w:line="271" w:lineRule="auto"/>
        <w:rPr>
          <w:sz w:val="20"/>
          <w:szCs w:val="20"/>
          <w:color w:val="auto"/>
        </w:rPr>
      </w:pPr>
      <w:r>
        <w:rPr>
          <w:rFonts w:ascii="Times New Roman" w:cs="Times New Roman" w:eastAsia="Times New Roman" w:hAnsi="Times New Roman"/>
          <w:sz w:val="22"/>
          <w:szCs w:val="22"/>
          <w:color w:val="auto"/>
        </w:rPr>
        <w:t>Although non-discretionary Trading Plans are preferred, discretionary Trading Plans, where the discretion or control over trading is transferred to a broker, are permitted if pre-approved by the Authorizing Officer.</w:t>
      </w:r>
    </w:p>
    <w:p>
      <w:pPr>
        <w:spacing w:after="0" w:line="50" w:lineRule="exact"/>
        <w:rPr>
          <w:sz w:val="20"/>
          <w:szCs w:val="20"/>
          <w:color w:val="auto"/>
        </w:rPr>
      </w:pPr>
    </w:p>
    <w:p>
      <w:pPr>
        <w:jc w:val="both"/>
        <w:ind w:left="700" w:right="300" w:firstLine="647"/>
        <w:spacing w:after="0" w:line="253" w:lineRule="auto"/>
        <w:rPr>
          <w:sz w:val="20"/>
          <w:szCs w:val="20"/>
          <w:color w:val="auto"/>
        </w:rPr>
      </w:pPr>
      <w:r>
        <w:rPr>
          <w:rFonts w:ascii="Times New Roman" w:cs="Times New Roman" w:eastAsia="Times New Roman" w:hAnsi="Times New Roman"/>
          <w:sz w:val="22"/>
          <w:szCs w:val="22"/>
          <w:color w:val="auto"/>
        </w:rPr>
        <w:t>The Authorizing Officer of the Company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pre-approved.</w:t>
      </w:r>
    </w:p>
    <w:p>
      <w:pPr>
        <w:spacing w:after="0" w:line="179" w:lineRule="exact"/>
        <w:rPr>
          <w:sz w:val="20"/>
          <w:szCs w:val="20"/>
          <w:color w:val="auto"/>
        </w:rPr>
      </w:pPr>
    </w:p>
    <w:p>
      <w:pPr>
        <w:ind w:left="2000" w:hanging="646"/>
        <w:spacing w:after="0"/>
        <w:tabs>
          <w:tab w:leader="none" w:pos="200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 (if Required)</w:t>
      </w:r>
    </w:p>
    <w:p>
      <w:pPr>
        <w:spacing w:after="0" w:line="220" w:lineRule="exact"/>
        <w:rPr>
          <w:sz w:val="20"/>
          <w:szCs w:val="20"/>
          <w:color w:val="auto"/>
        </w:rPr>
      </w:pPr>
    </w:p>
    <w:p>
      <w:pPr>
        <w:jc w:val="both"/>
        <w:ind w:left="700" w:right="300" w:firstLine="647"/>
        <w:spacing w:after="0" w:line="250" w:lineRule="auto"/>
        <w:rPr>
          <w:sz w:val="20"/>
          <w:szCs w:val="20"/>
          <w:color w:val="auto"/>
        </w:rPr>
      </w:pPr>
      <w:r>
        <w:rPr>
          <w:rFonts w:ascii="Times New Roman" w:cs="Times New Roman" w:eastAsia="Times New Roman" w:hAnsi="Times New Roman"/>
          <w:sz w:val="22"/>
          <w:szCs w:val="22"/>
          <w:color w:val="auto"/>
        </w:rPr>
        <w:t>If required, an SEC Form 144 will be filled out and filed by the individual/brokerage firm in accordance with the existing rules regarding Form 144 filings. A footnote at the bottom of the Form 144 should indicate that the trades “are in accordance with a Trading Plan that complies with Rule 10b5-1 and was adopted on .” For Section 16 reporting persons, Form 4s should be filed before the end of the second business day following the date that the broker, dealer or plan administrator informs the individual that a transaction was executed, provided that the date of such notification is not later than the third business day following the trade date. The Form 4 must indicate that the transaction was made pursuant to a Trading Plan.</w:t>
      </w:r>
    </w:p>
    <w:p>
      <w:pPr>
        <w:spacing w:after="0" w:line="86" w:lineRule="exact"/>
        <w:rPr>
          <w:sz w:val="20"/>
          <w:szCs w:val="20"/>
          <w:color w:val="auto"/>
        </w:rPr>
      </w:pPr>
    </w:p>
    <w:p>
      <w:pPr>
        <w:ind w:left="2000" w:hanging="646"/>
        <w:spacing w:after="0"/>
        <w:tabs>
          <w:tab w:leader="none" w:pos="20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w:t>
      </w:r>
    </w:p>
    <w:p>
      <w:pPr>
        <w:spacing w:after="0" w:line="112" w:lineRule="exact"/>
        <w:rPr>
          <w:sz w:val="20"/>
          <w:szCs w:val="20"/>
          <w:color w:val="auto"/>
        </w:rPr>
      </w:pPr>
    </w:p>
    <w:p>
      <w:pPr>
        <w:jc w:val="both"/>
        <w:ind w:left="700" w:right="300" w:firstLine="647"/>
        <w:spacing w:after="0" w:line="249" w:lineRule="auto"/>
        <w:rPr>
          <w:sz w:val="20"/>
          <w:szCs w:val="20"/>
          <w:color w:val="auto"/>
        </w:rPr>
      </w:pPr>
      <w:r>
        <w:rPr>
          <w:rFonts w:ascii="Times New Roman" w:cs="Times New Roman" w:eastAsia="Times New Roman" w:hAnsi="Times New Roman"/>
          <w:sz w:val="22"/>
          <w:szCs w:val="22"/>
          <w:color w:val="auto"/>
        </w:rPr>
        <w:t>Exercises of options for cash may be executed at any time. “Cashless exercise” option exercises through a broker are not permitted during black-out periods.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p>
      <w:pPr>
        <w:spacing w:after="0" w:line="74" w:lineRule="exact"/>
        <w:rPr>
          <w:sz w:val="20"/>
          <w:szCs w:val="20"/>
          <w:color w:val="auto"/>
        </w:rPr>
      </w:pPr>
    </w:p>
    <w:p>
      <w:pPr>
        <w:ind w:left="1960" w:hanging="606"/>
        <w:spacing w:after="0"/>
        <w:tabs>
          <w:tab w:leader="none" w:pos="19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Trades Outside of a Trading Plan</w:t>
      </w:r>
    </w:p>
    <w:p>
      <w:pPr>
        <w:spacing w:after="0" w:line="125" w:lineRule="exact"/>
        <w:rPr>
          <w:sz w:val="20"/>
          <w:szCs w:val="20"/>
          <w:color w:val="auto"/>
        </w:rPr>
      </w:pPr>
    </w:p>
    <w:p>
      <w:pPr>
        <w:ind w:left="700" w:right="320" w:firstLine="647"/>
        <w:spacing w:after="0" w:line="271" w:lineRule="auto"/>
        <w:rPr>
          <w:sz w:val="20"/>
          <w:szCs w:val="20"/>
          <w:color w:val="auto"/>
        </w:rPr>
      </w:pPr>
      <w:r>
        <w:rPr>
          <w:rFonts w:ascii="Times New Roman" w:cs="Times New Roman" w:eastAsia="Times New Roman" w:hAnsi="Times New Roman"/>
          <w:sz w:val="22"/>
          <w:szCs w:val="22"/>
          <w:color w:val="auto"/>
        </w:rPr>
        <w:t>During an open trading window, trades differing from Trading Plan instructions that are already in place are allowed as long as the Trading Plan continues to be followed.</w:t>
      </w:r>
    </w:p>
    <w:p>
      <w:pPr>
        <w:spacing w:after="0" w:line="50" w:lineRule="exact"/>
        <w:rPr>
          <w:sz w:val="20"/>
          <w:szCs w:val="20"/>
          <w:color w:val="auto"/>
        </w:rPr>
      </w:pPr>
    </w:p>
    <w:p>
      <w:pPr>
        <w:ind w:left="2000" w:hanging="646"/>
        <w:spacing w:after="0"/>
        <w:tabs>
          <w:tab w:leader="none" w:pos="20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 Disclosure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20" w:hanging="316"/>
        <w:spacing w:after="0"/>
        <w:tabs>
          <w:tab w:leader="none" w:pos="3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color w:val="auto"/>
        </w:rPr>
        <w:t>US-DOCS\139652658.1</w:t>
      </w:r>
    </w:p>
    <w:p>
      <w:pPr>
        <w:sectPr>
          <w:pgSz w:w="11900" w:h="16838" w:orient="portrait"/>
          <w:cols w:equalWidth="0" w:num="1">
            <w:col w:w="11200"/>
          </w:cols>
          <w:pgMar w:left="360" w:top="589"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700" w:right="300" w:firstLine="647"/>
        <w:spacing w:after="0" w:line="263" w:lineRule="auto"/>
        <w:rPr>
          <w:sz w:val="20"/>
          <w:szCs w:val="20"/>
          <w:color w:val="auto"/>
        </w:rPr>
      </w:pPr>
      <w:r>
        <w:rPr>
          <w:rFonts w:ascii="Times New Roman" w:cs="Times New Roman" w:eastAsia="Times New Roman" w:hAnsi="Times New Roman"/>
          <w:sz w:val="22"/>
          <w:szCs w:val="22"/>
          <w:color w:val="auto"/>
        </w:rPr>
        <w:t>The Company reserves the right to publicly disclose, announce, or respond to inquiries from the media regarding the adoption, modification, or termination of a Trading Plan and non- Rule 10b5-1 trading arrangements, or the execution of transactions made under a Trading Plan.</w:t>
      </w:r>
    </w:p>
    <w:p>
      <w:pPr>
        <w:spacing w:after="0" w:line="3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u w:val="single" w:color="auto"/>
          <w:color w:val="auto"/>
        </w:rPr>
        <w:t>Prohibited Transactions</w:t>
      </w:r>
    </w:p>
    <w:p>
      <w:pPr>
        <w:spacing w:after="0" w:line="98" w:lineRule="exact"/>
        <w:rPr>
          <w:sz w:val="20"/>
          <w:szCs w:val="20"/>
          <w:color w:val="auto"/>
        </w:rPr>
      </w:pPr>
    </w:p>
    <w:p>
      <w:pPr>
        <w:jc w:val="both"/>
        <w:ind w:left="700" w:right="320" w:firstLine="647"/>
        <w:spacing w:after="0" w:line="257" w:lineRule="auto"/>
        <w:rPr>
          <w:sz w:val="20"/>
          <w:szCs w:val="20"/>
          <w:color w:val="auto"/>
        </w:rPr>
      </w:pPr>
      <w:r>
        <w:rPr>
          <w:rFonts w:ascii="Times New Roman" w:cs="Times New Roman" w:eastAsia="Times New Roman" w:hAnsi="Times New Roman"/>
          <w:sz w:val="22"/>
          <w:szCs w:val="22"/>
          <w:color w:val="auto"/>
        </w:rPr>
        <w:t>The transactions prohibited under Section V of this Policy, including among others short sales and hedging transactions, may not be carried out through a Trading Plan or other arrangement or trading instruction involving potential sales or purchases of the Company’s securities.</w:t>
      </w:r>
    </w:p>
    <w:p>
      <w:pPr>
        <w:spacing w:after="0" w:line="65" w:lineRule="exact"/>
        <w:rPr>
          <w:sz w:val="20"/>
          <w:szCs w:val="20"/>
          <w:color w:val="auto"/>
        </w:rPr>
      </w:pPr>
    </w:p>
    <w:p>
      <w:pPr>
        <w:ind w:left="2000" w:hanging="646"/>
        <w:spacing w:after="0"/>
        <w:tabs>
          <w:tab w:leader="none" w:pos="20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Liability</w:t>
      </w:r>
    </w:p>
    <w:p>
      <w:pPr>
        <w:spacing w:after="0" w:line="112" w:lineRule="exact"/>
        <w:rPr>
          <w:sz w:val="20"/>
          <w:szCs w:val="20"/>
          <w:color w:val="auto"/>
        </w:rPr>
      </w:pPr>
    </w:p>
    <w:p>
      <w:pPr>
        <w:ind w:left="700" w:right="320" w:firstLine="647"/>
        <w:spacing w:after="0" w:line="252" w:lineRule="auto"/>
        <w:rPr>
          <w:sz w:val="20"/>
          <w:szCs w:val="20"/>
          <w:color w:val="auto"/>
        </w:rPr>
      </w:pPr>
      <w:r>
        <w:rPr>
          <w:rFonts w:ascii="Times New Roman" w:cs="Times New Roman" w:eastAsia="Times New Roman" w:hAnsi="Times New Roman"/>
          <w:sz w:val="22"/>
          <w:szCs w:val="22"/>
          <w:color w:val="auto"/>
        </w:rPr>
        <w:t>None of the Company, the Chief Executive Officer, the Chief Financial Officer, General Counsel, the Authorizing Officer, the Company’s other employees or any other person will have any liability for any delay in reviewing, or refusal of, a Trading Plan submitted pursuant to this Section VI or a request for pre-clearance submitted pursuant to Section IV of this Policy.</w:t>
      </w:r>
    </w:p>
    <w:p>
      <w:pPr>
        <w:spacing w:after="0" w:line="1" w:lineRule="exact"/>
        <w:rPr>
          <w:sz w:val="20"/>
          <w:szCs w:val="20"/>
          <w:color w:val="auto"/>
        </w:rPr>
      </w:pPr>
    </w:p>
    <w:p>
      <w:pPr>
        <w:ind w:left="700" w:right="380"/>
        <w:spacing w:after="0" w:line="247" w:lineRule="auto"/>
        <w:rPr>
          <w:sz w:val="20"/>
          <w:szCs w:val="20"/>
          <w:color w:val="auto"/>
        </w:rPr>
      </w:pPr>
      <w:r>
        <w:rPr>
          <w:rFonts w:ascii="Times New Roman" w:cs="Times New Roman" w:eastAsia="Times New Roman" w:hAnsi="Times New Roman"/>
          <w:sz w:val="22"/>
          <w:szCs w:val="22"/>
          <w:color w:val="auto"/>
        </w:rPr>
        <w:t>Notwithstanding any review of a Trading Plan pursuant to this Section VI or pre-clearance of a transaction pursuant to Section IV of this Policy, none of the Company, the Chief Executive Officer, the Chief Financial Officer, General Counsel, the Authorizing Officer, the Company’s other employees or any other person assumes any liability for the legality or consequences of such Trading Plan or transaction to the person engaging in or adopting such Trading Plan or transaction.</w:t>
      </w:r>
    </w:p>
    <w:p>
      <w:pPr>
        <w:spacing w:after="0" w:line="182" w:lineRule="exact"/>
        <w:rPr>
          <w:sz w:val="20"/>
          <w:szCs w:val="20"/>
          <w:color w:val="auto"/>
        </w:rPr>
      </w:pPr>
    </w:p>
    <w:p>
      <w:pPr>
        <w:ind w:left="70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VII.</w:t>
        <w:tab/>
        <w:t>Execution and Return of Certification of Compliance</w:t>
      </w:r>
    </w:p>
    <w:p>
      <w:pPr>
        <w:spacing w:after="0" w:line="278" w:lineRule="exact"/>
        <w:rPr>
          <w:sz w:val="20"/>
          <w:szCs w:val="20"/>
          <w:color w:val="auto"/>
        </w:rPr>
      </w:pPr>
    </w:p>
    <w:p>
      <w:pPr>
        <w:ind w:left="700" w:right="300" w:firstLine="647"/>
        <w:spacing w:after="0" w:line="271" w:lineRule="auto"/>
        <w:rPr>
          <w:sz w:val="20"/>
          <w:szCs w:val="20"/>
          <w:color w:val="auto"/>
        </w:rPr>
      </w:pPr>
      <w:r>
        <w:rPr>
          <w:rFonts w:ascii="Times New Roman" w:cs="Times New Roman" w:eastAsia="Times New Roman" w:hAnsi="Times New Roman"/>
          <w:sz w:val="22"/>
          <w:szCs w:val="22"/>
          <w:color w:val="auto"/>
        </w:rPr>
        <w:t>After reading this Policy and on an annual basis, all officers, directors and employees should execute and return to the Company’s General Counsel the Certification of Compliance form attached hereto as “Attachment B.”</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 * * * *</w:t>
      </w:r>
    </w:p>
    <w:p>
      <w:pPr>
        <w:spacing w:after="0" w:line="3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 xml:space="preserve">Effective: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0" w:hanging="316"/>
        <w:spacing w:after="0"/>
        <w:tabs>
          <w:tab w:leader="none" w:pos="32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14"/>
          <w:szCs w:val="14"/>
          <w:color w:val="auto"/>
        </w:rPr>
        <w:t>US-DOCS\139652658.1</w:t>
      </w:r>
    </w:p>
    <w:p>
      <w:pPr>
        <w:sectPr>
          <w:pgSz w:w="11900" w:h="16838" w:orient="portrait"/>
          <w:cols w:equalWidth="0" w:num="1">
            <w:col w:w="11200"/>
          </w:cols>
          <w:pgMar w:left="360" w:top="589"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u w:val="single" w:color="auto"/>
          <w:color w:val="auto"/>
        </w:rPr>
        <w:t>SCHEDULE I</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u w:val="single" w:color="auto"/>
          <w:color w:val="auto"/>
        </w:rPr>
        <w:t>DESIGNATED PERSONS SUBJECT TO PRE-CLEARANCE REQUIREMENTS</w:t>
      </w:r>
    </w:p>
    <w:p>
      <w:pPr>
        <w:spacing w:after="0" w:line="200" w:lineRule="exact"/>
        <w:rPr>
          <w:sz w:val="20"/>
          <w:szCs w:val="20"/>
          <w:color w:val="auto"/>
        </w:rPr>
      </w:pPr>
    </w:p>
    <w:p>
      <w:pPr>
        <w:spacing w:after="0" w:line="26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[SEE LIST MAINTAINED BY LEGAL DEPARTMENT]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US-DOCS\139652658.1</w:t>
      </w:r>
    </w:p>
    <w:p>
      <w:pPr>
        <w:sectPr>
          <w:pgSz w:w="11900" w:h="16838" w:orient="portrait"/>
          <w:cols w:equalWidth="0" w:num="1">
            <w:col w:w="11200"/>
          </w:cols>
          <w:pgMar w:left="360" w:top="589"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1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u w:val="single" w:color="auto"/>
          <w:color w:val="auto"/>
        </w:rPr>
        <w:t>SCHEDULE II</w:t>
      </w: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u w:val="single" w:color="auto"/>
          <w:color w:val="auto"/>
        </w:rPr>
        <w:t>DESIGNATED EMPLOYEES SUBJECT TO BLACK-OUT PERIODS</w:t>
      </w: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[SEE SCHEDULE I]</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US-DOCS\139652658.1</w:t>
      </w:r>
    </w:p>
    <w:p>
      <w:pPr>
        <w:sectPr>
          <w:pgSz w:w="11900" w:h="16838" w:orient="portrait"/>
          <w:cols w:equalWidth="0" w:num="1">
            <w:col w:w="11200"/>
          </w:cols>
          <w:pgMar w:left="360" w:top="589"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4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u w:val="single" w:color="auto"/>
          <w:color w:val="auto"/>
        </w:rPr>
        <w:t>ATTACHMENT A</w:t>
      </w:r>
    </w:p>
    <w:p>
      <w:pPr>
        <w:spacing w:after="0" w:line="22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b w:val="1"/>
          <w:bCs w:val="1"/>
          <w:color w:val="auto"/>
        </w:rPr>
        <w:t>EVERCOMMERCE INC. PRE-CLEARANCE</w:t>
      </w:r>
    </w:p>
    <w:p>
      <w:pPr>
        <w:spacing w:after="0" w:line="21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b w:val="1"/>
          <w:bCs w:val="1"/>
          <w:color w:val="auto"/>
        </w:rPr>
        <w:t>REQUEST</w:t>
      </w:r>
    </w:p>
    <w:p>
      <w:pPr>
        <w:spacing w:after="0" w:line="108" w:lineRule="exact"/>
        <w:rPr>
          <w:sz w:val="20"/>
          <w:szCs w:val="20"/>
          <w:color w:val="auto"/>
        </w:rPr>
      </w:pPr>
    </w:p>
    <w:p>
      <w:pPr>
        <w:ind w:left="60"/>
        <w:spacing w:after="0"/>
        <w:tabs>
          <w:tab w:leader="none" w:pos="3580" w:val="left"/>
        </w:tabs>
        <w:rPr>
          <w:sz w:val="20"/>
          <w:szCs w:val="20"/>
          <w:color w:val="auto"/>
        </w:rPr>
      </w:pPr>
      <w:r>
        <w:rPr>
          <w:rFonts w:ascii="Times New Roman" w:cs="Times New Roman" w:eastAsia="Times New Roman" w:hAnsi="Times New Roman"/>
          <w:sz w:val="20"/>
          <w:szCs w:val="20"/>
          <w:b w:val="1"/>
          <w:bCs w:val="1"/>
          <w:i w:val="1"/>
          <w:iCs w:val="1"/>
          <w:color w:val="auto"/>
        </w:rPr>
        <w:t>Please complete and return this form to [</w:t>
      </w:r>
      <w:r>
        <w:rPr>
          <w:sz w:val="20"/>
          <w:szCs w:val="20"/>
          <w:color w:val="auto"/>
        </w:rPr>
        <w:tab/>
      </w:r>
      <w:r>
        <w:rPr>
          <w:rFonts w:ascii="Times New Roman" w:cs="Times New Roman" w:eastAsia="Times New Roman" w:hAnsi="Times New Roman"/>
          <w:sz w:val="16"/>
          <w:szCs w:val="16"/>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2155190</wp:posOffset>
            </wp:positionH>
            <wp:positionV relativeFrom="paragraph">
              <wp:posOffset>-8255</wp:posOffset>
            </wp:positionV>
            <wp:extent cx="1257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Name of Person Requesting Pre-Clearance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-8255</wp:posOffset>
            </wp:positionV>
            <wp:extent cx="1257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96" w:lineRule="exact"/>
        <w:rPr>
          <w:sz w:val="20"/>
          <w:szCs w:val="20"/>
          <w:color w:val="auto"/>
        </w:rPr>
      </w:pPr>
    </w:p>
    <w:p>
      <w:pPr>
        <w:ind w:left="60" w:right="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Note - You must pre-clear transactions involving EverCommerce Inc. securities by you, your spouse, children and relatives sharing your household, as well as transactions involving other entities such as trusts, corporations and partnerships in which you have or share control.</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Type of Security </w:t>
      </w:r>
      <w:r>
        <w:rPr>
          <w:rFonts w:ascii="Times New Roman" w:cs="Times New Roman" w:eastAsia="Times New Roman" w:hAnsi="Times New Roman"/>
          <w:sz w:val="20"/>
          <w:szCs w:val="20"/>
          <w:color w:val="auto"/>
        </w:rPr>
        <w:t>[check all applicable boxes]</w:t>
      </w:r>
    </w:p>
    <w:p>
      <w:pPr>
        <w:spacing w:after="0" w:line="233" w:lineRule="exact"/>
        <w:rPr>
          <w:sz w:val="20"/>
          <w:szCs w:val="20"/>
          <w:color w:val="auto"/>
        </w:rPr>
      </w:pPr>
    </w:p>
    <w:p>
      <w:pPr>
        <w:ind w:left="1360" w:hanging="330"/>
        <w:spacing w:after="0"/>
        <w:tabs>
          <w:tab w:leader="none" w:pos="1360" w:val="left"/>
        </w:tabs>
        <w:numPr>
          <w:ilvl w:val="0"/>
          <w:numId w:val="10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Common Stock</w:t>
      </w:r>
    </w:p>
    <w:p>
      <w:pPr>
        <w:spacing w:after="0" w:line="21" w:lineRule="exact"/>
        <w:rPr>
          <w:rFonts w:ascii="MS PGothic" w:cs="MS PGothic" w:eastAsia="MS PGothic" w:hAnsi="MS PGothic"/>
          <w:sz w:val="20"/>
          <w:szCs w:val="20"/>
          <w:color w:val="auto"/>
        </w:rPr>
      </w:pPr>
    </w:p>
    <w:p>
      <w:pPr>
        <w:ind w:left="1360" w:hanging="330"/>
        <w:spacing w:after="0"/>
        <w:tabs>
          <w:tab w:leader="none" w:pos="1360" w:val="left"/>
        </w:tabs>
        <w:numPr>
          <w:ilvl w:val="0"/>
          <w:numId w:val="10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Restricted stock unit</w:t>
      </w:r>
    </w:p>
    <w:p>
      <w:pPr>
        <w:spacing w:after="0" w:line="13" w:lineRule="exact"/>
        <w:rPr>
          <w:rFonts w:ascii="MS PGothic" w:cs="MS PGothic" w:eastAsia="MS PGothic" w:hAnsi="MS PGothic"/>
          <w:sz w:val="20"/>
          <w:szCs w:val="20"/>
          <w:color w:val="auto"/>
        </w:rPr>
      </w:pPr>
    </w:p>
    <w:p>
      <w:pPr>
        <w:ind w:left="1360" w:hanging="330"/>
        <w:spacing w:after="0"/>
        <w:tabs>
          <w:tab w:leader="none" w:pos="1360" w:val="left"/>
        </w:tabs>
        <w:numPr>
          <w:ilvl w:val="0"/>
          <w:numId w:val="10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Stock Option</w:t>
      </w:r>
    </w:p>
    <w:p>
      <w:pPr>
        <w:ind w:left="1360" w:hanging="330"/>
        <w:spacing w:after="0"/>
        <w:tabs>
          <w:tab w:leader="none" w:pos="1360" w:val="left"/>
        </w:tabs>
        <w:numPr>
          <w:ilvl w:val="0"/>
          <w:numId w:val="10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1185545</wp:posOffset>
            </wp:positionH>
            <wp:positionV relativeFrom="paragraph">
              <wp:posOffset>-24765</wp:posOffset>
            </wp:positionV>
            <wp:extent cx="1257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97" w:lineRule="exact"/>
        <w:rPr>
          <w:sz w:val="20"/>
          <w:szCs w:val="20"/>
          <w:color w:val="auto"/>
        </w:rPr>
      </w:pPr>
    </w:p>
    <w:p>
      <w:pPr>
        <w:ind w:left="60"/>
        <w:spacing w:after="0"/>
        <w:tabs>
          <w:tab w:leader="none" w:pos="2120" w:val="left"/>
        </w:tabs>
        <w:rPr>
          <w:sz w:val="20"/>
          <w:szCs w:val="20"/>
          <w:color w:val="auto"/>
        </w:rPr>
      </w:pPr>
      <w:r>
        <w:rPr>
          <w:rFonts w:ascii="Times New Roman" w:cs="Times New Roman" w:eastAsia="Times New Roman" w:hAnsi="Times New Roman"/>
          <w:sz w:val="20"/>
          <w:szCs w:val="20"/>
          <w:b w:val="1"/>
          <w:bCs w:val="1"/>
          <w:color w:val="auto"/>
        </w:rPr>
        <w:t>Number of Securities</w:t>
      </w:r>
      <w:r>
        <w:rPr>
          <w:sz w:val="20"/>
          <w:szCs w:val="20"/>
          <w:color w:val="auto"/>
        </w:rPr>
        <w:tab/>
      </w:r>
      <w:r>
        <w:rPr>
          <w:rFonts w:ascii="Times New Roman" w:cs="Times New Roman" w:eastAsia="Times New Roman" w:hAnsi="Times New Roman"/>
          <w:sz w:val="19"/>
          <w:szCs w:val="19"/>
          <w:b w:val="1"/>
          <w:bCs w:val="1"/>
          <w:color w:val="auto"/>
        </w:rPr>
        <w:t>Proposed Date of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-8255</wp:posOffset>
            </wp:positionV>
            <wp:extent cx="1257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-8255</wp:posOffset>
            </wp:positionV>
            <wp:extent cx="1257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Type of Transaction </w:t>
      </w:r>
      <w:r>
        <w:rPr>
          <w:rFonts w:ascii="Times New Roman" w:cs="Times New Roman" w:eastAsia="Times New Roman" w:hAnsi="Times New Roman"/>
          <w:sz w:val="20"/>
          <w:szCs w:val="20"/>
          <w:color w:val="auto"/>
        </w:rPr>
        <w:t>[check all applicable boxes]</w:t>
      </w:r>
    </w:p>
    <w:p>
      <w:pPr>
        <w:spacing w:after="0" w:line="233" w:lineRule="exact"/>
        <w:rPr>
          <w:sz w:val="20"/>
          <w:szCs w:val="20"/>
          <w:color w:val="auto"/>
        </w:rPr>
      </w:pPr>
    </w:p>
    <w:p>
      <w:pPr>
        <w:ind w:left="1360" w:hanging="330"/>
        <w:spacing w:after="0"/>
        <w:tabs>
          <w:tab w:leader="none" w:pos="1360" w:val="left"/>
        </w:tabs>
        <w:numPr>
          <w:ilvl w:val="0"/>
          <w:numId w:val="10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Purchase</w:t>
      </w:r>
    </w:p>
    <w:p>
      <w:pPr>
        <w:spacing w:after="0" w:line="35" w:lineRule="exact"/>
        <w:rPr>
          <w:rFonts w:ascii="MS PGothic" w:cs="MS PGothic" w:eastAsia="MS PGothic" w:hAnsi="MS PGothic"/>
          <w:sz w:val="20"/>
          <w:szCs w:val="20"/>
          <w:color w:val="auto"/>
        </w:rPr>
      </w:pPr>
    </w:p>
    <w:p>
      <w:pPr>
        <w:ind w:left="1360" w:hanging="330"/>
        <w:spacing w:after="0"/>
        <w:tabs>
          <w:tab w:leader="none" w:pos="1360" w:val="left"/>
        </w:tabs>
        <w:numPr>
          <w:ilvl w:val="0"/>
          <w:numId w:val="10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Sale</w:t>
      </w:r>
    </w:p>
    <w:p>
      <w:pPr>
        <w:ind w:left="1360" w:hanging="330"/>
        <w:spacing w:after="0"/>
        <w:tabs>
          <w:tab w:leader="none" w:pos="1360" w:val="left"/>
        </w:tabs>
        <w:numPr>
          <w:ilvl w:val="0"/>
          <w:numId w:val="10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Stock Option exercise – exercise price paid as follows:</w:t>
      </w:r>
    </w:p>
    <w:p>
      <w:pPr>
        <w:spacing w:after="0" w:line="13" w:lineRule="exact"/>
        <w:rPr>
          <w:rFonts w:ascii="MS PGothic" w:cs="MS PGothic" w:eastAsia="MS PGothic" w:hAnsi="MS PGothic"/>
          <w:sz w:val="20"/>
          <w:szCs w:val="20"/>
          <w:color w:val="auto"/>
        </w:rPr>
      </w:pPr>
    </w:p>
    <w:p>
      <w:pPr>
        <w:ind w:left="2660" w:hanging="658"/>
        <w:spacing w:after="0"/>
        <w:tabs>
          <w:tab w:leader="none" w:pos="2660" w:val="left"/>
        </w:tabs>
        <w:numPr>
          <w:ilvl w:val="1"/>
          <w:numId w:val="10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Broker’s cashless exchange (i.e., broker sells shares to cover exercise price)</w:t>
      </w:r>
    </w:p>
    <w:p>
      <w:pPr>
        <w:ind w:left="2660" w:hanging="658"/>
        <w:spacing w:after="0"/>
        <w:tabs>
          <w:tab w:leader="none" w:pos="2660" w:val="left"/>
        </w:tabs>
        <w:numPr>
          <w:ilvl w:val="1"/>
          <w:numId w:val="10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Cash payment</w:t>
      </w:r>
    </w:p>
    <w:p>
      <w:pPr>
        <w:spacing w:after="0" w:line="13" w:lineRule="exact"/>
        <w:rPr>
          <w:rFonts w:ascii="MS PGothic" w:cs="MS PGothic" w:eastAsia="MS PGothic" w:hAnsi="MS PGothic"/>
          <w:sz w:val="20"/>
          <w:szCs w:val="20"/>
          <w:color w:val="auto"/>
        </w:rPr>
      </w:pPr>
    </w:p>
    <w:p>
      <w:pPr>
        <w:ind w:left="2660" w:hanging="658"/>
        <w:spacing w:after="0"/>
        <w:tabs>
          <w:tab w:leader="none" w:pos="2660" w:val="left"/>
        </w:tabs>
        <w:numPr>
          <w:ilvl w:val="1"/>
          <w:numId w:val="10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Other</w:t>
      </w:r>
    </w:p>
    <w:p>
      <w:pPr>
        <w:spacing w:after="0" w:line="13" w:lineRule="exact"/>
        <w:rPr>
          <w:rFonts w:ascii="MS PGothic" w:cs="MS PGothic" w:eastAsia="MS PGothic" w:hAnsi="MS PGothic"/>
          <w:sz w:val="20"/>
          <w:szCs w:val="20"/>
          <w:color w:val="auto"/>
        </w:rPr>
      </w:pPr>
    </w:p>
    <w:p>
      <w:pPr>
        <w:ind w:left="1360" w:hanging="330"/>
        <w:spacing w:after="0"/>
        <w:tabs>
          <w:tab w:leader="none" w:pos="1360" w:val="left"/>
        </w:tabs>
        <w:numPr>
          <w:ilvl w:val="0"/>
          <w:numId w:val="10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Withholding tax with respect to Restricted Stock Units or Stock Option paid as follows:</w:t>
      </w:r>
    </w:p>
    <w:p>
      <w:pPr>
        <w:ind w:left="2660" w:hanging="658"/>
        <w:spacing w:after="0"/>
        <w:tabs>
          <w:tab w:leader="none" w:pos="2660" w:val="left"/>
        </w:tabs>
        <w:numPr>
          <w:ilvl w:val="1"/>
          <w:numId w:val="10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Broker’s cashless exchange (i.e., broker sells shares to cover withholding tax)</w:t>
      </w:r>
    </w:p>
    <w:p>
      <w:pPr>
        <w:spacing w:after="0" w:line="13" w:lineRule="exact"/>
        <w:rPr>
          <w:rFonts w:ascii="MS PGothic" w:cs="MS PGothic" w:eastAsia="MS PGothic" w:hAnsi="MS PGothic"/>
          <w:sz w:val="20"/>
          <w:szCs w:val="20"/>
          <w:color w:val="auto"/>
        </w:rPr>
      </w:pPr>
    </w:p>
    <w:p>
      <w:pPr>
        <w:ind w:left="2660" w:hanging="658"/>
        <w:spacing w:after="0"/>
        <w:tabs>
          <w:tab w:leader="none" w:pos="2660" w:val="left"/>
        </w:tabs>
        <w:numPr>
          <w:ilvl w:val="1"/>
          <w:numId w:val="10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Cash payment</w:t>
      </w:r>
    </w:p>
    <w:p>
      <w:pPr>
        <w:spacing w:after="0" w:line="13" w:lineRule="exact"/>
        <w:rPr>
          <w:rFonts w:ascii="MS PGothic" w:cs="MS PGothic" w:eastAsia="MS PGothic" w:hAnsi="MS PGothic"/>
          <w:sz w:val="20"/>
          <w:szCs w:val="20"/>
          <w:color w:val="auto"/>
        </w:rPr>
      </w:pPr>
    </w:p>
    <w:p>
      <w:pPr>
        <w:ind w:left="2660" w:hanging="658"/>
        <w:spacing w:after="0"/>
        <w:tabs>
          <w:tab w:leader="none" w:pos="2660" w:val="left"/>
        </w:tabs>
        <w:numPr>
          <w:ilvl w:val="1"/>
          <w:numId w:val="10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Other</w:t>
      </w:r>
    </w:p>
    <w:p>
      <w:pPr>
        <w:spacing w:after="0" w:line="26" w:lineRule="exact"/>
        <w:rPr>
          <w:rFonts w:ascii="MS PGothic" w:cs="MS PGothic" w:eastAsia="MS PGothic" w:hAnsi="MS PGothic"/>
          <w:sz w:val="20"/>
          <w:szCs w:val="20"/>
          <w:color w:val="auto"/>
        </w:rPr>
      </w:pPr>
    </w:p>
    <w:p>
      <w:pPr>
        <w:ind w:left="1360" w:hanging="330"/>
        <w:spacing w:after="0"/>
        <w:tabs>
          <w:tab w:leader="none" w:pos="1360" w:val="left"/>
        </w:tabs>
        <w:numPr>
          <w:ilvl w:val="0"/>
          <w:numId w:val="10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Gift</w:t>
      </w:r>
    </w:p>
    <w:p>
      <w:pPr>
        <w:ind w:left="1360" w:hanging="330"/>
        <w:spacing w:after="0"/>
        <w:tabs>
          <w:tab w:leader="none" w:pos="1360" w:val="left"/>
        </w:tabs>
        <w:numPr>
          <w:ilvl w:val="0"/>
          <w:numId w:val="10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Transfer</w:t>
      </w:r>
    </w:p>
    <w:p>
      <w:pPr>
        <w:spacing w:after="0" w:line="13" w:lineRule="exact"/>
        <w:rPr>
          <w:rFonts w:ascii="MS PGothic" w:cs="MS PGothic" w:eastAsia="MS PGothic" w:hAnsi="MS PGothic"/>
          <w:sz w:val="20"/>
          <w:szCs w:val="20"/>
          <w:color w:val="auto"/>
        </w:rPr>
      </w:pPr>
    </w:p>
    <w:p>
      <w:pPr>
        <w:ind w:left="1360" w:hanging="330"/>
        <w:spacing w:after="0"/>
        <w:tabs>
          <w:tab w:leader="none" w:pos="1360" w:val="left"/>
        </w:tabs>
        <w:numPr>
          <w:ilvl w:val="0"/>
          <w:numId w:val="10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-1096645</wp:posOffset>
            </wp:positionV>
            <wp:extent cx="1257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-487680</wp:posOffset>
            </wp:positionV>
            <wp:extent cx="12573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-24765</wp:posOffset>
            </wp:positionV>
            <wp:extent cx="1257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US-DOCS\139652658.1</w:t>
      </w:r>
    </w:p>
    <w:p>
      <w:pPr>
        <w:sectPr>
          <w:pgSz w:w="11900" w:h="16838" w:orient="portrait"/>
          <w:cols w:equalWidth="0" w:num="1">
            <w:col w:w="11200"/>
          </w:cols>
          <w:pgMar w:left="360" w:top="589"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3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color w:val="auto"/>
        </w:rPr>
        <w:t>Certification and Acknowledgment:</w:t>
      </w:r>
    </w:p>
    <w:p>
      <w:pPr>
        <w:spacing w:after="0" w:line="229" w:lineRule="exact"/>
        <w:rPr>
          <w:sz w:val="20"/>
          <w:szCs w:val="20"/>
          <w:color w:val="auto"/>
        </w:rPr>
      </w:pPr>
    </w:p>
    <w:p>
      <w:pPr>
        <w:jc w:val="both"/>
        <w:ind w:left="700" w:right="30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Note – Please review the EverCommerce Inc. Insider Trading Compliance Policy prior to making the below certification and acknowledgment. Certain of the above transactions (e.g., the exercise of a stock option and certain gift transactions or other transfers) may be permitted while you are in possession of material non-public information.</w:t>
      </w:r>
    </w:p>
    <w:p>
      <w:pPr>
        <w:spacing w:after="0" w:line="173" w:lineRule="exact"/>
        <w:rPr>
          <w:sz w:val="20"/>
          <w:szCs w:val="20"/>
          <w:color w:val="auto"/>
        </w:rPr>
      </w:pPr>
    </w:p>
    <w:p>
      <w:pPr>
        <w:ind w:left="2000" w:right="300" w:hanging="646"/>
        <w:spacing w:after="0" w:line="269" w:lineRule="auto"/>
        <w:tabs>
          <w:tab w:leader="none" w:pos="2014" w:val="left"/>
        </w:tabs>
        <w:numPr>
          <w:ilvl w:val="0"/>
          <w:numId w:val="10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 am not currently in possession of any material non-public information relating to EverCommerce Inc. and its subsidiaries.</w:t>
      </w:r>
    </w:p>
    <w:p>
      <w:pPr>
        <w:spacing w:after="0" w:line="172" w:lineRule="exact"/>
        <w:rPr>
          <w:rFonts w:ascii="MS PGothic" w:cs="MS PGothic" w:eastAsia="MS PGothic" w:hAnsi="MS PGothic"/>
          <w:sz w:val="20"/>
          <w:szCs w:val="20"/>
          <w:color w:val="auto"/>
        </w:rPr>
      </w:pPr>
    </w:p>
    <w:p>
      <w:pPr>
        <w:jc w:val="both"/>
        <w:ind w:left="2000" w:right="300" w:hanging="646"/>
        <w:spacing w:after="0" w:line="254" w:lineRule="auto"/>
        <w:tabs>
          <w:tab w:leader="none" w:pos="2014" w:val="left"/>
        </w:tabs>
        <w:numPr>
          <w:ilvl w:val="0"/>
          <w:numId w:val="10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 intend to make a bona fide gift of securities and I do not believe that the gift recipient intends to sell the securities while I am in possession of material, non-public information about EverCommerce Inc. and its subsidiaries.</w:t>
      </w:r>
    </w:p>
    <w:p>
      <w:pPr>
        <w:spacing w:after="0" w:line="174" w:lineRule="exact"/>
        <w:rPr>
          <w:rFonts w:ascii="MS PGothic" w:cs="MS PGothic" w:eastAsia="MS PGothic" w:hAnsi="MS PGothic"/>
          <w:sz w:val="20"/>
          <w:szCs w:val="20"/>
          <w:color w:val="auto"/>
        </w:rPr>
      </w:pPr>
    </w:p>
    <w:p>
      <w:pPr>
        <w:jc w:val="both"/>
        <w:ind w:left="2000" w:right="300" w:hanging="646"/>
        <w:spacing w:after="0" w:line="253" w:lineRule="auto"/>
        <w:tabs>
          <w:tab w:leader="none" w:pos="2014" w:val="left"/>
        </w:tabs>
        <w:numPr>
          <w:ilvl w:val="0"/>
          <w:numId w:val="10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 understand that clearance may be rescinded prior to effectuating the above transaction if material non-public information regarding EverCommerce Inc. arises and, in the reasonable judgment of EverCommerce Inc., the completion of my trade would be inadvisable. I also understand that the ultimate responsibility for compliance with the insider trading provisions of the federal securities laws rests with me and that clearance of any proposed transaction should not be construed as a guarantee that I will not later be found to have been in possession of material non-public information.</w:t>
      </w:r>
    </w:p>
    <w:p>
      <w:pPr>
        <w:spacing w:after="0" w:line="178" w:lineRule="exact"/>
        <w:rPr>
          <w:rFonts w:ascii="MS PGothic" w:cs="MS PGothic" w:eastAsia="MS PGothic" w:hAnsi="MS PGothic"/>
          <w:sz w:val="20"/>
          <w:szCs w:val="20"/>
          <w:color w:val="auto"/>
        </w:rPr>
      </w:pPr>
    </w:p>
    <w:p>
      <w:pPr>
        <w:ind w:left="2020" w:hanging="666"/>
        <w:spacing w:after="0"/>
        <w:tabs>
          <w:tab w:leader="none" w:pos="2020" w:val="left"/>
        </w:tabs>
        <w:numPr>
          <w:ilvl w:val="0"/>
          <w:numId w:val="10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 hereby certify that the statements made on this form are true and correct.</w:t>
      </w:r>
    </w:p>
    <w:p>
      <w:pPr>
        <w:spacing w:after="0" w:line="229" w:lineRule="exact"/>
        <w:rPr>
          <w:sz w:val="20"/>
          <w:szCs w:val="20"/>
          <w:color w:val="auto"/>
        </w:rPr>
      </w:pPr>
    </w:p>
    <w:p>
      <w:pPr>
        <w:ind w:left="700"/>
        <w:spacing w:after="0"/>
        <w:tabs>
          <w:tab w:leader="none" w:pos="1740" w:val="left"/>
        </w:tabs>
        <w:rPr>
          <w:sz w:val="20"/>
          <w:szCs w:val="20"/>
          <w:color w:val="auto"/>
        </w:rPr>
      </w:pPr>
      <w:r>
        <w:rPr>
          <w:rFonts w:ascii="Times New Roman" w:cs="Times New Roman" w:eastAsia="Times New Roman" w:hAnsi="Times New Roman"/>
          <w:sz w:val="20"/>
          <w:szCs w:val="20"/>
          <w:color w:val="auto"/>
        </w:rPr>
        <w:t>Signature</w:t>
        <w:tab/>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-10795</wp:posOffset>
            </wp:positionV>
            <wp:extent cx="1257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1386840</wp:posOffset>
            </wp:positionH>
            <wp:positionV relativeFrom="paragraph">
              <wp:posOffset>-10795</wp:posOffset>
            </wp:positionV>
            <wp:extent cx="1257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-10795</wp:posOffset>
            </wp:positionV>
            <wp:extent cx="12573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-10795</wp:posOffset>
            </wp:positionV>
            <wp:extent cx="1257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1443990</wp:posOffset>
            </wp:positionH>
            <wp:positionV relativeFrom="paragraph">
              <wp:posOffset>-10795</wp:posOffset>
            </wp:positionV>
            <wp:extent cx="1257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502920</wp:posOffset>
            </wp:positionV>
            <wp:extent cx="53492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right="960" w:hanging="575"/>
        <w:spacing w:after="0" w:line="283" w:lineRule="auto"/>
        <w:tabs>
          <w:tab w:leader="none" w:pos="127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Request Approved (transaction must be completed during the “window period” (as described in Section III of the Insider Trading Compliance Policy).</w:t>
      </w:r>
    </w:p>
    <w:p>
      <w:pPr>
        <w:spacing w:after="0" w:line="132" w:lineRule="exact"/>
        <w:rPr>
          <w:rFonts w:ascii="Times New Roman" w:cs="Times New Roman" w:eastAsia="Times New Roman" w:hAnsi="Times New Roman"/>
          <w:sz w:val="20"/>
          <w:szCs w:val="20"/>
          <w:color w:val="auto"/>
        </w:rPr>
      </w:pPr>
    </w:p>
    <w:p>
      <w:pPr>
        <w:ind w:left="1280" w:hanging="574"/>
        <w:spacing w:after="0"/>
        <w:tabs>
          <w:tab w:leader="none" w:pos="12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Request Denied</w:t>
      </w:r>
    </w:p>
    <w:p>
      <w:pPr>
        <w:spacing w:after="0" w:line="229" w:lineRule="exact"/>
        <w:rPr>
          <w:rFonts w:ascii="Times New Roman" w:cs="Times New Roman" w:eastAsia="Times New Roman" w:hAnsi="Times New Roman"/>
          <w:sz w:val="20"/>
          <w:szCs w:val="20"/>
          <w:color w:val="auto"/>
        </w:rPr>
      </w:pPr>
    </w:p>
    <w:p>
      <w:pPr>
        <w:ind w:left="1280" w:hanging="574"/>
        <w:spacing w:after="0"/>
        <w:tabs>
          <w:tab w:leader="none" w:pos="12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Request Approved with the following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3444875</wp:posOffset>
            </wp:positionH>
            <wp:positionV relativeFrom="paragraph">
              <wp:posOffset>-10795</wp:posOffset>
            </wp:positionV>
            <wp:extent cx="1257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9" w:lineRule="exact"/>
        <w:rPr>
          <w:sz w:val="20"/>
          <w:szCs w:val="20"/>
          <w:color w:val="auto"/>
        </w:rPr>
      </w:pPr>
    </w:p>
    <w:p>
      <w:pPr>
        <w:ind w:left="700"/>
        <w:spacing w:after="0"/>
        <w:tabs>
          <w:tab w:leader="none" w:pos="1700" w:val="left"/>
        </w:tabs>
        <w:rPr>
          <w:sz w:val="20"/>
          <w:szCs w:val="20"/>
          <w:color w:val="auto"/>
        </w:rPr>
      </w:pPr>
      <w:r>
        <w:rPr>
          <w:rFonts w:ascii="Times New Roman" w:cs="Times New Roman" w:eastAsia="Times New Roman" w:hAnsi="Times New Roman"/>
          <w:sz w:val="20"/>
          <w:szCs w:val="20"/>
          <w:color w:val="auto"/>
        </w:rPr>
        <w:t>Signature</w:t>
        <w:tab/>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-10795</wp:posOffset>
            </wp:positionV>
            <wp:extent cx="1257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-10795</wp:posOffset>
            </wp:positionV>
            <wp:extent cx="1257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US-DOCS\139652658.1</w:t>
      </w:r>
    </w:p>
    <w:p>
      <w:pPr>
        <w:sectPr>
          <w:pgSz w:w="11900" w:h="16838" w:orient="portrait"/>
          <w:cols w:equalWidth="0" w:num="1">
            <w:col w:w="11200"/>
          </w:cols>
          <w:pgMar w:left="360" w:top="589"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u w:val="single" w:color="auto"/>
          <w:color w:val="auto"/>
        </w:rPr>
        <w:t>ATTACHMENT B CERTIFICATION OF</w:t>
      </w:r>
    </w:p>
    <w:p>
      <w:pPr>
        <w:spacing w:after="0" w:line="9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u w:val="single" w:color="auto"/>
          <w:color w:val="auto"/>
        </w:rPr>
        <w:t>COMPLIANCE</w:t>
      </w:r>
    </w:p>
    <w:p>
      <w:pPr>
        <w:spacing w:after="0" w:line="67" w:lineRule="exact"/>
        <w:rPr>
          <w:sz w:val="20"/>
          <w:szCs w:val="20"/>
          <w:color w:val="auto"/>
        </w:rPr>
      </w:pPr>
    </w:p>
    <w:p>
      <w:pPr>
        <w:ind w:left="2680"/>
        <w:spacing w:after="0"/>
        <w:tabs>
          <w:tab w:leader="none" w:pos="4220" w:val="left"/>
        </w:tabs>
        <w:rPr>
          <w:sz w:val="20"/>
          <w:szCs w:val="20"/>
          <w:color w:val="auto"/>
        </w:rPr>
      </w:pPr>
      <w:r>
        <w:rPr>
          <w:rFonts w:ascii="Times New Roman" w:cs="Times New Roman" w:eastAsia="Times New Roman" w:hAnsi="Times New Roman"/>
          <w:sz w:val="22"/>
          <w:szCs w:val="22"/>
          <w:color w:val="auto"/>
        </w:rPr>
        <w:t>RETURN BY [</w:t>
      </w:r>
      <w:r>
        <w:rPr>
          <w:sz w:val="20"/>
          <w:szCs w:val="20"/>
          <w:color w:val="auto"/>
        </w:rPr>
        <w:tab/>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[insert return deadline]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2549525</wp:posOffset>
            </wp:positionH>
            <wp:positionV relativeFrom="paragraph">
              <wp:posOffset>-11430</wp:posOffset>
            </wp:positionV>
            <wp:extent cx="137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6" w:lineRule="exact"/>
        <w:rPr>
          <w:sz w:val="20"/>
          <w:szCs w:val="20"/>
          <w:color w:val="auto"/>
        </w:rPr>
      </w:pPr>
    </w:p>
    <w:p>
      <w:pPr>
        <w:ind w:left="700"/>
        <w:spacing w:after="0"/>
        <w:tabs>
          <w:tab w:leader="none" w:pos="146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2"/>
          <w:szCs w:val="22"/>
          <w:color w:val="auto"/>
        </w:rPr>
        <w:t>, General Counsel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-13970</wp:posOffset>
            </wp:positionV>
            <wp:extent cx="137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2526030</wp:posOffset>
            </wp:positionH>
            <wp:positionV relativeFrom="paragraph">
              <wp:posOffset>-13970</wp:posOffset>
            </wp:positionV>
            <wp:extent cx="274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51"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INSIDER TRADING COMPLIANCE POLICY OF EVERCOMMERCE INC.</w:t>
      </w:r>
    </w:p>
    <w:p>
      <w:pPr>
        <w:spacing w:after="0" w:line="112" w:lineRule="exact"/>
        <w:rPr>
          <w:sz w:val="20"/>
          <w:szCs w:val="20"/>
          <w:color w:val="auto"/>
        </w:rPr>
      </w:pPr>
    </w:p>
    <w:p>
      <w:pPr>
        <w:jc w:val="both"/>
        <w:ind w:left="700" w:right="300" w:firstLine="1295"/>
        <w:spacing w:after="0" w:line="257" w:lineRule="auto"/>
        <w:rPr>
          <w:sz w:val="20"/>
          <w:szCs w:val="20"/>
          <w:color w:val="auto"/>
        </w:rPr>
      </w:pPr>
      <w:r>
        <w:rPr>
          <w:rFonts w:ascii="Times New Roman" w:cs="Times New Roman" w:eastAsia="Times New Roman" w:hAnsi="Times New Roman"/>
          <w:sz w:val="22"/>
          <w:szCs w:val="22"/>
          <w:color w:val="auto"/>
        </w:rPr>
        <w:t>I have received, reviewed and understand the above-referenced Insider Trading Compliance Policy and undertake, as a condition to my present and continued employment with (or, if I am not an employee, affiliation with) EverCommerce Inc., to comply fully with the policies and procedures contained therein.</w:t>
      </w:r>
    </w:p>
    <w:p>
      <w:pPr>
        <w:spacing w:after="0" w:line="65" w:lineRule="exact"/>
        <w:rPr>
          <w:sz w:val="20"/>
          <w:szCs w:val="20"/>
          <w:color w:val="auto"/>
        </w:rPr>
      </w:pPr>
    </w:p>
    <w:p>
      <w:pPr>
        <w:jc w:val="both"/>
        <w:ind w:left="700" w:right="300" w:firstLine="1295"/>
        <w:spacing w:after="0" w:line="266" w:lineRule="auto"/>
        <w:rPr>
          <w:sz w:val="20"/>
          <w:szCs w:val="20"/>
          <w:color w:val="auto"/>
        </w:rPr>
      </w:pPr>
      <w:r>
        <w:rPr>
          <w:rFonts w:ascii="Times New Roman" w:cs="Times New Roman" w:eastAsia="Times New Roman" w:hAnsi="Times New Roman"/>
          <w:sz w:val="22"/>
          <w:szCs w:val="22"/>
          <w:color w:val="auto"/>
        </w:rPr>
        <w:t>[I hereby certify, to the best of my knowledge, that during the calendar year ending December 31, 20[ ], I have complied fully with all policies and procedures set forth in the above- referenced Insider Trading Compliance Policy.]</w:t>
      </w:r>
      <w:r>
        <w:rPr>
          <w:rFonts w:ascii="Times New Roman" w:cs="Times New Roman" w:eastAsia="Times New Roman" w:hAnsi="Times New Roman"/>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274955</wp:posOffset>
            </wp:positionV>
            <wp:extent cx="28803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700"/>
        <w:spacing w:after="0"/>
        <w:tabs>
          <w:tab w:leader="none" w:pos="2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88265</wp:posOffset>
            </wp:positionV>
            <wp:extent cx="18516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4074160</wp:posOffset>
            </wp:positionV>
            <wp:extent cx="16459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00" w:hanging="94"/>
        <w:spacing w:after="0"/>
        <w:tabs>
          <w:tab w:leader="none" w:pos="800" w:val="left"/>
        </w:tabs>
        <w:numPr>
          <w:ilvl w:val="0"/>
          <w:numId w:val="10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NTD: This language should be excluded from an initial certification.</w:t>
      </w:r>
    </w:p>
    <w:p>
      <w:pPr>
        <w:sectPr>
          <w:pgSz w:w="11900" w:h="16838" w:orient="portrait"/>
          <w:cols w:equalWidth="0" w:num="1">
            <w:col w:w="11200"/>
          </w:cols>
          <w:pgMar w:left="360" w:top="589"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US-DOCS\139652658.1</w:t>
      </w:r>
    </w:p>
    <w:p>
      <w:pPr>
        <w:sectPr>
          <w:pgSz w:w="11900" w:h="16838" w:orient="portrait"/>
          <w:cols w:equalWidth="0" w:num="1">
            <w:col w:w="11200"/>
          </w:cols>
          <w:pgMar w:left="360" w:top="589" w:right="339" w:bottom="1440" w:gutter="0" w:footer="0" w:header="0"/>
          <w:type w:val="continuous"/>
        </w:sectPr>
      </w:pPr>
    </w:p>
    <w:bookmarkStart w:id="129" w:name="page130"/>
    <w:bookmarkEnd w:id="129"/>
    <w:p>
      <w:pPr>
        <w:jc w:val="right"/>
        <w:spacing w:after="0"/>
        <w:rPr>
          <w:sz w:val="20"/>
          <w:szCs w:val="20"/>
          <w:color w:val="auto"/>
        </w:rPr>
      </w:pPr>
      <w:r>
        <w:rPr>
          <w:rFonts w:ascii="Times New Roman" w:cs="Times New Roman" w:eastAsia="Times New Roman" w:hAnsi="Times New Roman"/>
          <w:sz w:val="22"/>
          <w:szCs w:val="22"/>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LIST OF SUBSIDIARIES OF EVERCOMMERCE INC.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43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223"/>
        </w:trPr>
        <w:tc>
          <w:tcPr>
            <w:tcW w:w="6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33 Mile Radius LLC</w:t>
            </w:r>
          </w:p>
        </w:tc>
        <w:tc>
          <w:tcPr>
            <w:tcW w:w="120" w:type="dxa"/>
            <w:vAlign w:val="bottom"/>
            <w:tcBorders>
              <w:top w:val="single" w:sz="8" w:color="CCEEFF"/>
            </w:tcBorders>
            <w:shd w:val="clear" w:color="auto" w:fill="CCEEFF"/>
          </w:tcPr>
          <w:p>
            <w:pPr>
              <w:spacing w:after="0"/>
              <w:rPr>
                <w:sz w:val="19"/>
                <w:szCs w:val="19"/>
                <w:color w:val="auto"/>
              </w:rPr>
            </w:pPr>
          </w:p>
        </w:tc>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Advanced Marketing Concepts, LLC d/b/a MarketSharp</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Wisconsin</w:t>
            </w:r>
          </w:p>
        </w:tc>
      </w:tr>
      <w:tr>
        <w:trPr>
          <w:trHeight w:val="229"/>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 Nashmi for Digital Marketing LLC d/b/a Remodeling.com</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Jordan</w:t>
            </w:r>
          </w:p>
        </w:tc>
      </w:tr>
      <w:tr>
        <w:trPr>
          <w:trHeight w:val="230"/>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AlertMD, Inc.</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AllMeds Inc.</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Tennessee</w:t>
            </w:r>
          </w:p>
        </w:tc>
      </w:tr>
      <w:tr>
        <w:trPr>
          <w:trHeight w:val="229"/>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Best Pick Reports, LLC</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Bold Technologies Ltd.</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Colorado</w:t>
            </w:r>
          </w:p>
        </w:tc>
      </w:tr>
      <w:tr>
        <w:trPr>
          <w:trHeight w:val="229"/>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Brighter Vision Web Solutions, Inc. d/b/a Brighter Vision</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Colorado</w:t>
            </w:r>
          </w:p>
        </w:tc>
      </w:tr>
      <w:tr>
        <w:trPr>
          <w:trHeight w:val="230"/>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Briostack LLC</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w:t>
            </w:r>
          </w:p>
        </w:tc>
      </w:tr>
      <w:tr>
        <w:trPr>
          <w:trHeight w:val="229"/>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Callahan Roach, LLC dba Profit Rhino</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CollaborateMD, Inc.</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r>
      <w:tr>
        <w:trPr>
          <w:trHeight w:val="230"/>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Lobby, LLC</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29"/>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EverHealth Solutions Inc. d/b/a DrChrono</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Dynascape Software, Inc.</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Columbia</w:t>
            </w:r>
          </w:p>
        </w:tc>
      </w:tr>
      <w:tr>
        <w:trPr>
          <w:trHeight w:val="230"/>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 Provider Solutions, L.L.C.</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Dakota</w:t>
            </w:r>
          </w:p>
        </w:tc>
      </w:tr>
      <w:tr>
        <w:trPr>
          <w:trHeight w:val="229"/>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EMHware Software Inc.</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Columbia</w:t>
            </w:r>
          </w:p>
        </w:tc>
      </w:tr>
      <w:tr>
        <w:trPr>
          <w:trHeight w:val="230"/>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EverCommerce CAN Inc.</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EverCommerce Intermediate Inc.</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EverCommerce NZ Company Ltd.</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Zealand</w:t>
            </w:r>
          </w:p>
        </w:tc>
      </w:tr>
      <w:tr>
        <w:trPr>
          <w:trHeight w:val="230"/>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EverCommerce Solutions Inc.</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Fieldpoint Service Applications Inc.</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Columbia</w:t>
            </w:r>
          </w:p>
        </w:tc>
      </w:tr>
      <w:tr>
        <w:trPr>
          <w:trHeight w:val="230"/>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FSM Technologies, LLC</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GoodTherapy.org, LLC</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Alaska</w:t>
            </w:r>
          </w:p>
        </w:tc>
      </w:tr>
      <w:tr>
        <w:trPr>
          <w:trHeight w:val="230"/>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GuildQuality Inc.</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Carolina</w:t>
            </w:r>
          </w:p>
        </w:tc>
      </w:tr>
      <w:tr>
        <w:trPr>
          <w:trHeight w:val="229"/>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Contractors Review, LLC d/b/a Five Star Rated and Home Services Review</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r>
      <w:tr>
        <w:trPr>
          <w:trHeight w:val="230"/>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Improveit! 360, LLC</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iSalus, LLC</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J.E.2000, LLC d/b/a Jimmy Marketing</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r>
      <w:tr>
        <w:trPr>
          <w:trHeight w:val="229"/>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Joist Software Inc.</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Columbia</w:t>
            </w:r>
          </w:p>
        </w:tc>
      </w:tr>
      <w:tr>
        <w:trPr>
          <w:trHeight w:val="230"/>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Keyword Connects LLC</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30"/>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Listen360, Inc.</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r>
      <w:tr>
        <w:trPr>
          <w:trHeight w:val="230"/>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Hardware, LLC</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Norman's Dojo, Inc. d/b/a Kickserv</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OnVision Solutions, Inc. d/b/a The Studio Director</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Colorado</w:t>
            </w:r>
          </w:p>
        </w:tc>
      </w:tr>
      <w:tr>
        <w:trPr>
          <w:trHeight w:val="230"/>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Perennial Software, LLC</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0940"/>
          </w:cols>
          <w:pgMar w:left="620" w:top="126"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2"/>
          <w:szCs w:val="22"/>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PM Ventures, LLC</w:t>
            </w:r>
          </w:p>
        </w:tc>
        <w:tc>
          <w:tcPr>
            <w:tcW w:w="5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EverCommerce Marketing Technology Solutions LLC d/b/a Qiigo</w:t>
            </w:r>
          </w:p>
        </w:tc>
        <w:tc>
          <w:tcPr>
            <w:tcW w:w="5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Georgia</w:t>
            </w: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Remodeling.com, LLC</w:t>
            </w:r>
          </w:p>
        </w:tc>
        <w:tc>
          <w:tcPr>
            <w:tcW w:w="5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RoofSnap, LLC</w:t>
            </w:r>
          </w:p>
        </w:tc>
        <w:tc>
          <w:tcPr>
            <w:tcW w:w="5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Georgia</w:t>
            </w: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SalonBiz, Inc.</w:t>
            </w:r>
          </w:p>
        </w:tc>
        <w:tc>
          <w:tcPr>
            <w:tcW w:w="5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Louisiana</w:t>
            </w:r>
          </w:p>
        </w:tc>
      </w:tr>
      <w:tr>
        <w:trPr>
          <w:trHeight w:val="22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 Global Solutions, LLC</w:t>
            </w:r>
          </w:p>
        </w:tc>
        <w:tc>
          <w:tcPr>
            <w:tcW w:w="5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California</w:t>
            </w:r>
          </w:p>
        </w:tc>
      </w:tr>
      <w:tr>
        <w:trPr>
          <w:trHeight w:val="2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Security Information Systems, LLC</w:t>
            </w:r>
          </w:p>
        </w:tc>
        <w:tc>
          <w:tcPr>
            <w:tcW w:w="5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r>
      <w:tr>
        <w:trPr>
          <w:trHeight w:val="23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Nation Inc.</w:t>
            </w:r>
          </w:p>
        </w:tc>
        <w:tc>
          <w:tcPr>
            <w:tcW w:w="5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Socius Marketing, LLC</w:t>
            </w:r>
          </w:p>
        </w:tc>
        <w:tc>
          <w:tcPr>
            <w:tcW w:w="5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Florida</w:t>
            </w:r>
          </w:p>
        </w:tc>
      </w:tr>
      <w:tr>
        <w:trPr>
          <w:trHeight w:val="23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Speetra Inc. d/b/a pulseM</w:t>
            </w:r>
          </w:p>
        </w:tc>
        <w:tc>
          <w:tcPr>
            <w:tcW w:w="5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Timely Limited</w:t>
            </w:r>
          </w:p>
        </w:tc>
        <w:tc>
          <w:tcPr>
            <w:tcW w:w="5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New Zealand</w:t>
            </w:r>
          </w:p>
        </w:tc>
      </w:tr>
      <w:tr>
        <w:trPr>
          <w:trHeight w:val="22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Timely Software Ltd.</w:t>
            </w:r>
          </w:p>
        </w:tc>
        <w:tc>
          <w:tcPr>
            <w:tcW w:w="5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England</w:t>
            </w: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Timely Software Pty. Ltd.</w:t>
            </w:r>
          </w:p>
        </w:tc>
        <w:tc>
          <w:tcPr>
            <w:tcW w:w="5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TPC Acquisition, LLC d/b/a Therapy Partner</w:t>
            </w:r>
          </w:p>
        </w:tc>
        <w:tc>
          <w:tcPr>
            <w:tcW w:w="5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Updox LLC</w:t>
            </w:r>
          </w:p>
        </w:tc>
        <w:tc>
          <w:tcPr>
            <w:tcW w:w="5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Zenvoice Software Inc.</w:t>
            </w:r>
          </w:p>
        </w:tc>
        <w:tc>
          <w:tcPr>
            <w:tcW w:w="5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British Columbia</w:t>
            </w:r>
          </w:p>
        </w:tc>
      </w:tr>
    </w:tbl>
    <w:p>
      <w:pPr>
        <w:sectPr>
          <w:pgSz w:w="11900" w:h="16838" w:orient="portrait"/>
          <w:cols w:equalWidth="0" w:num="1">
            <w:col w:w="10940"/>
          </w:cols>
          <w:pgMar w:left="620" w:top="126"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39" w:lineRule="exact"/>
        <w:rPr>
          <w:sz w:val="20"/>
          <w:szCs w:val="20"/>
          <w:color w:val="auto"/>
        </w:rPr>
      </w:pPr>
    </w:p>
    <w:p>
      <w:pPr>
        <w:ind w:left="660" w:right="20" w:hanging="328"/>
        <w:spacing w:after="0" w:line="266" w:lineRule="auto"/>
        <w:tabs>
          <w:tab w:leader="none" w:pos="65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333-257707) pertaining to the Amended &amp; Restated 2016 Equity Incentive Plan, 2021 Incentive Award Plan and the 2021 Employee Stock Purchase Plan of EverCommerce Inc.</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333-268321) pertaining to the 2021 Incentive Award Plan, 2021 Employee Stock Purchase Plan, and 2008 Equity Incentive Plan of EverCommerce Inc. (formerly known as PaySimple, Inc.)</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333-277956) pertaining to the 2021 Incentive Award Plan and 2021 Employee Stock Purchase Plan of EverCommerce Inc.</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of our report dated March 13, 2025, with respect to the consolidated financial statements of EverCommerce Inc. included in this Annual Report on Form 10-K of EverCommerce Inc. for the year ended December 31,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2025</w:t>
      </w:r>
    </w:p>
    <w:p>
      <w:pPr>
        <w:sectPr>
          <w:pgSz w:w="11900" w:h="16838" w:orient="portrait"/>
          <w:cols w:equalWidth="0" w:num="1">
            <w:col w:w="11240"/>
          </w:cols>
          <w:pgMar w:left="320" w:top="126" w:right="339" w:bottom="1440" w:gutter="0" w:footer="0" w:header="0"/>
        </w:sectPr>
      </w:pPr>
    </w:p>
    <w:bookmarkStart w:id="132" w:name="page133"/>
    <w:bookmarkEnd w:id="132"/>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Remer, certify that:</w:t>
      </w:r>
    </w:p>
    <w:p>
      <w:pPr>
        <w:spacing w:after="0" w:line="198" w:lineRule="exact"/>
        <w:rPr>
          <w:sz w:val="20"/>
          <w:szCs w:val="20"/>
          <w:color w:val="auto"/>
        </w:rPr>
      </w:pPr>
    </w:p>
    <w:p>
      <w:pPr>
        <w:ind w:left="440" w:hanging="432"/>
        <w:spacing w:after="0"/>
        <w:tabs>
          <w:tab w:leader="none" w:pos="4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EverCommerce Inc.;</w:t>
      </w:r>
    </w:p>
    <w:p>
      <w:pPr>
        <w:spacing w:after="0" w:line="184"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440" w:hanging="432"/>
        <w:spacing w:after="0" w:line="237" w:lineRule="auto"/>
        <w:tabs>
          <w:tab w:leader="none" w:pos="43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8"/>
          <w:szCs w:val="18"/>
          <w:color w:val="auto"/>
        </w:rPr>
      </w:pPr>
    </w:p>
    <w:p>
      <w:pPr>
        <w:jc w:val="both"/>
        <w:ind w:left="420" w:hanging="412"/>
        <w:spacing w:after="0" w:line="226" w:lineRule="auto"/>
        <w:tabs>
          <w:tab w:leader="none" w:pos="4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87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95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85"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8"/>
          <w:szCs w:val="18"/>
          <w:color w:val="auto"/>
        </w:rPr>
      </w:pPr>
    </w:p>
    <w:p>
      <w:pPr>
        <w:ind w:left="440" w:hanging="432"/>
        <w:spacing w:after="0" w:line="250" w:lineRule="auto"/>
        <w:tabs>
          <w:tab w:leader="none" w:pos="43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Times New Roman" w:cs="Times New Roman" w:eastAsia="Times New Roman" w:hAnsi="Times New Roman"/>
          <w:sz w:val="18"/>
          <w:szCs w:val="18"/>
          <w:color w:val="auto"/>
        </w:rPr>
      </w:pPr>
    </w:p>
    <w:p>
      <w:pPr>
        <w:ind w:left="900" w:hanging="451"/>
        <w:spacing w:after="0" w:line="237" w:lineRule="auto"/>
        <w:tabs>
          <w:tab w:leader="none" w:pos="84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2025</w:t>
            </w:r>
          </w:p>
        </w:tc>
        <w:tc>
          <w:tcPr>
            <w:tcW w:w="2760" w:type="dxa"/>
            <w:vAlign w:val="bottom"/>
            <w:vMerge w:val="restart"/>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Eric Remer</w:t>
            </w:r>
          </w:p>
        </w:tc>
        <w:tc>
          <w:tcPr>
            <w:tcW w:w="0" w:type="dxa"/>
            <w:vAlign w:val="bottom"/>
          </w:tcPr>
          <w:p>
            <w:pPr>
              <w:spacing w:after="0"/>
              <w:rPr>
                <w:sz w:val="1"/>
                <w:szCs w:val="1"/>
                <w:color w:val="auto"/>
              </w:rPr>
            </w:pPr>
          </w:p>
        </w:tc>
      </w:tr>
      <w:tr>
        <w:trPr>
          <w:trHeight w:val="73"/>
        </w:trPr>
        <w:tc>
          <w:tcPr>
            <w:tcW w:w="344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5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34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Eric Remer</w:t>
            </w:r>
          </w:p>
        </w:tc>
        <w:tc>
          <w:tcPr>
            <w:tcW w:w="0" w:type="dxa"/>
            <w:vAlign w:val="bottom"/>
          </w:tcPr>
          <w:p>
            <w:pPr>
              <w:spacing w:after="0"/>
              <w:rPr>
                <w:sz w:val="1"/>
                <w:szCs w:val="1"/>
                <w:color w:val="auto"/>
              </w:rPr>
            </w:pPr>
          </w:p>
        </w:tc>
      </w:tr>
      <w:tr>
        <w:trPr>
          <w:trHeight w:val="221"/>
        </w:trPr>
        <w:tc>
          <w:tcPr>
            <w:tcW w:w="34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Director</w:t>
            </w:r>
          </w:p>
        </w:tc>
        <w:tc>
          <w:tcPr>
            <w:tcW w:w="0" w:type="dxa"/>
            <w:vAlign w:val="bottom"/>
          </w:tcPr>
          <w:p>
            <w:pPr>
              <w:spacing w:after="0"/>
              <w:rPr>
                <w:sz w:val="1"/>
                <w:szCs w:val="1"/>
                <w:color w:val="auto"/>
              </w:rPr>
            </w:pPr>
          </w:p>
        </w:tc>
      </w:tr>
      <w:tr>
        <w:trPr>
          <w:trHeight w:val="238"/>
        </w:trPr>
        <w:tc>
          <w:tcPr>
            <w:tcW w:w="34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133" w:name="page134"/>
    <w:bookmarkEnd w:id="133"/>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H. Siurek, certify that:</w:t>
      </w:r>
    </w:p>
    <w:p>
      <w:pPr>
        <w:spacing w:after="0" w:line="198" w:lineRule="exact"/>
        <w:rPr>
          <w:sz w:val="20"/>
          <w:szCs w:val="20"/>
          <w:color w:val="auto"/>
        </w:rPr>
      </w:pPr>
    </w:p>
    <w:p>
      <w:pPr>
        <w:ind w:left="420" w:hanging="412"/>
        <w:spacing w:after="0"/>
        <w:tabs>
          <w:tab w:leader="none" w:pos="4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EverCommerce Inc.;</w:t>
      </w:r>
    </w:p>
    <w:p>
      <w:pPr>
        <w:spacing w:after="0" w:line="184" w:lineRule="exact"/>
        <w:rPr>
          <w:rFonts w:ascii="Times New Roman" w:cs="Times New Roman" w:eastAsia="Times New Roman" w:hAnsi="Times New Roman"/>
          <w:sz w:val="18"/>
          <w:szCs w:val="18"/>
          <w:color w:val="auto"/>
        </w:rPr>
      </w:pPr>
    </w:p>
    <w:p>
      <w:pPr>
        <w:jc w:val="both"/>
        <w:ind w:left="420" w:hanging="412"/>
        <w:spacing w:after="0" w:line="231" w:lineRule="auto"/>
        <w:tabs>
          <w:tab w:leader="none" w:pos="4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420" w:hanging="412"/>
        <w:spacing w:after="0" w:line="237" w:lineRule="auto"/>
        <w:tabs>
          <w:tab w:leader="none" w:pos="4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8"/>
          <w:szCs w:val="18"/>
          <w:color w:val="auto"/>
        </w:rPr>
      </w:pPr>
    </w:p>
    <w:p>
      <w:pPr>
        <w:jc w:val="both"/>
        <w:ind w:left="420" w:hanging="412"/>
        <w:spacing w:after="0" w:line="226" w:lineRule="auto"/>
        <w:tabs>
          <w:tab w:leader="none" w:pos="4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87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95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85"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8"/>
          <w:szCs w:val="18"/>
          <w:color w:val="auto"/>
        </w:rPr>
      </w:pPr>
    </w:p>
    <w:p>
      <w:pPr>
        <w:ind w:left="420" w:hanging="412"/>
        <w:spacing w:after="0" w:line="250" w:lineRule="auto"/>
        <w:tabs>
          <w:tab w:leader="none" w:pos="4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Times New Roman" w:cs="Times New Roman" w:eastAsia="Times New Roman" w:hAnsi="Times New Roman"/>
          <w:sz w:val="18"/>
          <w:szCs w:val="18"/>
          <w:color w:val="auto"/>
        </w:rPr>
      </w:pPr>
    </w:p>
    <w:p>
      <w:pPr>
        <w:ind w:left="900" w:hanging="451"/>
        <w:spacing w:after="0" w:line="237" w:lineRule="auto"/>
        <w:tabs>
          <w:tab w:leader="none" w:pos="848"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2025</w:t>
            </w:r>
          </w:p>
        </w:tc>
        <w:tc>
          <w:tcPr>
            <w:tcW w:w="2760" w:type="dxa"/>
            <w:vAlign w:val="bottom"/>
            <w:vMerge w:val="restart"/>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Ryan H. Siurek</w:t>
            </w:r>
          </w:p>
        </w:tc>
        <w:tc>
          <w:tcPr>
            <w:tcW w:w="0" w:type="dxa"/>
            <w:vAlign w:val="bottom"/>
          </w:tcPr>
          <w:p>
            <w:pPr>
              <w:spacing w:after="0"/>
              <w:rPr>
                <w:sz w:val="1"/>
                <w:szCs w:val="1"/>
                <w:color w:val="auto"/>
              </w:rPr>
            </w:pPr>
          </w:p>
        </w:tc>
      </w:tr>
      <w:tr>
        <w:trPr>
          <w:trHeight w:val="73"/>
        </w:trPr>
        <w:tc>
          <w:tcPr>
            <w:tcW w:w="344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5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34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Ryan H. Siurek</w:t>
            </w:r>
          </w:p>
        </w:tc>
        <w:tc>
          <w:tcPr>
            <w:tcW w:w="0" w:type="dxa"/>
            <w:vAlign w:val="bottom"/>
          </w:tcPr>
          <w:p>
            <w:pPr>
              <w:spacing w:after="0"/>
              <w:rPr>
                <w:sz w:val="1"/>
                <w:szCs w:val="1"/>
                <w:color w:val="auto"/>
              </w:rPr>
            </w:pPr>
          </w:p>
        </w:tc>
      </w:tr>
      <w:tr>
        <w:trPr>
          <w:trHeight w:val="221"/>
        </w:trPr>
        <w:tc>
          <w:tcPr>
            <w:tcW w:w="34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38"/>
        </w:trPr>
        <w:tc>
          <w:tcPr>
            <w:tcW w:w="34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9"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firstLine="441"/>
        <w:spacing w:after="0" w:line="222" w:lineRule="auto"/>
        <w:rPr>
          <w:sz w:val="20"/>
          <w:szCs w:val="20"/>
          <w:color w:val="auto"/>
        </w:rPr>
      </w:pPr>
      <w:r>
        <w:rPr>
          <w:rFonts w:ascii="Times New Roman" w:cs="Times New Roman" w:eastAsia="Times New Roman" w:hAnsi="Times New Roman"/>
          <w:sz w:val="18"/>
          <w:szCs w:val="18"/>
          <w:color w:val="auto"/>
        </w:rPr>
        <w:t>In connection with the Annual Report on Form 10-K of EverCommerce Inc. (the “Company”) for the period ended December 31, 2024 as filed with the Securities and Exchange Commission on the date hereof (the “Report”), I certify, pursuant to 18 U.S.C. § 1350, as adopted pursuant to § 906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 to the best of my knowledge:</w:t>
      </w:r>
    </w:p>
    <w:p>
      <w:pPr>
        <w:spacing w:after="0" w:line="165" w:lineRule="exact"/>
        <w:rPr>
          <w:sz w:val="20"/>
          <w:szCs w:val="20"/>
          <w:color w:val="auto"/>
        </w:rPr>
      </w:pPr>
    </w:p>
    <w:p>
      <w:pPr>
        <w:ind w:left="840" w:hanging="391"/>
        <w:spacing w:after="0"/>
        <w:tabs>
          <w:tab w:leader="none" w:pos="8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00" w:right="20" w:hanging="451"/>
        <w:spacing w:after="0" w:line="250" w:lineRule="auto"/>
        <w:tabs>
          <w:tab w:leader="none" w:pos="96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March 13, 2025</w:t>
            </w:r>
          </w:p>
        </w:tc>
        <w:tc>
          <w:tcPr>
            <w:tcW w:w="76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135"/>
        </w:trPr>
        <w:tc>
          <w:tcPr>
            <w:tcW w:w="3620" w:type="dxa"/>
            <w:vAlign w:val="bottom"/>
            <w:vMerge w:val="continue"/>
          </w:tcPr>
          <w:p>
            <w:pPr>
              <w:spacing w:after="0"/>
              <w:rPr>
                <w:sz w:val="11"/>
                <w:szCs w:val="11"/>
                <w:color w:val="auto"/>
              </w:rPr>
            </w:pPr>
          </w:p>
        </w:tc>
        <w:tc>
          <w:tcPr>
            <w:tcW w:w="2420" w:type="dxa"/>
            <w:vAlign w:val="bottom"/>
          </w:tcPr>
          <w:p>
            <w:pPr>
              <w:spacing w:after="0"/>
              <w:rPr>
                <w:sz w:val="11"/>
                <w:szCs w:val="11"/>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Eric Remer</w:t>
            </w:r>
          </w:p>
        </w:tc>
        <w:tc>
          <w:tcPr>
            <w:tcW w:w="0" w:type="dxa"/>
            <w:vAlign w:val="bottom"/>
          </w:tcPr>
          <w:p>
            <w:pPr>
              <w:spacing w:after="0"/>
              <w:rPr>
                <w:sz w:val="1"/>
                <w:szCs w:val="1"/>
                <w:color w:val="auto"/>
              </w:rPr>
            </w:pPr>
          </w:p>
        </w:tc>
      </w:tr>
      <w:tr>
        <w:trPr>
          <w:trHeight w:val="86"/>
        </w:trPr>
        <w:tc>
          <w:tcPr>
            <w:tcW w:w="36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5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36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Eric Remer</w:t>
            </w:r>
          </w:p>
        </w:tc>
        <w:tc>
          <w:tcPr>
            <w:tcW w:w="0" w:type="dxa"/>
            <w:vAlign w:val="bottom"/>
          </w:tcPr>
          <w:p>
            <w:pPr>
              <w:spacing w:after="0"/>
              <w:rPr>
                <w:sz w:val="1"/>
                <w:szCs w:val="1"/>
                <w:color w:val="auto"/>
              </w:rPr>
            </w:pPr>
          </w:p>
        </w:tc>
      </w:tr>
      <w:tr>
        <w:trPr>
          <w:trHeight w:val="212"/>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Director</w:t>
            </w: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9"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firstLine="441"/>
        <w:spacing w:after="0" w:line="222" w:lineRule="auto"/>
        <w:rPr>
          <w:sz w:val="20"/>
          <w:szCs w:val="20"/>
          <w:color w:val="auto"/>
        </w:rPr>
      </w:pPr>
      <w:r>
        <w:rPr>
          <w:rFonts w:ascii="Times New Roman" w:cs="Times New Roman" w:eastAsia="Times New Roman" w:hAnsi="Times New Roman"/>
          <w:sz w:val="18"/>
          <w:szCs w:val="18"/>
          <w:color w:val="auto"/>
        </w:rPr>
        <w:t>In connection with the Annual Report on Form 10-K of EverCommerce Inc. (the “Company”) for the period ended December 31, 2024 as filed with the Securities and Exchange Commission on the date hereof (the “Report”), I certify, pursuant to 18 U.S.C. § 1350, as adopted pursuant to § 906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 to the best of my knowledge:</w:t>
      </w:r>
    </w:p>
    <w:p>
      <w:pPr>
        <w:spacing w:after="0" w:line="165" w:lineRule="exact"/>
        <w:rPr>
          <w:sz w:val="20"/>
          <w:szCs w:val="20"/>
          <w:color w:val="auto"/>
        </w:rPr>
      </w:pPr>
    </w:p>
    <w:p>
      <w:pPr>
        <w:ind w:left="840" w:hanging="391"/>
        <w:spacing w:after="0"/>
        <w:tabs>
          <w:tab w:leader="none" w:pos="8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00" w:right="20" w:hanging="451"/>
        <w:spacing w:after="0" w:line="250" w:lineRule="auto"/>
        <w:tabs>
          <w:tab w:leader="none" w:pos="96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March 13, 2025</w:t>
            </w:r>
          </w:p>
        </w:tc>
        <w:tc>
          <w:tcPr>
            <w:tcW w:w="76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135"/>
        </w:trPr>
        <w:tc>
          <w:tcPr>
            <w:tcW w:w="3620" w:type="dxa"/>
            <w:vAlign w:val="bottom"/>
            <w:vMerge w:val="continue"/>
          </w:tcPr>
          <w:p>
            <w:pPr>
              <w:spacing w:after="0"/>
              <w:rPr>
                <w:sz w:val="11"/>
                <w:szCs w:val="11"/>
                <w:color w:val="auto"/>
              </w:rPr>
            </w:pPr>
          </w:p>
        </w:tc>
        <w:tc>
          <w:tcPr>
            <w:tcW w:w="2420" w:type="dxa"/>
            <w:vAlign w:val="bottom"/>
          </w:tcPr>
          <w:p>
            <w:pPr>
              <w:spacing w:after="0"/>
              <w:rPr>
                <w:sz w:val="11"/>
                <w:szCs w:val="11"/>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Ryan H. Siurek</w:t>
            </w:r>
          </w:p>
        </w:tc>
        <w:tc>
          <w:tcPr>
            <w:tcW w:w="0" w:type="dxa"/>
            <w:vAlign w:val="bottom"/>
          </w:tcPr>
          <w:p>
            <w:pPr>
              <w:spacing w:after="0"/>
              <w:rPr>
                <w:sz w:val="1"/>
                <w:szCs w:val="1"/>
                <w:color w:val="auto"/>
              </w:rPr>
            </w:pPr>
          </w:p>
        </w:tc>
      </w:tr>
      <w:tr>
        <w:trPr>
          <w:trHeight w:val="86"/>
        </w:trPr>
        <w:tc>
          <w:tcPr>
            <w:tcW w:w="36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5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36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Ryan H. Siurek</w:t>
            </w:r>
          </w:p>
        </w:tc>
        <w:tc>
          <w:tcPr>
            <w:tcW w:w="0" w:type="dxa"/>
            <w:vAlign w:val="bottom"/>
          </w:tcPr>
          <w:p>
            <w:pPr>
              <w:spacing w:after="0"/>
              <w:rPr>
                <w:sz w:val="1"/>
                <w:szCs w:val="1"/>
                <w:color w:val="auto"/>
              </w:rPr>
            </w:pPr>
          </w:p>
        </w:tc>
      </w:tr>
      <w:tr>
        <w:trPr>
          <w:trHeight w:val="212"/>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1)"/>
      <w:numFmt w:val="lowerRoman"/>
      <w:start w:val="3"/>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1)"/>
      <w:numFmt w:val="decimal"/>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1"/>
      <w:numFmt w:val="decimal"/>
      <w:start w:val="252"/>
    </w:lvl>
  </w:abstractNum>
  <w:abstractNum w:abstractNumId="36">
    <w:nsid w:val="5DC79EA8"/>
    <w:multiLevelType w:val="hybridMultilevel"/>
    <w:lvl w:ilvl="0">
      <w:lvlJc w:val="left"/>
      <w:lvlText w:val="%1."/>
      <w:numFmt w:val="decimal"/>
      <w:start w:val="20"/>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1)"/>
      <w:numFmt w:val="decimal"/>
      <w:start w:val="1"/>
    </w:lvl>
  </w:abstractNum>
  <w:abstractNum w:abstractNumId="40">
    <w:nsid w:val="613EFDC5"/>
    <w:multiLevelType w:val="hybridMultilevel"/>
    <w:lvl w:ilvl="0">
      <w:lvlJc w:val="left"/>
      <w:lvlText w:val="(%1)"/>
      <w:numFmt w:val="decimal"/>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1)"/>
      <w:numFmt w:val="decimal"/>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1)"/>
      <w:numFmt w:val="lowerLetter"/>
      <w:start w:val="1"/>
    </w:lvl>
  </w:abstractNum>
  <w:abstractNum w:abstractNumId="45">
    <w:nsid w:val="8F2B15E"/>
    <w:multiLevelType w:val="hybridMultilevel"/>
    <w:lvl w:ilvl="0">
      <w:lvlJc w:val="left"/>
      <w:lvlText w:val="(%1)"/>
      <w:numFmt w:val="decimal"/>
      <w:start w:val="1"/>
    </w:lvl>
  </w:abstractNum>
  <w:abstractNum w:abstractNumId="46">
    <w:nsid w:val="1A32234B"/>
    <w:multiLevelType w:val="hybridMultilevel"/>
    <w:lvl w:ilvl="0">
      <w:lvlJc w:val="left"/>
      <w:lvlText w:val="%1."/>
      <w:numFmt w:val="upperLetter"/>
      <w:start w:val="8"/>
    </w:lvl>
    <w:lvl w:ilvl="1">
      <w:lvlJc w:val="left"/>
      <w:lvlText w:val="•"/>
      <w:numFmt w:val="bullet"/>
      <w:start w:val="1"/>
    </w:lvl>
  </w:abstractNum>
  <w:abstractNum w:abstractNumId="47">
    <w:nsid w:val="3B0FD379"/>
    <w:multiLevelType w:val="hybridMultilevel"/>
    <w:lvl w:ilvl="0">
      <w:lvlJc w:val="left"/>
      <w:lvlText w:val="%1."/>
      <w:numFmt w:val="upperLetter"/>
      <w:start w:val="35"/>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2"/>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1."/>
      <w:numFmt w:val="upperLetter"/>
      <w:start w:val="61"/>
    </w:lvl>
  </w:abstractNum>
  <w:abstractNum w:abstractNumId="52">
    <w:nsid w:val="14330624"/>
    <w:multiLevelType w:val="hybridMultilevel"/>
    <w:lvl w:ilvl="0">
      <w:lvlJc w:val="left"/>
      <w:lvlText w:val="%1."/>
      <w:numFmt w:val="upperLetter"/>
    </w:lvl>
    <w:lvl w:ilvl="1">
      <w:lvlJc w:val="left"/>
      <w:lvlText w:val="•"/>
      <w:numFmt w:val="bullet"/>
      <w:start w:val="1"/>
    </w:lvl>
  </w:abstractNum>
  <w:abstractNum w:abstractNumId="53">
    <w:nsid w:val="7FFFCA11"/>
    <w:multiLevelType w:val="hybridMultilevel"/>
    <w:lvl w:ilvl="0">
      <w:lvlJc w:val="left"/>
      <w:lvlText w:val="3"/>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1."/>
      <w:numFmt w:val="upperLetter"/>
      <w:start w:val="2"/>
    </w:lvl>
  </w:abstractNum>
  <w:abstractNum w:abstractNumId="56">
    <w:nsid w:val="100F59DC"/>
    <w:multiLevelType w:val="hybridMultilevel"/>
    <w:lvl w:ilvl="0">
      <w:lvlJc w:val="left"/>
      <w:lvlText w:val="4"/>
      <w:numFmt w:val="bullet"/>
      <w:start w:val="1"/>
    </w:lvl>
  </w:abstractNum>
  <w:abstractNum w:abstractNumId="57">
    <w:nsid w:val="7FB7E0AA"/>
    <w:multiLevelType w:val="hybridMultilevel"/>
    <w:lvl w:ilvl="0">
      <w:lvlJc w:val="left"/>
      <w:lvlText w:val="%1."/>
      <w:numFmt w:val="upperLetter"/>
      <w:start w:val="3"/>
    </w:lvl>
  </w:abstractNum>
  <w:abstractNum w:abstractNumId="58">
    <w:nsid w:val="6EB5BD4"/>
    <w:multiLevelType w:val="hybridMultilevel"/>
    <w:lvl w:ilvl="0">
      <w:lvlJc w:val="left"/>
      <w:lvlText w:val="%1."/>
      <w:numFmt w:val="upperLetter"/>
      <w:start w:val="4"/>
    </w:lvl>
  </w:abstractNum>
  <w:abstractNum w:abstractNumId="59">
    <w:nsid w:val="6F6DD9AC"/>
    <w:multiLevelType w:val="hybridMultilevel"/>
    <w:lvl w:ilvl="0">
      <w:lvlJc w:val="left"/>
      <w:lvlText w:val="%1."/>
      <w:numFmt w:val="upperLetter"/>
      <w:start w:val="5"/>
    </w:lvl>
  </w:abstractNum>
  <w:abstractNum w:abstractNumId="60">
    <w:nsid w:val="94211F2"/>
    <w:multiLevelType w:val="hybridMultilevel"/>
    <w:lvl w:ilvl="0">
      <w:lvlJc w:val="left"/>
      <w:lvlText w:val="5"/>
      <w:numFmt w:val="bullet"/>
      <w:start w:val="1"/>
    </w:lvl>
  </w:abstractNum>
  <w:abstractNum w:abstractNumId="61">
    <w:nsid w:val="885E1B"/>
    <w:multiLevelType w:val="hybridMultilevel"/>
    <w:lvl w:ilvl="0">
      <w:lvlJc w:val="left"/>
      <w:lvlText w:val="•"/>
      <w:numFmt w:val="bullet"/>
      <w:start w:val="1"/>
    </w:lvl>
  </w:abstractNum>
  <w:abstractNum w:abstractNumId="62">
    <w:nsid w:val="76272110"/>
    <w:multiLevelType w:val="hybridMultilevel"/>
    <w:lvl w:ilvl="0">
      <w:lvlJc w:val="left"/>
      <w:lvlText w:val="%1."/>
      <w:numFmt w:val="upperLetter"/>
      <w:start w:val="6"/>
    </w:lvl>
  </w:abstractNum>
  <w:abstractNum w:abstractNumId="63">
    <w:nsid w:val="4C04A8AF"/>
    <w:multiLevelType w:val="hybridMultilevel"/>
    <w:lvl w:ilvl="0">
      <w:lvlJc w:val="left"/>
      <w:lvlText w:val="%1."/>
      <w:numFmt w:val="upperLetter"/>
      <w:start w:val="7"/>
    </w:lvl>
    <w:lvl w:ilvl="1">
      <w:lvlJc w:val="left"/>
      <w:lvlText w:val="•"/>
      <w:numFmt w:val="bullet"/>
      <w:start w:val="1"/>
    </w:lvl>
  </w:abstractNum>
  <w:abstractNum w:abstractNumId="64">
    <w:nsid w:val="1716703B"/>
    <w:multiLevelType w:val="hybridMultilevel"/>
    <w:lvl w:ilvl="0">
      <w:lvlJc w:val="left"/>
      <w:lvlText w:val="6"/>
      <w:numFmt w:val="bullet"/>
      <w:start w:val="1"/>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7"/>
      <w:numFmt w:val="bullet"/>
      <w:start w:val="1"/>
    </w:lvl>
  </w:abstractNum>
  <w:abstractNum w:abstractNumId="67">
    <w:nsid w:val="74DE0EE3"/>
    <w:multiLevelType w:val="hybridMultilevel"/>
    <w:lvl w:ilvl="0">
      <w:lvlJc w:val="left"/>
      <w:lvlText w:val="%1."/>
      <w:numFmt w:val="upperLetter"/>
      <w:start w:val="8"/>
    </w:lvl>
  </w:abstractNum>
  <w:abstractNum w:abstractNumId="68">
    <w:nsid w:val="68EBC550"/>
    <w:multiLevelType w:val="hybridMultilevel"/>
    <w:lvl w:ilvl="0">
      <w:lvlJc w:val="left"/>
      <w:lvlText w:val="%1."/>
      <w:numFmt w:val="upperLetter"/>
      <w:start w:val="1"/>
    </w:lvl>
  </w:abstractNum>
  <w:abstractNum w:abstractNumId="69">
    <w:nsid w:val="2DF6D648"/>
    <w:multiLevelType w:val="hybridMultilevel"/>
    <w:lvl w:ilvl="0">
      <w:lvlJc w:val="left"/>
      <w:lvlText w:val="8"/>
      <w:numFmt w:val="bullet"/>
      <w:start w:val="1"/>
    </w:lvl>
  </w:abstractNum>
  <w:abstractNum w:abstractNumId="70">
    <w:nsid w:val="46B7D447"/>
    <w:multiLevelType w:val="hybridMultilevel"/>
    <w:lvl w:ilvl="0">
      <w:lvlJc w:val="left"/>
      <w:lvlText w:val="%1."/>
      <w:numFmt w:val="upperLetter"/>
      <w:start w:val="2"/>
    </w:lvl>
  </w:abstractNum>
  <w:abstractNum w:abstractNumId="71">
    <w:nsid w:val="4A2AC315"/>
    <w:multiLevelType w:val="hybridMultilevel"/>
    <w:lvl w:ilvl="0">
      <w:lvlJc w:val="left"/>
      <w:lvlText w:val="9"/>
      <w:numFmt w:val="bullet"/>
      <w:start w:val="1"/>
    </w:lvl>
  </w:abstractNum>
  <w:abstractNum w:abstractNumId="72">
    <w:nsid w:val="39EE015C"/>
    <w:multiLevelType w:val="hybridMultilevel"/>
    <w:lvl w:ilvl="0">
      <w:lvlJc w:val="left"/>
      <w:lvlText w:val="%1."/>
      <w:numFmt w:val="upperLetter"/>
      <w:start w:val="3"/>
    </w:lvl>
  </w:abstractNum>
  <w:abstractNum w:abstractNumId="73">
    <w:nsid w:val="57FC4FBB"/>
    <w:multiLevelType w:val="hybridMultilevel"/>
    <w:lvl w:ilvl="0">
      <w:lvlJc w:val="left"/>
      <w:lvlText w:val="%1."/>
      <w:numFmt w:val="upperLetter"/>
      <w:start w:val="4"/>
    </w:lvl>
  </w:abstractNum>
  <w:abstractNum w:abstractNumId="74">
    <w:nsid w:val="CC1016F"/>
    <w:multiLevelType w:val="hybridMultilevel"/>
    <w:lvl w:ilvl="0">
      <w:lvlJc w:val="left"/>
      <w:lvlText w:val="%1."/>
      <w:numFmt w:val="decimal"/>
      <w:start w:val="1"/>
    </w:lvl>
  </w:abstractNum>
  <w:abstractNum w:abstractNumId="75">
    <w:nsid w:val="43F18422"/>
    <w:multiLevelType w:val="hybridMultilevel"/>
    <w:lvl w:ilvl="0">
      <w:lvlJc w:val="left"/>
      <w:lvlText w:val="%1."/>
      <w:numFmt w:val="decimal"/>
      <w:start w:val="2"/>
    </w:lvl>
  </w:abstractNum>
  <w:abstractNum w:abstractNumId="76">
    <w:nsid w:val="60EF0119"/>
    <w:multiLevelType w:val="hybridMultilevel"/>
    <w:lvl w:ilvl="0">
      <w:lvlJc w:val="left"/>
      <w:lvlText w:val="%1."/>
      <w:numFmt w:val="upperLetter"/>
      <w:start w:val="5"/>
    </w:lvl>
  </w:abstractNum>
  <w:abstractNum w:abstractNumId="77">
    <w:nsid w:val="26F324BA"/>
    <w:multiLevelType w:val="hybridMultilevel"/>
    <w:lvl w:ilvl="0">
      <w:lvlJc w:val="left"/>
      <w:lvlText w:val="•"/>
      <w:numFmt w:val="bullet"/>
      <w:start w:val="1"/>
    </w:lvl>
  </w:abstractNum>
  <w:abstractNum w:abstractNumId="78">
    <w:nsid w:val="7F01579B"/>
    <w:multiLevelType w:val="hybridMultilevel"/>
    <w:lvl w:ilvl="0">
      <w:lvlJc w:val="left"/>
      <w:lvlText w:val="%1"/>
      <w:numFmt w:val="decimal"/>
      <w:start w:val="10"/>
    </w:lvl>
  </w:abstractNum>
  <w:abstractNum w:abstractNumId="79">
    <w:nsid w:val="49DA307D"/>
    <w:multiLevelType w:val="hybridMultilevel"/>
    <w:lvl w:ilvl="0">
      <w:lvlJc w:val="left"/>
      <w:lvlText w:val="•"/>
      <w:numFmt w:val="bullet"/>
      <w:start w:val="1"/>
    </w:lvl>
  </w:abstractNum>
  <w:abstractNum w:abstractNumId="80">
    <w:nsid w:val="7055A5F5"/>
    <w:multiLevelType w:val="hybridMultilevel"/>
    <w:lvl w:ilvl="0">
      <w:lvlJc w:val="left"/>
      <w:lvlText w:val="%1."/>
      <w:numFmt w:val="upperLetter"/>
      <w:start w:val="22"/>
    </w:lvl>
  </w:abstractNum>
  <w:abstractNum w:abstractNumId="81">
    <w:nsid w:val="5FB8370B"/>
    <w:multiLevelType w:val="hybridMultilevel"/>
    <w:lvl w:ilvl="0">
      <w:lvlJc w:val="left"/>
      <w:lvlText w:val="%1."/>
      <w:numFmt w:val="upperLetter"/>
      <w:start w:val="1"/>
    </w:lvl>
  </w:abstractNum>
  <w:abstractNum w:abstractNumId="82">
    <w:nsid w:val="50801EE1"/>
    <w:multiLevelType w:val="hybridMultilevel"/>
    <w:lvl w:ilvl="0">
      <w:lvlJc w:val="left"/>
      <w:lvlText w:val="%1."/>
      <w:numFmt w:val="upperLetter"/>
      <w:start w:val="2"/>
    </w:lvl>
  </w:abstractNum>
  <w:abstractNum w:abstractNumId="83">
    <w:nsid w:val="488AC1A"/>
    <w:multiLevelType w:val="hybridMultilevel"/>
    <w:lvl w:ilvl="0">
      <w:lvlJc w:val="left"/>
      <w:lvlText w:val="%1"/>
      <w:numFmt w:val="decimal"/>
      <w:start w:val="11"/>
    </w:lvl>
  </w:abstractNum>
  <w:abstractNum w:abstractNumId="84">
    <w:nsid w:val="5FB8011C"/>
    <w:multiLevelType w:val="hybridMultilevel"/>
    <w:lvl w:ilvl="0">
      <w:lvlJc w:val="left"/>
      <w:lvlText w:val="%1."/>
      <w:numFmt w:val="upperLetter"/>
      <w:start w:val="3"/>
    </w:lvl>
  </w:abstractNum>
  <w:abstractNum w:abstractNumId="85">
    <w:nsid w:val="6AA78F7F"/>
    <w:multiLevelType w:val="hybridMultilevel"/>
    <w:lvl w:ilvl="0">
      <w:lvlJc w:val="left"/>
      <w:lvlText w:val="%1."/>
      <w:numFmt w:val="upperLetter"/>
      <w:start w:val="4"/>
    </w:lvl>
  </w:abstractNum>
  <w:abstractNum w:abstractNumId="86">
    <w:nsid w:val="7672BD23"/>
    <w:multiLevelType w:val="hybridMultilevel"/>
    <w:lvl w:ilvl="0">
      <w:lvlJc w:val="left"/>
      <w:lvlText w:val="%1."/>
      <w:numFmt w:val="upperLetter"/>
      <w:start w:val="5"/>
    </w:lvl>
  </w:abstractNum>
  <w:abstractNum w:abstractNumId="87">
    <w:nsid w:val="6FC75AF8"/>
    <w:multiLevelType w:val="hybridMultilevel"/>
    <w:lvl w:ilvl="0">
      <w:lvlJc w:val="left"/>
      <w:lvlText w:val="%1."/>
      <w:numFmt w:val="upperLetter"/>
      <w:start w:val="1"/>
    </w:lvl>
  </w:abstractNum>
  <w:abstractNum w:abstractNumId="88">
    <w:nsid w:val="6A5F7029"/>
    <w:multiLevelType w:val="hybridMultilevel"/>
    <w:lvl w:ilvl="0">
      <w:lvlJc w:val="left"/>
      <w:lvlText w:val="%1"/>
      <w:numFmt w:val="decimal"/>
      <w:start w:val="12"/>
    </w:lvl>
  </w:abstractNum>
  <w:abstractNum w:abstractNumId="89">
    <w:nsid w:val="7D5E18F8"/>
    <w:multiLevelType w:val="hybridMultilevel"/>
    <w:lvl w:ilvl="0">
      <w:lvlJc w:val="left"/>
      <w:lvlText w:val="%1"/>
      <w:numFmt w:val="decimal"/>
      <w:start w:val="13"/>
    </w:lvl>
  </w:abstractNum>
  <w:abstractNum w:abstractNumId="90">
    <w:nsid w:val="5F3534A4"/>
    <w:multiLevelType w:val="hybridMultilevel"/>
    <w:lvl w:ilvl="0">
      <w:lvlJc w:val="left"/>
      <w:lvlText w:val="•"/>
      <w:numFmt w:val="bullet"/>
      <w:start w:val="1"/>
    </w:lvl>
  </w:abstractNum>
  <w:abstractNum w:abstractNumId="91">
    <w:nsid w:val="73A1821B"/>
    <w:multiLevelType w:val="hybridMultilevel"/>
    <w:lvl w:ilvl="0">
      <w:lvlJc w:val="left"/>
      <w:lvlText w:val="%1."/>
      <w:numFmt w:val="upperLetter"/>
      <w:start w:val="2"/>
    </w:lvl>
  </w:abstractNum>
  <w:abstractNum w:abstractNumId="92">
    <w:nsid w:val="7DE67713"/>
    <w:multiLevelType w:val="hybridMultilevel"/>
    <w:lvl w:ilvl="0">
      <w:lvlJc w:val="left"/>
      <w:lvlText w:val="%1"/>
      <w:numFmt w:val="decimal"/>
      <w:start w:val="14"/>
    </w:lvl>
  </w:abstractNum>
  <w:abstractNum w:abstractNumId="93">
    <w:nsid w:val="555C55B5"/>
    <w:multiLevelType w:val="hybridMultilevel"/>
    <w:lvl w:ilvl="0">
      <w:lvlJc w:val="left"/>
      <w:lvlText w:val="%1."/>
      <w:numFmt w:val="upperLetter"/>
      <w:start w:val="3"/>
    </w:lvl>
  </w:abstractNum>
  <w:abstractNum w:abstractNumId="94">
    <w:nsid w:val="3FA62ACA"/>
    <w:multiLevelType w:val="hybridMultilevel"/>
    <w:lvl w:ilvl="0">
      <w:lvlJc w:val="left"/>
      <w:lvlText w:val="%1."/>
      <w:numFmt w:val="upperLetter"/>
      <w:start w:val="4"/>
    </w:lvl>
  </w:abstractNum>
  <w:abstractNum w:abstractNumId="95">
    <w:nsid w:val="14FCE74E"/>
    <w:multiLevelType w:val="hybridMultilevel"/>
    <w:lvl w:ilvl="0">
      <w:lvlJc w:val="left"/>
      <w:lvlText w:val="%1."/>
      <w:numFmt w:val="upperLetter"/>
      <w:start w:val="5"/>
    </w:lvl>
  </w:abstractNum>
  <w:abstractNum w:abstractNumId="96">
    <w:nsid w:val="6A3DD3E8"/>
    <w:multiLevelType w:val="hybridMultilevel"/>
    <w:lvl w:ilvl="0">
      <w:lvlJc w:val="left"/>
      <w:lvlText w:val="%1."/>
      <w:numFmt w:val="upperLetter"/>
      <w:start w:val="6"/>
    </w:lvl>
  </w:abstractNum>
  <w:abstractNum w:abstractNumId="97">
    <w:nsid w:val="71C91298"/>
    <w:multiLevelType w:val="hybridMultilevel"/>
    <w:lvl w:ilvl="0">
      <w:lvlJc w:val="left"/>
      <w:lvlText w:val="%1."/>
      <w:numFmt w:val="upperLetter"/>
      <w:start w:val="7"/>
    </w:lvl>
  </w:abstractNum>
  <w:abstractNum w:abstractNumId="98">
    <w:nsid w:val="9DAF632"/>
    <w:multiLevelType w:val="hybridMultilevel"/>
    <w:lvl w:ilvl="0">
      <w:lvlJc w:val="left"/>
      <w:lvlText w:val="%1"/>
      <w:numFmt w:val="decimal"/>
      <w:start w:val="15"/>
    </w:lvl>
  </w:abstractNum>
  <w:abstractNum w:abstractNumId="99">
    <w:nsid w:val="53299938"/>
    <w:multiLevelType w:val="hybridMultilevel"/>
    <w:lvl w:ilvl="0">
      <w:lvlJc w:val="left"/>
      <w:lvlText w:val="%1."/>
      <w:numFmt w:val="upperLetter"/>
      <w:start w:val="8"/>
    </w:lvl>
  </w:abstractNum>
  <w:abstractNum w:abstractNumId="100">
    <w:nsid w:val="1FBFE8E0"/>
    <w:multiLevelType w:val="hybridMultilevel"/>
    <w:lvl w:ilvl="0">
      <w:lvlJc w:val="left"/>
      <w:lvlText w:val="%1"/>
      <w:numFmt w:val="decimal"/>
      <w:start w:val="16"/>
    </w:lvl>
  </w:abstractNum>
  <w:abstractNum w:abstractNumId="101">
    <w:nsid w:val="5092CA79"/>
    <w:multiLevelType w:val="hybridMultilevel"/>
    <w:lvl w:ilvl="0">
      <w:lvlJc w:val="left"/>
      <w:lvlText w:val="☐"/>
      <w:numFmt w:val="bullet"/>
      <w:start w:val="1"/>
    </w:lvl>
  </w:abstractNum>
  <w:abstractNum w:abstractNumId="102">
    <w:nsid w:val="1D545C4D"/>
    <w:multiLevelType w:val="hybridMultilevel"/>
    <w:lvl w:ilvl="0">
      <w:lvlJc w:val="left"/>
      <w:lvlText w:val="☐"/>
      <w:numFmt w:val="bullet"/>
      <w:start w:val="1"/>
    </w:lvl>
    <w:lvl w:ilvl="1">
      <w:lvlJc w:val="left"/>
      <w:lvlText w:val="☐"/>
      <w:numFmt w:val="bullet"/>
      <w:start w:val="1"/>
    </w:lvl>
  </w:abstractNum>
  <w:abstractNum w:abstractNumId="103">
    <w:nsid w:val="59ADEA3D"/>
    <w:multiLevelType w:val="hybridMultilevel"/>
    <w:lvl w:ilvl="0">
      <w:lvlJc w:val="left"/>
      <w:lvlText w:val="☐"/>
      <w:numFmt w:val="bullet"/>
      <w:start w:val="1"/>
    </w:lvl>
  </w:abstractNum>
  <w:abstractNum w:abstractNumId="104">
    <w:nsid w:val="288F1A34"/>
    <w:multiLevelType w:val="hybridMultilevel"/>
    <w:lvl w:ilvl="0">
      <w:lvlJc w:val="left"/>
      <w:lvlText w:val="□"/>
      <w:numFmt w:val="bullet"/>
      <w:start w:val="1"/>
    </w:lvl>
  </w:abstractNum>
  <w:abstractNum w:abstractNumId="105">
    <w:nsid w:val="2A155DBC"/>
    <w:multiLevelType w:val="hybridMultilevel"/>
    <w:lvl w:ilvl="0">
      <w:lvlJc w:val="left"/>
      <w:lvlText w:val="1"/>
      <w:numFmt w:val="bullet"/>
      <w:start w:val="1"/>
    </w:lvl>
  </w:abstractNum>
  <w:abstractNum w:abstractNumId="106">
    <w:nsid w:val="1D9F6E5F"/>
    <w:multiLevelType w:val="hybridMultilevel"/>
    <w:lvl w:ilvl="0">
      <w:lvlJc w:val="left"/>
      <w:lvlText w:val="(%1)"/>
      <w:numFmt w:val="decimal"/>
      <w:start w:val="1"/>
    </w:lvl>
  </w:abstractNum>
  <w:abstractNum w:abstractNumId="107">
    <w:nsid w:val="97E1B4E"/>
    <w:multiLevelType w:val="hybridMultilevel"/>
    <w:lvl w:ilvl="0">
      <w:lvlJc w:val="left"/>
      <w:lvlText w:val="%1."/>
      <w:numFmt w:val="decimal"/>
      <w:start w:val="1"/>
    </w:lvl>
    <w:lvl w:ilvl="1">
      <w:lvlJc w:val="left"/>
      <w:lvlText w:val="(%2)"/>
      <w:numFmt w:val="lowerLetter"/>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jpe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jpeg"/><Relationship Id="rId218" Type="http://schemas.openxmlformats.org/officeDocument/2006/relationships/image" Target="media/image186.jpeg"/><Relationship Id="rId166" Type="http://schemas.openxmlformats.org/officeDocument/2006/relationships/hyperlink" Target="https://www.sec.gov/Archives/edgar/data/0001853145/000114036121023912/nt10022251x16_ex3-1.htm" TargetMode="External"/><Relationship Id="rId167" Type="http://schemas.openxmlformats.org/officeDocument/2006/relationships/hyperlink" Target="https://www.sec.gov/Archives/edgar/data/0001853145/000114036121023912/nt10022251x16_ex3-2.htm" TargetMode="External"/><Relationship Id="rId168" Type="http://schemas.openxmlformats.org/officeDocument/2006/relationships/hyperlink" Target="https://www.sec.gov/Archives/edgar/data/0001853145/000114036121021966/nt10022251x6_ex4-1.htm" TargetMode="External"/><Relationship Id="rId169" Type="http://schemas.openxmlformats.org/officeDocument/2006/relationships/hyperlink" Target="https://www.sec.gov/Archives/edgar/data/0001853145/000114036121019260/nt10022251x4_ex4-2.htm" TargetMode="External"/><Relationship Id="rId170" Type="http://schemas.openxmlformats.org/officeDocument/2006/relationships/hyperlink" Target="https://www.sec.gov/Archives/edgar/data/0001853145/000114036121023912/nt10022251x16_ex10-1.htm" TargetMode="External"/><Relationship Id="rId171" Type="http://schemas.openxmlformats.org/officeDocument/2006/relationships/hyperlink" Target="https://www.sec.gov/Archives/edgar/data/0001853145/000114036121023912/nt10022251x16_ex10-2.htm" TargetMode="External"/><Relationship Id="rId172" Type="http://schemas.openxmlformats.org/officeDocument/2006/relationships/hyperlink" Target="https://www.sec.gov/ix?doc=/Archives/edgar/data/0001853145/000185314522000011/evcm-20211231.htm" TargetMode="External"/><Relationship Id="rId173" Type="http://schemas.openxmlformats.org/officeDocument/2006/relationships/hyperlink" Target="https://www.sec.gov/Archives/edgar/data/0001853145/000114036121021966/nt10022251x6_ex10-1.htm" TargetMode="External"/><Relationship Id="rId174" Type="http://schemas.openxmlformats.org/officeDocument/2006/relationships/hyperlink" Target="https://www.sec.gov/Archives/edgar/data/0001853145/000114036121021966/nt10022251x6_ex10-2.htm" TargetMode="External"/><Relationship Id="rId175" Type="http://schemas.openxmlformats.org/officeDocument/2006/relationships/hyperlink" Target="https://www.sec.gov/Archives/edgar/data/0001853145/000114036121021966/nt10022251x6_ex10-6.htm" TargetMode="External"/><Relationship Id="rId176" Type="http://schemas.openxmlformats.org/officeDocument/2006/relationships/hyperlink" Target="https://www.sec.gov/Archives/edgar/data/0001853145/000114036121021966/nt10022251x6ex10-6_1.htm" TargetMode="External"/><Relationship Id="rId177" Type="http://schemas.openxmlformats.org/officeDocument/2006/relationships/hyperlink" Target="https://www.sec.gov/Archives/edgar/data/0001853145/000114036121021966/nt10022251x6ex10-6_2.htm" TargetMode="External"/><Relationship Id="rId178" Type="http://schemas.openxmlformats.org/officeDocument/2006/relationships/hyperlink" Target="https://www.sec.gov/Archives/edgar/data/0001853145/000114036121021966/nt10022251x6_ex10-7.htm" TargetMode="External"/><Relationship Id="rId179" Type="http://schemas.openxmlformats.org/officeDocument/2006/relationships/hyperlink" Target="https://www.sec.gov/Archives/edgar/data/1853145/000185314524000035/a101evercommerceamendeda.htm" TargetMode="External"/><Relationship Id="rId180" Type="http://schemas.openxmlformats.org/officeDocument/2006/relationships/hyperlink" Target="https://www.sec.gov/Archives/edgar/data/1853145/000185314524000054/a101-thompsonseparationagr.htm" TargetMode="External"/><Relationship Id="rId181" Type="http://schemas.openxmlformats.org/officeDocument/2006/relationships/hyperlink" Target="https://www.sec.gov/Archives/edgar/data/1853145/000185314524000054/a102ryansiurekemploymentag.htm" TargetMode="External"/><Relationship Id="rId184" Type="http://schemas.openxmlformats.org/officeDocument/2006/relationships/hyperlink" Target="https://www.sec.gov/Archives/edgar/data/1853145/000114036122041068/brhc10044010_s8.htm" TargetMode="External"/><Relationship Id="rId185" Type="http://schemas.openxmlformats.org/officeDocument/2006/relationships/hyperlink" Target="https://www.sec.gov/Archives/edgar/data/0001853145/000114036121023912/nt10022251x16_ex10-3.htm" TargetMode="External"/><Relationship Id="rId186" Type="http://schemas.openxmlformats.org/officeDocument/2006/relationships/hyperlink" Target="https://www.sec.gov/Archives/edgar/data/0001853145/000114036121039191/brhc10031152_ex10-1.htm" TargetMode="External"/><Relationship Id="rId187" Type="http://schemas.openxmlformats.org/officeDocument/2006/relationships/hyperlink" Target="https://www.sec.gov/Archives/edgar/data/1853145/000185314523000024/amendmentno2datedasofjune2.htm" TargetMode="External"/><Relationship Id="rId188" Type="http://schemas.openxmlformats.org/officeDocument/2006/relationships/hyperlink" Target="https://www.sec.gov/Archives/edgar/data/1853145/000185314524000058/a01evercommerce-amendmen.htm" TargetMode="External"/><Relationship Id="rId189" Type="http://schemas.openxmlformats.org/officeDocument/2006/relationships/hyperlink" Target="https://www.sec.gov/Archives/edgar/data/0001853145/000114036121023912/nt10022251x16_ex10-4.htm" TargetMode="External"/><Relationship Id="rId190" Type="http://schemas.openxmlformats.org/officeDocument/2006/relationships/hyperlink" Target="https://www.sec.gov/Archives/edgar/data/0001853145/000114036121023912/nt10022251x16_ex10-5.htm" TargetMode="External"/><Relationship Id="rId191" Type="http://schemas.openxmlformats.org/officeDocument/2006/relationships/hyperlink" Target="https://www.sec.gov/Archives/edgar/data/0001853145/000114036121019260/nt10022251x4_ex10-13.htm" TargetMode="External"/><Relationship Id="rId192" Type="http://schemas.openxmlformats.org/officeDocument/2006/relationships/hyperlink" Target="https://www.sec.gov/Archives/edgar/data/1853145/000185314524000026/a971evcm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2025-03-13T16:22:25Z</dcterms:created>
  <dcterms:modified xsi:type="dcterms:W3CDTF">2025-03-13T16:22:25Z</dcterms:modified>
</cp:coreProperties>
</file>