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6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 ___________________ to ___________________</w:t>
      </w:r>
    </w:p>
    <w:p>
      <w:pPr>
        <w:pStyle w:val="TextBody"/>
        <w:bidi w:val="0"/>
        <w:spacing w:lineRule="auto" w:line="288" w:before="120" w:after="283"/>
        <w:jc w:val="center"/>
        <w:rPr/>
      </w:pPr>
      <w:r>
        <w:rPr>
          <w:rFonts w:ascii="Times New Roman;serif" w:hAnsi="Times New Roman;serif"/>
          <w:b/>
          <w:color w:val="000000"/>
          <w:sz w:val="18"/>
        </w:rPr>
        <w:t xml:space="preserve">Commission File Number: </w:t>
      </w:r>
      <w:r>
        <w:rPr>
          <w:rFonts w:ascii="Times New Roman;serif" w:hAnsi="Times New Roman;serif"/>
          <w:b/>
          <w:color w:val="000000"/>
          <w:sz w:val="18"/>
          <w:shd w:fill="FFFFFF" w:val="clear"/>
        </w:rPr>
        <w:t>001-40575</w:t>
      </w:r>
    </w:p>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EverCommerce Inc.</w:t>
      </w:r>
    </w:p>
    <w:p>
      <w:pPr>
        <w:pStyle w:val="TextBody"/>
        <w:bidi w:val="0"/>
        <w:spacing w:lineRule="auto" w:line="288" w:before="120" w:after="18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5321" w:type="dxa"/>
        <w:jc w:val="center"/>
        <w:tblInd w:w="0" w:type="dxa"/>
        <w:tblLayout w:type="fixed"/>
        <w:tblCellMar>
          <w:top w:w="28" w:type="dxa"/>
          <w:left w:w="28" w:type="dxa"/>
          <w:bottom w:w="28" w:type="dxa"/>
          <w:right w:w="28" w:type="dxa"/>
        </w:tblCellMar>
      </w:tblPr>
      <w:tblGrid>
        <w:gridCol w:w="864"/>
        <w:gridCol w:w="757"/>
        <w:gridCol w:w="763"/>
        <w:gridCol w:w="109"/>
        <w:gridCol w:w="109"/>
        <w:gridCol w:w="109"/>
        <w:gridCol w:w="708"/>
        <w:gridCol w:w="708"/>
        <w:gridCol w:w="713"/>
        <w:gridCol w:w="109"/>
        <w:gridCol w:w="109"/>
        <w:gridCol w:w="109"/>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81-4063248</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(I.R.S. Employer Identification No.)</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3601 Walnut Street, Suite 400</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Denver, Colorado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80205</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(Zip Code)</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(720) 647-4948</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120" w:after="60"/>
        <w:jc w:val="both"/>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6554" w:type="dxa"/>
        <w:jc w:val="left"/>
        <w:tblInd w:w="0" w:type="dxa"/>
        <w:tblLayout w:type="fixed"/>
        <w:tblCellMar>
          <w:top w:w="28" w:type="dxa"/>
          <w:left w:w="28" w:type="dxa"/>
          <w:bottom w:w="28" w:type="dxa"/>
          <w:right w:w="28" w:type="dxa"/>
        </w:tblCellMar>
      </w:tblPr>
      <w:tblGrid>
        <w:gridCol w:w="948"/>
        <w:gridCol w:w="835"/>
        <w:gridCol w:w="842"/>
        <w:gridCol w:w="409"/>
        <w:gridCol w:w="409"/>
        <w:gridCol w:w="411"/>
        <w:gridCol w:w="791"/>
        <w:gridCol w:w="791"/>
        <w:gridCol w:w="1118"/>
      </w:tblGrid>
      <w:tr>
        <w:trPr/>
        <w:tc>
          <w:tcPr>
            <w:tcW w:w="94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12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Trading Symbol(s)</w:t>
            </w:r>
          </w:p>
        </w:tc>
        <w:tc>
          <w:tcPr>
            <w:tcW w:w="27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26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$0.00001 par value</w:t>
            </w:r>
          </w:p>
        </w:tc>
        <w:tc>
          <w:tcPr>
            <w:tcW w:w="12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EVCM</w:t>
            </w:r>
          </w:p>
        </w:tc>
        <w:tc>
          <w:tcPr>
            <w:tcW w:w="270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Yes ☒ No ☐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Yes ☒ No ☐</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05"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Yes ☐ No ☒</w:t>
      </w:r>
    </w:p>
    <w:p>
      <w:pPr>
        <w:pStyle w:val="TextBody"/>
        <w:bidi w:val="0"/>
        <w:spacing w:lineRule="auto" w:line="288" w:before="180" w:after="283"/>
        <w:jc w:val="both"/>
        <w:rPr/>
      </w:pPr>
      <w:r>
        <w:rPr>
          <w:rFonts w:ascii="Times New Roman;serif" w:hAnsi="Times New Roman;serif"/>
          <w:b w:val="false"/>
          <w:color w:val="000000"/>
          <w:sz w:val="18"/>
        </w:rPr>
        <w:t>As of July 31, 2026, there were 176,665,246 shares of the registrant’s common stock, par value $0.00001, outstanding.</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68"/>
        <w:gridCol w:w="324"/>
        <w:gridCol w:w="284"/>
        <w:gridCol w:w="2893"/>
        <w:gridCol w:w="2893"/>
        <w:gridCol w:w="2900"/>
        <w:gridCol w:w="158"/>
        <w:gridCol w:w="158"/>
        <w:gridCol w:w="227"/>
      </w:tblGrid>
      <w:tr>
        <w:trPr/>
        <w:tc>
          <w:tcPr>
            <w:tcW w:w="3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86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INFORMATION</w:t>
            </w:r>
          </w:p>
        </w:tc>
        <w:tc>
          <w:tcPr>
            <w:tcW w:w="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98ec33c7f3ba4b95846e21c76db76ecf_16">
              <w:r>
                <w:rPr>
                  <w:rStyle w:val="InternetLink"/>
                  <w:rFonts w:ascii="Times New Roman;serif" w:hAnsi="Times New Roman;serif"/>
                  <w:b w:val="false"/>
                  <w:strike w:val="false"/>
                  <w:dstrike w:val="false"/>
                  <w:color w:val="000000"/>
                  <w:sz w:val="20"/>
                  <w:u w:val="none"/>
                  <w:effect w:val="none"/>
                </w:rPr>
                <w:t>Item 1.</w:t>
              </w:r>
            </w:hyperlink>
          </w:p>
        </w:tc>
        <w:tc>
          <w:tcPr>
            <w:tcW w:w="86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98ec33c7f3ba4b95846e21c76db76ecf_22">
              <w:r>
                <w:rPr>
                  <w:rStyle w:val="InternetLink"/>
                  <w:rFonts w:ascii="Times New Roman;serif" w:hAnsi="Times New Roman;serif"/>
                  <w:b w:val="false"/>
                  <w:strike w:val="false"/>
                  <w:dstrike w:val="false"/>
                  <w:color w:val="000000"/>
                  <w:sz w:val="20"/>
                  <w:u w:val="none"/>
                  <w:effect w:val="none"/>
                </w:rPr>
                <w:t xml:space="preserve">Condensed Consolidated Balance Sheets as of </w:t>
              </w:r>
            </w:hyperlink>
            <w:r>
              <w:rPr>
                <w:rFonts w:ascii="Times New Roman;serif" w:hAnsi="Times New Roman;serif"/>
                <w:b w:val="false"/>
                <w:color w:val="000000"/>
                <w:sz w:val="20"/>
              </w:rPr>
              <w:t>June 30, 2026</w:t>
            </w:r>
            <w:hyperlink w:anchor="i98ec33c7f3ba4b95846e21c76db76ecf_22">
              <w:r>
                <w:rPr>
                  <w:rStyle w:val="InternetLink"/>
                  <w:rFonts w:ascii="Times New Roman;serif" w:hAnsi="Times New Roman;serif"/>
                  <w:b w:val="false"/>
                  <w:strike w:val="false"/>
                  <w:dstrike w:val="false"/>
                  <w:color w:val="000000"/>
                  <w:sz w:val="20"/>
                  <w:u w:val="none"/>
                  <w:effect w:val="none"/>
                </w:rPr>
                <w:t xml:space="preserve"> (unaudited) and </w:t>
              </w:r>
            </w:hyperlink>
            <w:r>
              <w:rPr>
                <w:rFonts w:ascii="Times New Roman;serif" w:hAnsi="Times New Roman;serif"/>
                <w:b w:val="false"/>
                <w:color w:val="000000"/>
                <w:sz w:val="20"/>
              </w:rPr>
              <w:t>December 31, 2025</w:t>
            </w:r>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98ec33c7f3ba4b95846e21c76db76ecf_22">
              <w:r>
                <w:rPr>
                  <w:rStyle w:val="InternetLink"/>
                  <w:rFonts w:ascii="Times New Roman;serif" w:hAnsi="Times New Roman;serif"/>
                  <w:b w:val="false"/>
                  <w:strike w:val="false"/>
                  <w:dstrike w:val="false"/>
                  <w:color w:val="0000FF"/>
                  <w:sz w:val="20"/>
                  <w:u w:val="none"/>
                  <w:effect w:val="none"/>
                </w:rPr>
                <w:t>1</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98ec33c7f3ba4b95846e21c76db76ecf_25">
              <w:r>
                <w:rPr>
                  <w:rStyle w:val="InternetLink"/>
                  <w:rFonts w:ascii="Times New Roman;serif" w:hAnsi="Times New Roman;serif"/>
                  <w:b w:val="false"/>
                  <w:strike w:val="false"/>
                  <w:dstrike w:val="false"/>
                  <w:color w:val="000080"/>
                  <w:sz w:val="20"/>
                  <w:u w:val="single"/>
                  <w:effect w:val="none"/>
                </w:rPr>
                <w:t>Condensed Consolidated Statements of Operations and Comprehensive Income</w:t>
              </w:r>
            </w:hyperlink>
            <w:hyperlink w:anchor="i98ec33c7f3ba4b95846e21c76db76ecf_25">
              <w:r>
                <w:rPr>
                  <w:rStyle w:val="InternetLink"/>
                  <w:rFonts w:ascii="Times New Roman;serif" w:hAnsi="Times New Roman;serif"/>
                  <w:b w:val="false"/>
                  <w:strike w:val="false"/>
                  <w:dstrike w:val="false"/>
                  <w:color w:val="000080"/>
                  <w:sz w:val="20"/>
                  <w:u w:val="single"/>
                  <w:effect w:val="none"/>
                </w:rPr>
                <w:t xml:space="preserve"> (unaudited) for the </w:t>
              </w:r>
            </w:hyperlink>
            <w:r>
              <w:rPr>
                <w:rFonts w:ascii="Times New Roman;serif" w:hAnsi="Times New Roman;serif"/>
                <w:b w:val="false"/>
                <w:color w:val="000000"/>
                <w:sz w:val="20"/>
              </w:rPr>
              <w:t>three and six months ended June 30, 2026</w:t>
            </w:r>
            <w:hyperlink w:anchor="i98ec33c7f3ba4b95846e21c76db76ecf_25">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8ec33c7f3ba4b95846e21c76db76ecf_25">
              <w:r>
                <w:rPr>
                  <w:rStyle w:val="InternetLink"/>
                  <w:rFonts w:ascii="Times New Roman;serif" w:hAnsi="Times New Roman;serif"/>
                  <w:b w:val="false"/>
                  <w:strike w:val="false"/>
                  <w:dstrike w:val="false"/>
                  <w:color w:val="0000FF"/>
                  <w:sz w:val="20"/>
                  <w:u w:val="none"/>
                  <w:effect w:val="none"/>
                </w:rPr>
                <w:t>2</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Stockholders’ Equity (unaudited) for the three and six months ended June 30, 2026 and 2025</w:t>
            </w:r>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98ec33c7f3ba4b95846e21c76db76ecf_28">
              <w:r>
                <w:rPr>
                  <w:rStyle w:val="InternetLink"/>
                  <w:rFonts w:ascii="Times New Roman;serif" w:hAnsi="Times New Roman;serif"/>
                  <w:b w:val="false"/>
                  <w:strike w:val="false"/>
                  <w:dstrike w:val="false"/>
                  <w:color w:val="0000FF"/>
                  <w:sz w:val="20"/>
                  <w:u w:val="none"/>
                  <w:effect w:val="none"/>
                </w:rPr>
                <w:t>3</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98ec33c7f3ba4b95846e21c76db76ecf_31">
              <w:r>
                <w:rPr>
                  <w:rStyle w:val="InternetLink"/>
                  <w:rFonts w:ascii="Times New Roman;serif" w:hAnsi="Times New Roman;serif"/>
                  <w:b w:val="false"/>
                  <w:strike w:val="false"/>
                  <w:dstrike w:val="false"/>
                  <w:color w:val="000000"/>
                  <w:sz w:val="20"/>
                  <w:u w:val="none"/>
                  <w:effect w:val="none"/>
                </w:rPr>
                <w:t xml:space="preserve">Condensed Consolidated Statements of Cash Flows (unaudited) for the </w:t>
              </w:r>
            </w:hyperlink>
            <w:r>
              <w:rPr>
                <w:rFonts w:ascii="Times New Roman;serif" w:hAnsi="Times New Roman;serif"/>
                <w:b w:val="false"/>
                <w:color w:val="000000"/>
                <w:sz w:val="20"/>
              </w:rPr>
              <w:t>six months ended June 30, 2026</w:t>
            </w:r>
            <w:hyperlink w:anchor="i98ec33c7f3ba4b95846e21c76db76ecf_31">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hyperlink w:anchor="i98ec33c7f3ba4b95846e21c76db76ecf_31">
              <w:r>
                <w:rPr>
                  <w:rStyle w:val="InternetLink"/>
                  <w:rFonts w:ascii="Times New Roman;serif" w:hAnsi="Times New Roman;serif"/>
                  <w:b w:val="false"/>
                  <w:strike w:val="false"/>
                  <w:dstrike w:val="false"/>
                  <w:color w:val="000000"/>
                  <w:sz w:val="20"/>
                  <w:u w:val="none"/>
                  <w:effect w:val="none"/>
                </w:rPr>
                <w:t xml:space="preserve"> </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8ec33c7f3ba4b95846e21c76db76ecf_31">
              <w:r>
                <w:rPr>
                  <w:rStyle w:val="InternetLink"/>
                  <w:rFonts w:ascii="Times New Roman;serif" w:hAnsi="Times New Roman;serif"/>
                  <w:b w:val="false"/>
                  <w:strike w:val="false"/>
                  <w:dstrike w:val="false"/>
                  <w:color w:val="0000FF"/>
                  <w:sz w:val="20"/>
                  <w:u w:val="none"/>
                  <w:effect w:val="none"/>
                </w:rPr>
                <w:t>5</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98ec33c7f3ba4b95846e21c76db76ecf_34">
              <w:r>
                <w:rPr>
                  <w:rStyle w:val="InternetLink"/>
                  <w:rFonts w:ascii="Times New Roman;serif" w:hAnsi="Times New Roman;serif"/>
                  <w:b w:val="false"/>
                  <w:strike w:val="false"/>
                  <w:dstrike w:val="false"/>
                  <w:color w:val="000000"/>
                  <w:sz w:val="20"/>
                  <w:u w:val="none"/>
                  <w:effect w:val="none"/>
                </w:rPr>
                <w:t>Notes to Condensed Consolidated Financial Statements (unaudited)</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98ec33c7f3ba4b95846e21c76db76ecf_34">
              <w:r>
                <w:rPr>
                  <w:rStyle w:val="InternetLink"/>
                  <w:rFonts w:ascii="Times New Roman;serif" w:hAnsi="Times New Roman;serif"/>
                  <w:b w:val="false"/>
                  <w:strike w:val="false"/>
                  <w:dstrike w:val="false"/>
                  <w:color w:val="0000FF"/>
                  <w:sz w:val="20"/>
                  <w:u w:val="none"/>
                  <w:effect w:val="none"/>
                </w:rPr>
                <w:t>6</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8ec33c7f3ba4b95846e21c76db76ecf_109">
              <w:r>
                <w:rPr>
                  <w:rStyle w:val="InternetLink"/>
                  <w:rFonts w:ascii="Times New Roman;serif" w:hAnsi="Times New Roman;serif"/>
                  <w:b w:val="false"/>
                  <w:strike w:val="false"/>
                  <w:dstrike w:val="false"/>
                  <w:color w:val="000000"/>
                  <w:sz w:val="20"/>
                  <w:u w:val="none"/>
                  <w:effect w:val="none"/>
                </w:rPr>
                <w:t>Item 2.</w:t>
              </w:r>
            </w:hyperlink>
          </w:p>
        </w:tc>
        <w:tc>
          <w:tcPr>
            <w:tcW w:w="868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98ec33c7f3ba4b95846e21c76db76ecf_109">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8ec33c7f3ba4b95846e21c76db76ecf_109">
              <w:r>
                <w:rPr>
                  <w:rStyle w:val="InternetLink"/>
                  <w:rFonts w:ascii="Times New Roman;serif" w:hAnsi="Times New Roman;serif"/>
                  <w:b w:val="false"/>
                  <w:strike w:val="false"/>
                  <w:dstrike w:val="false"/>
                  <w:color w:val="0000FF"/>
                  <w:sz w:val="20"/>
                  <w:u w:val="none"/>
                  <w:effect w:val="none"/>
                </w:rPr>
                <w:t>21</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8ec33c7f3ba4b95846e21c76db76ecf_112">
              <w:r>
                <w:rPr>
                  <w:rStyle w:val="InternetLink"/>
                  <w:rFonts w:ascii="Times New Roman;serif" w:hAnsi="Times New Roman;serif"/>
                  <w:b w:val="false"/>
                  <w:strike w:val="false"/>
                  <w:dstrike w:val="false"/>
                  <w:color w:val="000000"/>
                  <w:sz w:val="20"/>
                  <w:u w:val="none"/>
                  <w:effect w:val="none"/>
                </w:rPr>
                <w:t>Item 3.</w:t>
              </w:r>
            </w:hyperlink>
          </w:p>
        </w:tc>
        <w:tc>
          <w:tcPr>
            <w:tcW w:w="868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98ec33c7f3ba4b95846e21c76db76ecf_112">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98ec33c7f3ba4b95846e21c76db76ecf_112">
              <w:r>
                <w:rPr>
                  <w:rStyle w:val="InternetLink"/>
                  <w:rFonts w:ascii="Times New Roman;serif" w:hAnsi="Times New Roman;serif"/>
                  <w:b w:val="false"/>
                  <w:strike w:val="false"/>
                  <w:dstrike w:val="false"/>
                  <w:color w:val="0000FF"/>
                  <w:sz w:val="20"/>
                  <w:u w:val="none"/>
                  <w:effect w:val="none"/>
                </w:rPr>
                <w:t>35</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8ec33c7f3ba4b95846e21c76db76ecf_115">
              <w:r>
                <w:rPr>
                  <w:rStyle w:val="InternetLink"/>
                  <w:rFonts w:ascii="Times New Roman;serif" w:hAnsi="Times New Roman;serif"/>
                  <w:b w:val="false"/>
                  <w:strike w:val="false"/>
                  <w:dstrike w:val="false"/>
                  <w:color w:val="000000"/>
                  <w:sz w:val="20"/>
                  <w:u w:val="none"/>
                  <w:effect w:val="none"/>
                </w:rPr>
                <w:t>Item 4.</w:t>
              </w:r>
            </w:hyperlink>
          </w:p>
        </w:tc>
        <w:tc>
          <w:tcPr>
            <w:tcW w:w="868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98ec33c7f3ba4b95846e21c76db76ecf_115">
              <w:r>
                <w:rPr>
                  <w:rStyle w:val="InternetLink"/>
                  <w:rFonts w:ascii="Times New Roman;serif" w:hAnsi="Times New Roman;serif"/>
                  <w:b w:val="false"/>
                  <w:strike w:val="false"/>
                  <w:dstrike w:val="false"/>
                  <w:color w:val="000000"/>
                  <w:sz w:val="20"/>
                  <w:u w:val="none"/>
                  <w:effect w:val="none"/>
                </w:rPr>
                <w:t>Controls and Procedures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8ec33c7f3ba4b95846e21c76db76ecf_115">
              <w:r>
                <w:rPr>
                  <w:rStyle w:val="InternetLink"/>
                  <w:rFonts w:ascii="Times New Roman;serif" w:hAnsi="Times New Roman;serif"/>
                  <w:b w:val="false"/>
                  <w:strike w:val="false"/>
                  <w:dstrike w:val="false"/>
                  <w:color w:val="0000FF"/>
                  <w:sz w:val="20"/>
                  <w:u w:val="none"/>
                  <w:effect w:val="none"/>
                </w:rPr>
                <w:t>35</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8ec33c7f3ba4b95846e21c76db76ecf_118">
              <w:r>
                <w:rPr>
                  <w:rStyle w:val="InternetLink"/>
                  <w:rFonts w:ascii="Times New Roman;serif" w:hAnsi="Times New Roman;serif"/>
                  <w:b/>
                  <w:strike w:val="false"/>
                  <w:dstrike w:val="false"/>
                  <w:color w:val="000000"/>
                  <w:sz w:val="20"/>
                  <w:u w:val="none"/>
                  <w:effect w:val="none"/>
                </w:rPr>
                <w:t>PART II</w:t>
              </w:r>
            </w:hyperlink>
          </w:p>
        </w:tc>
        <w:tc>
          <w:tcPr>
            <w:tcW w:w="86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8ec33c7f3ba4b95846e21c76db76ecf_118">
              <w:r>
                <w:rPr>
                  <w:rStyle w:val="InternetLink"/>
                  <w:rFonts w:ascii="Times New Roman;serif" w:hAnsi="Times New Roman;serif"/>
                  <w:b/>
                  <w:strike w:val="false"/>
                  <w:dstrike w:val="false"/>
                  <w:color w:val="000000"/>
                  <w:sz w:val="20"/>
                  <w:u w:val="none"/>
                  <w:effect w:val="none"/>
                </w:rPr>
                <w:t>OTHER INFORMATION</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8ec33c7f3ba4b95846e21c76db76ecf_121">
              <w:r>
                <w:rPr>
                  <w:rStyle w:val="InternetLink"/>
                  <w:rFonts w:ascii="Times New Roman;serif" w:hAnsi="Times New Roman;serif"/>
                  <w:b w:val="false"/>
                  <w:strike w:val="false"/>
                  <w:dstrike w:val="false"/>
                  <w:color w:val="000000"/>
                  <w:sz w:val="20"/>
                  <w:u w:val="none"/>
                  <w:effect w:val="none"/>
                </w:rPr>
                <w:t>Item 1.</w:t>
              </w:r>
            </w:hyperlink>
          </w:p>
        </w:tc>
        <w:tc>
          <w:tcPr>
            <w:tcW w:w="868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98ec33c7f3ba4b95846e21c76db76ecf_121">
              <w:r>
                <w:rPr>
                  <w:rStyle w:val="InternetLink"/>
                  <w:rFonts w:ascii="Times New Roman;serif" w:hAnsi="Times New Roman;serif"/>
                  <w:b w:val="false"/>
                  <w:strike w:val="false"/>
                  <w:dstrike w:val="false"/>
                  <w:color w:val="000000"/>
                  <w:sz w:val="20"/>
                  <w:u w:val="none"/>
                  <w:effect w:val="none"/>
                </w:rPr>
                <w:t>Legal Proceedings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98ec33c7f3ba4b95846e21c76db76ecf_121">
              <w:r>
                <w:rPr>
                  <w:rStyle w:val="InternetLink"/>
                  <w:rFonts w:ascii="Times New Roman;serif" w:hAnsi="Times New Roman;serif"/>
                  <w:b w:val="false"/>
                  <w:strike w:val="false"/>
                  <w:dstrike w:val="false"/>
                  <w:color w:val="0000FF"/>
                  <w:sz w:val="20"/>
                  <w:u w:val="none"/>
                  <w:effect w:val="none"/>
                </w:rPr>
                <w:t>36</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8ec33c7f3ba4b95846e21c76db76ecf_124">
              <w:r>
                <w:rPr>
                  <w:rStyle w:val="InternetLink"/>
                  <w:rFonts w:ascii="Times New Roman;serif" w:hAnsi="Times New Roman;serif"/>
                  <w:b w:val="false"/>
                  <w:strike w:val="false"/>
                  <w:dstrike w:val="false"/>
                  <w:color w:val="000000"/>
                  <w:sz w:val="20"/>
                  <w:u w:val="none"/>
                  <w:effect w:val="none"/>
                </w:rPr>
                <w:t>Item 1A.</w:t>
              </w:r>
            </w:hyperlink>
          </w:p>
        </w:tc>
        <w:tc>
          <w:tcPr>
            <w:tcW w:w="868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98ec33c7f3ba4b95846e21c76db76ecf_124">
              <w:r>
                <w:rPr>
                  <w:rStyle w:val="InternetLink"/>
                  <w:rFonts w:ascii="Times New Roman;serif" w:hAnsi="Times New Roman;serif"/>
                  <w:b w:val="false"/>
                  <w:strike w:val="false"/>
                  <w:dstrike w:val="false"/>
                  <w:color w:val="000000"/>
                  <w:sz w:val="20"/>
                  <w:u w:val="none"/>
                  <w:effect w:val="none"/>
                </w:rPr>
                <w:t>Risk Factors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8ec33c7f3ba4b95846e21c76db76ecf_124">
              <w:r>
                <w:rPr>
                  <w:rStyle w:val="InternetLink"/>
                  <w:rFonts w:ascii="Times New Roman;serif" w:hAnsi="Times New Roman;serif"/>
                  <w:b w:val="false"/>
                  <w:strike w:val="false"/>
                  <w:dstrike w:val="false"/>
                  <w:color w:val="0000FF"/>
                  <w:sz w:val="20"/>
                  <w:u w:val="none"/>
                  <w:effect w:val="none"/>
                </w:rPr>
                <w:t>36</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8ec33c7f3ba4b95846e21c76db76ecf_127">
              <w:r>
                <w:rPr>
                  <w:rStyle w:val="InternetLink"/>
                  <w:rFonts w:ascii="Times New Roman;serif" w:hAnsi="Times New Roman;serif"/>
                  <w:b w:val="false"/>
                  <w:strike w:val="false"/>
                  <w:dstrike w:val="false"/>
                  <w:color w:val="000000"/>
                  <w:sz w:val="20"/>
                  <w:u w:val="none"/>
                  <w:effect w:val="none"/>
                </w:rPr>
                <w:t>Item 2.</w:t>
              </w:r>
            </w:hyperlink>
          </w:p>
        </w:tc>
        <w:tc>
          <w:tcPr>
            <w:tcW w:w="868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98ec33c7f3ba4b95846e21c76db76ecf_127">
              <w:r>
                <w:rPr>
                  <w:rStyle w:val="InternetLink"/>
                  <w:rFonts w:ascii="Times New Roman;serif" w:hAnsi="Times New Roman;serif"/>
                  <w:b w:val="false"/>
                  <w:strike w:val="false"/>
                  <w:dstrike w:val="false"/>
                  <w:color w:val="000000"/>
                  <w:sz w:val="20"/>
                  <w:u w:val="none"/>
                  <w:effect w:val="none"/>
                </w:rPr>
                <w:t>Unregistered Sales of Equity Securities</w:t>
              </w:r>
            </w:hyperlink>
            <w:r>
              <w:rPr>
                <w:rFonts w:ascii="Times New Roman;serif" w:hAnsi="Times New Roman;serif"/>
                <w:b w:val="false"/>
                <w:color w:val="000000"/>
                <w:sz w:val="20"/>
              </w:rPr>
              <w:t xml:space="preserve"> and Use of Proceeds</w:t>
            </w:r>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98ec33c7f3ba4b95846e21c76db76ecf_127">
              <w:r>
                <w:rPr>
                  <w:rStyle w:val="InternetLink"/>
                  <w:rFonts w:ascii="Times New Roman;serif" w:hAnsi="Times New Roman;serif"/>
                  <w:b w:val="false"/>
                  <w:strike w:val="false"/>
                  <w:dstrike w:val="false"/>
                  <w:color w:val="0000FF"/>
                  <w:sz w:val="20"/>
                  <w:u w:val="none"/>
                  <w:effect w:val="none"/>
                </w:rPr>
                <w:t>36</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8ec33c7f3ba4b95846e21c76db76ecf_130">
              <w:r>
                <w:rPr>
                  <w:rStyle w:val="InternetLink"/>
                  <w:rFonts w:ascii="Times New Roman;serif" w:hAnsi="Times New Roman;serif"/>
                  <w:b w:val="false"/>
                  <w:strike w:val="false"/>
                  <w:dstrike w:val="false"/>
                  <w:color w:val="000000"/>
                  <w:sz w:val="20"/>
                  <w:u w:val="none"/>
                  <w:effect w:val="none"/>
                </w:rPr>
                <w:t>Item 3.</w:t>
              </w:r>
            </w:hyperlink>
          </w:p>
        </w:tc>
        <w:tc>
          <w:tcPr>
            <w:tcW w:w="868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98ec33c7f3ba4b95846e21c76db76ecf_130">
              <w:r>
                <w:rPr>
                  <w:rStyle w:val="InternetLink"/>
                  <w:rFonts w:ascii="Times New Roman;serif" w:hAnsi="Times New Roman;serif"/>
                  <w:b w:val="false"/>
                  <w:strike w:val="false"/>
                  <w:dstrike w:val="false"/>
                  <w:color w:val="000000"/>
                  <w:sz w:val="20"/>
                  <w:u w:val="none"/>
                  <w:effect w:val="none"/>
                </w:rPr>
                <w:t>Defaults Upon Senior Securities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8ec33c7f3ba4b95846e21c76db76ecf_130">
              <w:r>
                <w:rPr>
                  <w:rStyle w:val="InternetLink"/>
                  <w:rFonts w:ascii="Times New Roman;serif" w:hAnsi="Times New Roman;serif"/>
                  <w:b w:val="false"/>
                  <w:strike w:val="false"/>
                  <w:dstrike w:val="false"/>
                  <w:color w:val="0000FF"/>
                  <w:sz w:val="20"/>
                  <w:u w:val="none"/>
                  <w:effect w:val="none"/>
                </w:rPr>
                <w:t>36</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8ec33c7f3ba4b95846e21c76db76ecf_133">
              <w:r>
                <w:rPr>
                  <w:rStyle w:val="InternetLink"/>
                  <w:rFonts w:ascii="Times New Roman;serif" w:hAnsi="Times New Roman;serif"/>
                  <w:b w:val="false"/>
                  <w:strike w:val="false"/>
                  <w:dstrike w:val="false"/>
                  <w:color w:val="000000"/>
                  <w:sz w:val="20"/>
                  <w:u w:val="none"/>
                  <w:effect w:val="none"/>
                </w:rPr>
                <w:t>Item 4.</w:t>
              </w:r>
            </w:hyperlink>
          </w:p>
        </w:tc>
        <w:tc>
          <w:tcPr>
            <w:tcW w:w="868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98ec33c7f3ba4b95846e21c76db76ecf_133">
              <w:r>
                <w:rPr>
                  <w:rStyle w:val="InternetLink"/>
                  <w:rFonts w:ascii="Times New Roman;serif" w:hAnsi="Times New Roman;serif"/>
                  <w:b w:val="false"/>
                  <w:strike w:val="false"/>
                  <w:dstrike w:val="false"/>
                  <w:color w:val="000000"/>
                  <w:sz w:val="20"/>
                  <w:u w:val="none"/>
                  <w:effect w:val="none"/>
                </w:rPr>
                <w:t>Mine Safety Disclosures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98ec33c7f3ba4b95846e21c76db76ecf_133">
              <w:r>
                <w:rPr>
                  <w:rStyle w:val="InternetLink"/>
                  <w:rFonts w:ascii="Times New Roman;serif" w:hAnsi="Times New Roman;serif"/>
                  <w:b w:val="false"/>
                  <w:strike w:val="false"/>
                  <w:dstrike w:val="false"/>
                  <w:color w:val="0000FF"/>
                  <w:sz w:val="20"/>
                  <w:u w:val="none"/>
                  <w:effect w:val="none"/>
                </w:rPr>
                <w:t>36</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8ec33c7f3ba4b95846e21c76db76ecf_136">
              <w:r>
                <w:rPr>
                  <w:rStyle w:val="InternetLink"/>
                  <w:rFonts w:ascii="Times New Roman;serif" w:hAnsi="Times New Roman;serif"/>
                  <w:b w:val="false"/>
                  <w:strike w:val="false"/>
                  <w:dstrike w:val="false"/>
                  <w:color w:val="000000"/>
                  <w:sz w:val="20"/>
                  <w:u w:val="none"/>
                  <w:effect w:val="none"/>
                </w:rPr>
                <w:t>Item 5</w:t>
              </w:r>
            </w:hyperlink>
            <w:r>
              <w:rPr>
                <w:rFonts w:ascii="Times New Roman;serif" w:hAnsi="Times New Roman;serif"/>
                <w:b w:val="false"/>
                <w:color w:val="000000"/>
                <w:sz w:val="20"/>
              </w:rPr>
              <w:t>.</w:t>
            </w:r>
          </w:p>
        </w:tc>
        <w:tc>
          <w:tcPr>
            <w:tcW w:w="868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98ec33c7f3ba4b95846e21c76db76ecf_136">
              <w:r>
                <w:rPr>
                  <w:rStyle w:val="InternetLink"/>
                  <w:rFonts w:ascii="Times New Roman;serif" w:hAnsi="Times New Roman;serif"/>
                  <w:b w:val="false"/>
                  <w:strike w:val="false"/>
                  <w:dstrike w:val="false"/>
                  <w:color w:val="000000"/>
                  <w:sz w:val="20"/>
                  <w:u w:val="none"/>
                  <w:effect w:val="none"/>
                </w:rPr>
                <w:t>Other Information</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8ec33c7f3ba4b95846e21c76db76ecf_136">
              <w:r>
                <w:rPr>
                  <w:rStyle w:val="InternetLink"/>
                  <w:rFonts w:ascii="Times New Roman;serif" w:hAnsi="Times New Roman;serif"/>
                  <w:b w:val="false"/>
                  <w:strike w:val="false"/>
                  <w:dstrike w:val="false"/>
                  <w:color w:val="0000FF"/>
                  <w:sz w:val="20"/>
                  <w:u w:val="none"/>
                  <w:effect w:val="none"/>
                </w:rPr>
                <w:t>36</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8ec33c7f3ba4b95846e21c76db76ecf_142">
              <w:r>
                <w:rPr>
                  <w:rStyle w:val="InternetLink"/>
                  <w:rFonts w:ascii="Times New Roman;serif" w:hAnsi="Times New Roman;serif"/>
                  <w:b w:val="false"/>
                  <w:strike w:val="false"/>
                  <w:dstrike w:val="false"/>
                  <w:color w:val="000000"/>
                  <w:sz w:val="20"/>
                  <w:u w:val="none"/>
                  <w:effect w:val="none"/>
                </w:rPr>
                <w:t>Item 6.</w:t>
              </w:r>
            </w:hyperlink>
          </w:p>
        </w:tc>
        <w:tc>
          <w:tcPr>
            <w:tcW w:w="868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98ec33c7f3ba4b95846e21c76db76ecf_142">
              <w:r>
                <w:rPr>
                  <w:rStyle w:val="InternetLink"/>
                  <w:rFonts w:ascii="Times New Roman;serif" w:hAnsi="Times New Roman;serif"/>
                  <w:b w:val="false"/>
                  <w:strike w:val="false"/>
                  <w:dstrike w:val="false"/>
                  <w:color w:val="000000"/>
                  <w:sz w:val="20"/>
                  <w:u w:val="none"/>
                  <w:effect w:val="none"/>
                </w:rPr>
                <w:t>Exhibits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98ec33c7f3ba4b95846e21c76db76ecf_142">
              <w:r>
                <w:rPr>
                  <w:rStyle w:val="InternetLink"/>
                  <w:rFonts w:ascii="Times New Roman;serif" w:hAnsi="Times New Roman;serif"/>
                  <w:b w:val="false"/>
                  <w:strike w:val="false"/>
                  <w:dstrike w:val="false"/>
                  <w:color w:val="0000FF"/>
                  <w:sz w:val="20"/>
                  <w:u w:val="none"/>
                  <w:effect w:val="none"/>
                </w:rPr>
                <w:t>37</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8ec33c7f3ba4b95846e21c76db76ecf_145">
              <w:r>
                <w:rPr>
                  <w:rStyle w:val="InternetLink"/>
                  <w:rFonts w:ascii="Times New Roman;serif" w:hAnsi="Times New Roman;serif"/>
                  <w:b w:val="false"/>
                  <w:strike w:val="false"/>
                  <w:dstrike w:val="false"/>
                  <w:color w:val="000000"/>
                  <w:sz w:val="20"/>
                  <w:u w:val="none"/>
                  <w:effect w:val="none"/>
                </w:rPr>
                <w:t>Signatures</w:t>
              </w:r>
            </w:hyperlink>
          </w:p>
        </w:tc>
        <w:tc>
          <w:tcPr>
            <w:tcW w:w="8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8ec33c7f3ba4b95846e21c76db76ecf_145">
              <w:r>
                <w:rPr>
                  <w:rStyle w:val="InternetLink"/>
                  <w:rFonts w:ascii="Times New Roman;serif" w:hAnsi="Times New Roman;serif"/>
                  <w:b w:val="false"/>
                  <w:strike w:val="false"/>
                  <w:dstrike w:val="false"/>
                  <w:color w:val="0000FF"/>
                  <w:sz w:val="20"/>
                  <w:u w:val="none"/>
                  <w:effect w:val="none"/>
                </w:rPr>
                <w:t>38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expectations regarding potential income tax benefits and the timing thereof, industry and business trends, macroeconomic and market conditions, equity compensation, business strategy, plans, market growth, future acquisitions and other capital expenditures, our stock repurchase program, plans for acquired businesses, progress towards remediation of our material weakness, and our objectives for future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our limited operating history and evolving business; our recent growth rates may not be sustainable or indicative of future growth; we have experienced net losses in the past and we may not achieve profitability in the future; we may continue to experience significant quarterly and annual fluctuations in our operating results due to a number of factors, which makes our future operating results difficult to predict; in order to support the growth of our business and acquisition strategy, we may need to incur additional indebtedness or seek capital through new equity or debt financings; we may not be able to continue to expand our share of our existing vertical markets or expand into new vertical markets; we face intense competition in each of the industries in which we operate; the industries in which we operate are rapidly evolving and the market for technology-enabled services that empower small and medium-sized businesses is relatively immature and unproven; we are subject to economic and political risk, the business cycles of our clients and changes in the overall level of consumer and commercial spending, which could negatively impact our business, financial condition and results of operations; we are dependent on payment card networks, such as Visa and MasterCard, and payment processors, such as Worldpay and PayPal, and if we fail to comply with the applicable requirements of the payment networks or our payment processors, they can seek to fine us, suspend us, terminate our agreements and/or terminate our registrations through our bank sponsors; if we cannot keep pace with rapid developments and changes in the electronic payments market or are unable to introduce, develop and market new and enhanced versions of our software solutions we may be put at a competitive disadvantage with respect to our services that incorporated payment technology; real or perceived errors, failures or bugs in our solutions could adversely affect our business results of operations, financial condition and growth prospects; our and our third-party providers exposure to cybersecurity risks and incidents; our use of AI technologies may not be beneficial to our business, and may cause the performance of our products, services and business, as well as our reputation and reputations of our customers, to suffer or cause us to incur liability resulting from the violation of laws or contracts to which we are a party; our estimated total addressable market is subject to inherent challenges and uncertainties; failure to effectively develop and expand our sales and marketing capabilities; our ability to increase our customer base and achieve broader market acceptance and utilization of our solutions; impairment in the value of our goodwill or intangible assets; our information technology systems and our third-party providers’ information technology systems, including Worldpay, PayPal and other payment processing partners, may fail, or our third-party providers may discontinue providing their services or technology generally or to us specifically; the impact of a future pandemic, epidemic, or outbreak of infectious disease could impact our business, financial condition and results of operations, as well as the business or operations of third parties with whom we conduct business; we are subject to economic and political risk, the business cycles of our clients and changes in the overall level of consumer and commercial spending we may be unsuccessful in achieving our objectives through acquisitions, dispositions or other strategic transactions; revenues and profits generated through acquisitions may be less than anticipated, and we may fail to uncover all liabilities of acquisition targets; risks related to scrutiny on environmental sustainability and social initiatives; our ability to adequately protect or enforce our intellectual property and other proprietary rights; risk of patent, trademark and other intellectual property infringement claims; risks related to governmental regulation and other legal obligations, particularly related to privacy, data protection and information security, and our actual or perceived failure to comply with such obligations; risks related to our sponsor stockholders agreement and qualifying as a “controlled company” under the rules of The Nasdaq Stock Market; significant increased costs as a result of operating as a public company, and our management is required to devote substantial time to new compliance initiatives; as well as the other factors described in our Annual Report on Form 10-K for the year ended December 31, 2025 (“Annual Report on Form 10-K”), as updated by our other filings with the Securities and Exchange Commission (the “SEC”). The forward-looking statements in this Quarterly Report on Form 10-Q are based upon information available to us as of the date of this Quarterly Report on Form 10-Q, and while we believe such information forms a reasonable basis for such statements, such information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You should read this Quarterly Report on Form 10-Q and the documents that we reference in this Quarterly Report on Form 10-Q and have filed as exhibits to this Quarterly Report on Form 10-Q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EverCommerce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and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36"/>
        <w:gridCol w:w="2330"/>
        <w:gridCol w:w="2314"/>
        <w:gridCol w:w="196"/>
        <w:gridCol w:w="871"/>
        <w:gridCol w:w="109"/>
        <w:gridCol w:w="109"/>
        <w:gridCol w:w="109"/>
        <w:gridCol w:w="109"/>
        <w:gridCol w:w="196"/>
        <w:gridCol w:w="871"/>
        <w:gridCol w:w="155"/>
      </w:tblGrid>
      <w:tr>
        <w:trPr/>
        <w:tc>
          <w:tcPr>
            <w:tcW w:w="2836"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129,730 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expected credit losses of $3.7 million and $3.6 million at June 30,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37,046 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34,391 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212,779 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58,968 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164,240 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892,531 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893,802 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1,364,442 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1,371,794 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5,125 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55,836 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21,670 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deposits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12,519 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100,650 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current maturities and deferred financing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517,891 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654,921 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16)</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Preferred stock, $0.00001 par value, 50,000,000 shares authorized and no shares issued or outstanding as of June 30, 2026 and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$0.00001 par value, 2,000,000,000 shares authorized and 176,601,707 and 178,111,971 shares issued and outstanding at June 30,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(12,686)</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1,356,142 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1,373,022 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(626,578)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(643,465)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715,278 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716,873 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1,364,442 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1,371,794 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29945"/>
                <wp:effectExtent l="0" t="0" r="0" b="0"/>
                <wp:wrapNone/>
                <wp:docPr id="5" name="Frame5"/>
                <a:graphic xmlns:a="http://schemas.openxmlformats.org/drawingml/2006/main">
                  <a:graphicData uri="http://schemas.microsoft.com/office/word/2010/wordprocessingShape">
                    <wps:wsp>
                      <wps:cNvSpPr txBox="1"/>
                      <wps:spPr>
                        <a:xfrm>
                          <a:off x="0" y="0"/>
                          <a:ext cx="6480175" cy="82994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EverCommerce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and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493"/>
        <w:gridCol w:w="1029"/>
        <w:gridCol w:w="1040"/>
        <w:gridCol w:w="241"/>
        <w:gridCol w:w="945"/>
        <w:gridCol w:w="109"/>
        <w:gridCol w:w="109"/>
        <w:gridCol w:w="109"/>
        <w:gridCol w:w="109"/>
        <w:gridCol w:w="241"/>
        <w:gridCol w:w="945"/>
        <w:gridCol w:w="109"/>
        <w:gridCol w:w="109"/>
        <w:gridCol w:w="109"/>
        <w:gridCol w:w="109"/>
        <w:gridCol w:w="241"/>
        <w:gridCol w:w="945"/>
        <w:gridCol w:w="109"/>
        <w:gridCol w:w="109"/>
        <w:gridCol w:w="109"/>
        <w:gridCol w:w="109"/>
        <w:gridCol w:w="241"/>
        <w:gridCol w:w="945"/>
        <w:gridCol w:w="109"/>
        <w:gridCol w:w="109"/>
        <w:gridCol w:w="109"/>
        <w:gridCol w:w="109"/>
        <w:gridCol w:w="155"/>
      </w:tblGrid>
      <w:tr>
        <w:trPr/>
        <w:tc>
          <w:tcPr>
            <w:tcW w:w="149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transaction fees</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presented separately below)</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on sale and impairments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Operating income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from continuing operations before income tax expense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from continuing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income tax</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(loss) gain,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 attributable to common stockholders: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(loss) per share attributable to common stockholders: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 used in computing net income (loss) per share:</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176,929,675 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182,600,189 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177,302,643 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183,031,556 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178,792,743 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184,240,814 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179,734,330 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184,838,467 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29945"/>
                <wp:effectExtent l="0" t="0" r="0" b="0"/>
                <wp:wrapNone/>
                <wp:docPr id="6" name="Frame6"/>
                <a:graphic xmlns:a="http://schemas.openxmlformats.org/drawingml/2006/main">
                  <a:graphicData uri="http://schemas.microsoft.com/office/word/2010/wordprocessingShape">
                    <wps:wsp>
                      <wps:cNvSpPr txBox="1"/>
                      <wps:spPr>
                        <a:xfrm>
                          <a:off x="0" y="0"/>
                          <a:ext cx="6480175" cy="82994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EverCommerce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80"/>
        <w:gridCol w:w="746"/>
        <w:gridCol w:w="749"/>
        <w:gridCol w:w="109"/>
        <w:gridCol w:w="227"/>
        <w:gridCol w:w="423"/>
        <w:gridCol w:w="403"/>
        <w:gridCol w:w="230"/>
        <w:gridCol w:w="366"/>
        <w:gridCol w:w="443"/>
        <w:gridCol w:w="190"/>
        <w:gridCol w:w="211"/>
        <w:gridCol w:w="976"/>
        <w:gridCol w:w="109"/>
        <w:gridCol w:w="247"/>
        <w:gridCol w:w="988"/>
        <w:gridCol w:w="128"/>
        <w:gridCol w:w="253"/>
        <w:gridCol w:w="889"/>
        <w:gridCol w:w="132"/>
        <w:gridCol w:w="211"/>
        <w:gridCol w:w="826"/>
        <w:gridCol w:w="109"/>
        <w:gridCol w:w="160"/>
      </w:tblGrid>
      <w:tr>
        <w:trPr/>
        <w:tc>
          <w:tcPr>
            <w:tcW w:w="108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3" w:type="dxa"/>
            <w:gridSpan w:val="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99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w:t>
              <w:br/>
              <w:t>Paid-In Capital</w:t>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136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 Other</w:t>
              <w:br/>
              <w:t>Comprehensive</w:t>
              <w:br/>
              <w:t>Loss</w:t>
            </w:r>
          </w:p>
        </w:tc>
        <w:tc>
          <w:tcPr>
            <w:tcW w:w="127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Stockholders’ Equity</w:t>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2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999"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1363" w:type="dxa"/>
            <w:gridSpan w:val="3"/>
            <w:vMerge w:val="continue"/>
            <w:tcBorders/>
            <w:tcMar>
              <w:top w:w="0" w:type="dxa"/>
              <w:left w:w="0" w:type="dxa"/>
              <w:bottom w:w="0" w:type="dxa"/>
              <w:right w:w="0" w:type="dxa"/>
            </w:tcMar>
            <w:vAlign w:val="center"/>
          </w:tcPr>
          <w:p>
            <w:pPr>
              <w:pStyle w:val="Normal"/>
              <w:bidi w:val="0"/>
              <w:jc w:val="left"/>
              <w:rPr/>
            </w:pPr>
            <w:r>
              <w:rPr/>
            </w:r>
          </w:p>
        </w:tc>
        <w:tc>
          <w:tcPr>
            <w:tcW w:w="1274"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178,112 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1,373,022 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(643,465)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(12,686)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Common stock issued upon vesting of restricted stock units, net of shares withheld for employee taxes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exercises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Repurchase and retirement of common stock, including taxes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loss, net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177,251 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1,363,808 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(636,294)</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(13,547)</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Common stock issued upon vesting of restricted stock units, net of shares withheld for employee taxes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 option exercises, net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Repurchase and retirement of common stock, including taxes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(1,424)</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loss, net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176,602 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1,356,142 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(626,578)</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(14,288)</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715,278 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07085"/>
                <wp:effectExtent l="0" t="0" r="0" b="0"/>
                <wp:wrapNone/>
                <wp:docPr id="7" name="Frame7"/>
                <a:graphic xmlns:a="http://schemas.openxmlformats.org/drawingml/2006/main">
                  <a:graphicData uri="http://schemas.microsoft.com/office/word/2010/wordprocessingShape">
                    <wps:wsp>
                      <wps:cNvSpPr txBox="1"/>
                      <wps:spPr>
                        <a:xfrm>
                          <a:off x="0" y="0"/>
                          <a:ext cx="6480175" cy="807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80"/>
        <w:gridCol w:w="746"/>
        <w:gridCol w:w="749"/>
        <w:gridCol w:w="109"/>
        <w:gridCol w:w="227"/>
        <w:gridCol w:w="423"/>
        <w:gridCol w:w="403"/>
        <w:gridCol w:w="230"/>
        <w:gridCol w:w="366"/>
        <w:gridCol w:w="443"/>
        <w:gridCol w:w="190"/>
        <w:gridCol w:w="211"/>
        <w:gridCol w:w="976"/>
        <w:gridCol w:w="109"/>
        <w:gridCol w:w="247"/>
        <w:gridCol w:w="988"/>
        <w:gridCol w:w="128"/>
        <w:gridCol w:w="253"/>
        <w:gridCol w:w="889"/>
        <w:gridCol w:w="132"/>
        <w:gridCol w:w="211"/>
        <w:gridCol w:w="826"/>
        <w:gridCol w:w="109"/>
        <w:gridCol w:w="160"/>
      </w:tblGrid>
      <w:tr>
        <w:trPr/>
        <w:tc>
          <w:tcPr>
            <w:tcW w:w="108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3" w:type="dxa"/>
            <w:gridSpan w:val="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99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w:t>
              <w:br/>
              <w:t>Paid-In Capital</w:t>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136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 Other</w:t>
              <w:br/>
              <w:t>Comprehensive</w:t>
              <w:br/>
              <w:t>Loss</w:t>
            </w:r>
          </w:p>
        </w:tc>
        <w:tc>
          <w:tcPr>
            <w:tcW w:w="127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Stockholders’ Equity</w:t>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2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999"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1363" w:type="dxa"/>
            <w:gridSpan w:val="3"/>
            <w:vMerge w:val="continue"/>
            <w:tcBorders/>
            <w:tcMar>
              <w:top w:w="0" w:type="dxa"/>
              <w:left w:w="0" w:type="dxa"/>
              <w:bottom w:w="0" w:type="dxa"/>
              <w:right w:w="0" w:type="dxa"/>
            </w:tcMar>
            <w:vAlign w:val="center"/>
          </w:tcPr>
          <w:p>
            <w:pPr>
              <w:pStyle w:val="Normal"/>
              <w:bidi w:val="0"/>
              <w:jc w:val="left"/>
              <w:rPr/>
            </w:pPr>
            <w:r>
              <w:rPr/>
            </w:r>
          </w:p>
        </w:tc>
        <w:tc>
          <w:tcPr>
            <w:tcW w:w="1274"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183,725 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1,426,206 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(661,064)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upon vesting of restricted stock units, net of shares withheld for employee taxes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exercises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Repurchase and retirement of common stock, including taxes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net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183,034 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1,422,185 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(668,777)</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(13,841)</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upon vesting of restricted stock units, net of shares withheld for employee taxes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exercises, net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Repurchase and retirement of common stock, including taxes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(2,044)</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net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182,189 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1,414,432 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(660,624)</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(9,832)</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743,978 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07085"/>
                <wp:effectExtent l="0" t="0" r="0" b="0"/>
                <wp:wrapNone/>
                <wp:docPr id="8" name="Frame8"/>
                <a:graphic xmlns:a="http://schemas.openxmlformats.org/drawingml/2006/main">
                  <a:graphicData uri="http://schemas.microsoft.com/office/word/2010/wordprocessingShape">
                    <wps:wsp>
                      <wps:cNvSpPr txBox="1"/>
                      <wps:spPr>
                        <a:xfrm>
                          <a:off x="0" y="0"/>
                          <a:ext cx="6480175" cy="807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EverCommerce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43"/>
        <w:gridCol w:w="2443"/>
        <w:gridCol w:w="2463"/>
        <w:gridCol w:w="196"/>
        <w:gridCol w:w="736"/>
        <w:gridCol w:w="109"/>
        <w:gridCol w:w="109"/>
        <w:gridCol w:w="109"/>
        <w:gridCol w:w="109"/>
        <w:gridCol w:w="196"/>
        <w:gridCol w:w="736"/>
        <w:gridCol w:w="156"/>
      </w:tblGrid>
      <w:tr>
        <w:trPr/>
        <w:tc>
          <w:tcPr>
            <w:tcW w:w="28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34,549 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15,210 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 and non-cash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 and impairments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9,106 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Bad debt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(Gain) loss on interest rate swap valuation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contingent consideration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items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(8,065)</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(4,634)</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(552)</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(2,702)</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6,896 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(3,852)</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used in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(992)</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 of software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(12,668)</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disposition of fitness solutions, net of transaction costs, cash and 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(13,745)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used in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Exercise of stock options,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6,212 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common stock issuance for Employee Stock Purchase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taxes paid for RSU withholdings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(2,997)</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and retirement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(29,576)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currency exchange rate changes on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increase in cash, cash equivalents and restricted cash, including cash and restricted cash classified as held for sale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including cash and restricted cash classified as held for sale: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135,782 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151,060 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disclosures of cash flow information:</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18,244 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2,561 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07085"/>
                <wp:effectExtent l="0" t="0" r="0" b="0"/>
                <wp:wrapNone/>
                <wp:docPr id="9" name="Frame9"/>
                <a:graphic xmlns:a="http://schemas.openxmlformats.org/drawingml/2006/main">
                  <a:graphicData uri="http://schemas.microsoft.com/office/word/2010/wordprocessingShape">
                    <wps:wsp>
                      <wps:cNvSpPr txBox="1"/>
                      <wps:spPr>
                        <a:xfrm>
                          <a:off x="0" y="0"/>
                          <a:ext cx="6480175" cy="807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Note 1. Nature of the Business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EverCommerce Inc. and subsidiaries (the “Company” or “EverCommerce”) is a leading AI-powered platform provider of integrated, vertically-tailored software-as-a-service (“SaaS”) solutions or services that help service-based small and medium-sized businesses (“service SMBs”) run smarter and grow faster. Our platform spans across the full lifecycle of interactions between consumers and service professionals with vertical-specific applications. As of December 31, 2025, the Company empowered more than 745,000 customers worldwide primarily across three core verticals: EverPro for Home Services; EverHealth for Health Services; and EverWell for Wellness Services. Within the core verticals, customers operate within numerous micro-verticals, ranging from home service professionals, such as construction contractors and home maintenance technicians, to physician practices and therapists in the Health Services industry, to salon owners in the Wellness sectors. The platform provides vertically-tailored SaaS solutions that address service SMBs’ increasingly nuanced demands, as well as highly complementary solutions that provide fully-integrated offerings, allowing service SMBs and EverCommerce to succeed in the market, and provide end consumers more convenient service experiences. The Company is headquartered in Denver, Colorado, and has operations across the United States, Canada, United Kingdom, Australia and New Zealand.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accounting principles generally accepted in the United States (“U.S. GAAP”) for interim financial information. Certain information and disclosures normally included in consolidated financial statements prepared in accordance with U.S. GAAP have been condensed or omitted. Accordingly, these unaudited condensed consolidated financial statements should be read in conjunction with our audited consolidated financial statements for the year ended December 31, 2025 and the related notes (“Annual Report on Form 10-K”). The December 31, 2025 consolidated balance sheet was derived from our audited consolidated financial statements as of that date. Our unaudited interim condensed consolidated financial statements include, in the opinion of management, all adjustments, consisting of normal and recurring items, necessary for the fair statement of the unaudited condensed consolidated financial statements. All intercompany accounts and transactions have been eliminated in consolidation. There have been no significant changes in accounting policies during the six months ended June 30, 2026 from those disclosed in the annual consolidated financial statements for the year ended December 31, 2025 and the related notes.</w:t>
      </w:r>
    </w:p>
    <w:p>
      <w:pPr>
        <w:pStyle w:val="TextBody"/>
        <w:bidi w:val="0"/>
        <w:spacing w:lineRule="auto" w:line="288" w:before="100" w:after="283"/>
        <w:jc w:val="both"/>
        <w:rPr>
          <w:rFonts w:ascii="Times New Roman;serif" w:hAnsi="Times New Roman;serif"/>
          <w:b w:val="false"/>
          <w:color w:val="000000"/>
          <w:sz w:val="20"/>
        </w:rPr>
      </w:pPr>
      <w:bookmarkStart w:id="0" w:name="i0ea6e640b0834a859567bf98f2641981_7167"/>
      <w:bookmarkEnd w:id="0"/>
      <w:r>
        <w:rPr>
          <w:rFonts w:ascii="Times New Roman;serif" w:hAnsi="Times New Roman;serif"/>
          <w:b w:val="false"/>
          <w:color w:val="000000"/>
          <w:sz w:val="20"/>
        </w:rPr>
        <w:t>On October 31, 2025, the Company completed the sale of its marketing technology solutions business concluding the previously announced strategic review. The Company determined that its marketing technology solutions met the criteria for discontinued operations reporting effective in the first quarter 2025. As a result, the operating results of marketing technology solutions business are presented as discontinued operations in our unaudited condensed consolidated statements of operations and comprehensive income for all periods presented through the date of sale. The unaudited condensed consolidated statements of cash flow are inclusive of continuing and discontinued operations for all periods presented through the date of sale. Unless otherwise noted, disclosures throughout these notes to the unaudited condensed consolidated financial statements reflect continuing operations only. Refer to Note 3. Acquisition and Disposition for additional information.</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The operating results for the three and six months ended June 30, 2026 are not necessarily indicative of the results expected for the full year ending December 31, 2026.</w: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unaudited condensed consolidated financial statements in conformity with U.S. GAAP requires management to make estimates and assumptions that affect certain reported amounts of assets and liabilities and disclosure of contingent assets and liabilities at the date of the financial statements and the reported amounts of revenue and expenses during the reporting period. Estimates are subject to uncertainties due to the levels of subjectivity and judgment necessary to account for highly uncertain matters or the susceptibility of such matters to change. Significant items subject to such estimates include: valuing identified intangible assets and acquired goodwill and establishing estimated useful lives for intangible assets in connection with business combinations; the estimation of the recoverability of goodwill and other intangible assets; income tax uncertainties, including valuation allowance for deferred tax assets and value of any uncertain tax positions; recognizing bad debt expense from expected credit losses; recognizing stock-based compensation expense and estimating standalone selling price, when applicable, for the allocation of transaction price when multiple performance obligations are included in a contract with a customer.</w: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 evaluates all Accounting Standards Updates (“ASUs”) issued by the Financial Accounting Standards Board (the “FASB”) for consideration of their applicability. ASUs not included in the disclosures in this report were assessed and determined to be either not applicable or are not expected to have a material impact on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Accounting pronouncements issued and adopted</w:t>
      </w:r>
    </w:p>
    <w:p>
      <w:pPr>
        <w:pStyle w:val="TextBody"/>
        <w:bidi w:val="0"/>
        <w:spacing w:lineRule="auto" w:line="288" w:before="120" w:after="283"/>
        <w:jc w:val="both"/>
        <w:rPr/>
      </w:pPr>
      <w:r>
        <w:rPr>
          <w:rFonts w:ascii="Times New Roman;serif" w:hAnsi="Times New Roman;serif"/>
          <w:b w:val="false"/>
          <w:color w:val="000000"/>
          <w:sz w:val="20"/>
        </w:rPr>
        <w:t xml:space="preserve">In July 2025, the FASB issued ASU No.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This update provides a practical expedient for entities estimating expected credit losses on current trade receivables and contract assets arising from revenue transactions accounted for under Topic 606. The practical expedient permits an entity to assume current conditions as of the balance sheet date will not change for the remaining life of the asset when developing a reasonable and supportable forecast as part of estimating expected credit losses. The amendments in this update are effective for interim and annual periods within fiscal years beginning after December 15, 2025, with early adoption permitted. The Company adopted this guidance, effective for the annual period beginning January 1, 2026, including interim periods. This guidance is required to be applied prospectively. The Company evaluated the available elections under the new standard and determined the adoption of the guidance does not have a material impact on our consolidated financial statements.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Accounting pronouncements not yet adopted</w:t>
      </w:r>
    </w:p>
    <w:p>
      <w:pPr>
        <w:pStyle w:val="TextBody"/>
        <w:bidi w:val="0"/>
        <w:spacing w:lineRule="auto" w:line="288" w:before="120" w:after="283"/>
        <w:jc w:val="both"/>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Income Statement-Reporting Comprehensive Income-Expense Disaggregation Disclosures (Subtopic 220-40)</w:t>
      </w:r>
      <w:r>
        <w:rPr>
          <w:rFonts w:ascii="Times New Roman;serif" w:hAnsi="Times New Roman;serif"/>
          <w:b w:val="false"/>
          <w:color w:val="000000"/>
          <w:sz w:val="20"/>
        </w:rPr>
        <w:t xml:space="preserve">: </w:t>
      </w:r>
      <w:r>
        <w:rPr>
          <w:rFonts w:ascii="Times New Roman;serif" w:hAnsi="Times New Roman;serif"/>
          <w:b w:val="false"/>
          <w:i/>
          <w:color w:val="000000"/>
          <w:sz w:val="20"/>
        </w:rPr>
        <w:t>Disaggregation of Income Statement Expenses</w:t>
      </w:r>
      <w:r>
        <w:rPr>
          <w:rFonts w:ascii="Times New Roman;serif" w:hAnsi="Times New Roman;serif"/>
          <w:b w:val="false"/>
          <w:color w:val="000000"/>
          <w:sz w:val="20"/>
        </w:rPr>
        <w:t>, which requires public companies to disclose, in the notes to financial statements, specified information about certain costs and expenses at each interim and annual reporting period. Public companies will be required to disclose the amounts related to purchases of inventory, employee compensation, depreciation, intangible asset amortization, and selling expenses. The amendments in this update are effective for fiscal years beginning after December 15, 2026, and interim reporting periods beginning after December 15, 2027, with early adoption permitted. The Company is currently evaluating the impact of adopting the amendments in this update on its consolidated financial statements and disclosures.</w:t>
      </w:r>
    </w:p>
    <w:p>
      <w:pPr>
        <w:pStyle w:val="TextBody"/>
        <w:bidi w:val="0"/>
        <w:spacing w:lineRule="auto" w:line="288" w:before="120" w:after="283"/>
        <w:jc w:val="both"/>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 xml:space="preserve">Intangibles - Goodwill and Other Internal-Use Software (Subtopic 350-40): Targeted Improvements to the Accounting for Internal-Use Software. </w:t>
      </w:r>
      <w:r>
        <w:rPr>
          <w:rFonts w:ascii="Times New Roman;serif" w:hAnsi="Times New Roman;serif"/>
          <w:b w:val="false"/>
          <w:color w:val="000000"/>
          <w:sz w:val="20"/>
        </w:rPr>
        <w:t>This update modernizes the capitalization criteria for internal-use software by removing references to software development project stages so that the guidance is neutral to different software development methods. Therefore, under the guidance, software capitalization will begin when management has authorized and committed to funding the software project and when it is probable that the project will be completed and the software will be used to perform the function intended. The amendments in this update are effective for interim and annual periods within fiscal years beginning after December 15, 2027, with early adoption permitted. The Company is currently evaluating the impact of adopting the amendments in this update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3. Acquisition and Disposition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ZyraTalk Acquisition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September 15, 2025, the Company acquired 100% of the interest of Joblyt LLC, dba ZyraTalk (“ZyraTalk”), an AI-powered customer engagement solution that combines virtual assistant capabilities with an agentic automation platform, for approximately $36.0 million in cash, not inclusive of an additional $6.5 million of contingent consideration which could be paid over the next three years related to post-combination employment services. The acquisition helps to establish EverCommerce as an AI-driven innovator, beginning with near-term application in its Home Services vertical, EverPro, and the Company plans to extend ZyraTalk into broader opportunities across its other verticals.</w:t>
      </w:r>
    </w:p>
    <w:p>
      <w:pPr>
        <w:pStyle w:val="TextBody"/>
        <w:bidi w:val="0"/>
        <w:spacing w:lineRule="auto" w:line="288" w:before="120" w:after="283"/>
        <w:jc w:val="both"/>
        <w:rPr/>
      </w:pPr>
      <w:r>
        <w:rPr>
          <w:rFonts w:ascii="Times New Roman;serif" w:hAnsi="Times New Roman;serif"/>
          <w:b w:val="false"/>
          <w:color w:val="000000"/>
          <w:sz w:val="20"/>
        </w:rPr>
        <w:t xml:space="preserve">The Company accounted for the acquisition as a business combination under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Accordingly, the Company recorded identifiable assets acquired and liabilities assumed at their acquisition date estimated fair values, with any excess consideration recognized as goodwill. Goodwill primarily represents the value associated with the assembled workforce and expected synergies subsumed into goodwill. The goodwill recognized as a result of the acquisition of ZyraTalk is deductible for income tax purposes.</w:t>
      </w:r>
    </w:p>
    <w:p>
      <w:pPr>
        <w:pStyle w:val="TextBody"/>
        <w:bidi w:val="0"/>
        <w:spacing w:lineRule="auto" w:line="288" w:before="120" w:after="283"/>
        <w:jc w:val="both"/>
        <w:rPr/>
      </w:pPr>
      <w:r>
        <w:rPr>
          <w:rFonts w:ascii="Times New Roman;serif" w:hAnsi="Times New Roman;serif"/>
          <w:b w:val="false"/>
          <w:color w:val="000000"/>
          <w:sz w:val="20"/>
        </w:rPr>
        <w:t xml:space="preserve">The Company measured the identifiable assets and liabilities assumed at their acquisition date estimated fair values separately from goodwill, which represent Level 3 fair value measurements as defined in ASC 820, </w:t>
      </w:r>
      <w:r>
        <w:rPr>
          <w:rFonts w:ascii="Times New Roman;serif" w:hAnsi="Times New Roman;serif"/>
          <w:b w:val="false"/>
          <w:i/>
          <w:color w:val="000000"/>
          <w:sz w:val="20"/>
        </w:rPr>
        <w:t>Fair Value Measurement</w:t>
      </w:r>
      <w:r>
        <w:rPr>
          <w:rFonts w:ascii="Times New Roman;serif" w:hAnsi="Times New Roman;serif"/>
          <w:b w:val="false"/>
          <w:color w:val="000000"/>
          <w:sz w:val="20"/>
        </w:rPr>
        <w:t>. The estimated fair values were determined by management using the assistance of third-party valuation specialists. The valuation methods used to determine the estimated fair value of intangible assets included the income approach---relief from royalty method for trademarks and developed technology with estimated useful lives of five years, and the income approach---multi period excess earnings method for customer relationships with an estimated useful life of nine years. A number of assumptions and estimates were involved in the application of these valuation methods, including revenue forecasts, expected competition, costs of revenues, obsolescence, tax rates, capital spending, customer attrition rates, discount rates and working capital changes. Cash flow forecasts were generally based on pre-acquisition forecasts coupled with estimated revenues and cost synergies available to a market participant.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terms of the acquisition allows for an adjustment to the purchase price to be made subsequent to the transaction closing date based on the actual amount of working capital and cash delivered to the Company. The consideration paid and purchase price allocations disclosed reflect the effects of these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financial results of ZyraTalk since the closing through June 30, 2026, were not material to the Company’s consolidated financial statements, nor were they material to the Company’s prior period consolidated results on a pro forma basis.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estimated fair values of consideration transferred, assets acquired and liabilities assumed at the acquisition date.</w:t>
      </w:r>
    </w:p>
    <w:tbl>
      <w:tblPr>
        <w:tblW w:w="5427" w:type="dxa"/>
        <w:jc w:val="left"/>
        <w:tblInd w:w="0" w:type="dxa"/>
        <w:tblLayout w:type="fixed"/>
        <w:tblCellMar>
          <w:top w:w="28" w:type="dxa"/>
          <w:left w:w="28" w:type="dxa"/>
          <w:bottom w:w="28" w:type="dxa"/>
          <w:right w:w="28" w:type="dxa"/>
        </w:tblCellMar>
      </w:tblPr>
      <w:tblGrid>
        <w:gridCol w:w="1250"/>
        <w:gridCol w:w="1099"/>
        <w:gridCol w:w="1101"/>
        <w:gridCol w:w="109"/>
        <w:gridCol w:w="109"/>
        <w:gridCol w:w="109"/>
        <w:gridCol w:w="320"/>
        <w:gridCol w:w="1096"/>
        <w:gridCol w:w="234"/>
      </w:tblGrid>
      <w:tr>
        <w:trPr/>
        <w:tc>
          <w:tcPr>
            <w:tcW w:w="125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15, 2025</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 transferred: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35,971 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Intangible-definite lived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29,036 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35,971 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Marketing Technology Solutions Disposition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October 31, 2025, the Company completed the sale of its marketing technology solutions business to Ignite Visibility for approximately $45.0 million in cash, subject to certain closing adjustments, as part of its previously announced strategic review. The Company determined that its marketing technology solutions met the criteria for discontinued operations reporting effective in the first quarter 2025. The results of operations of marketing technology solutions are presented as discontinued operations on the unaudited condensed consolidated statements of operations and comprehensive income through the date of sale. During the three and six months ended June 30, 2025, we measured the assets and liabilities of the marketing technology disposal group at estimated fair value less cost to sell and recognized a gain of $0.4 million and a loss of $2.2 million, respectively, and a goodwill impairment charge of $6.9 million during the six months ended June 30, 2025, which are included in (gain) loss on held for sale and impairments within discontinued operations on our unaudited condensed consolidated statements of operations and comprehensive income.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results of operations of marketing technology solutions reported as discontinued operations:</w:t>
      </w:r>
    </w:p>
    <w:tbl>
      <w:tblPr>
        <w:tblW w:w="10205" w:type="dxa"/>
        <w:jc w:val="left"/>
        <w:tblInd w:w="0" w:type="dxa"/>
        <w:tblLayout w:type="fixed"/>
        <w:tblCellMar>
          <w:top w:w="28" w:type="dxa"/>
          <w:left w:w="28" w:type="dxa"/>
          <w:bottom w:w="28" w:type="dxa"/>
          <w:right w:w="28" w:type="dxa"/>
        </w:tblCellMar>
      </w:tblPr>
      <w:tblGrid>
        <w:gridCol w:w="2373"/>
        <w:gridCol w:w="2029"/>
        <w:gridCol w:w="2027"/>
        <w:gridCol w:w="109"/>
        <w:gridCol w:w="133"/>
        <w:gridCol w:w="133"/>
        <w:gridCol w:w="133"/>
        <w:gridCol w:w="259"/>
        <w:gridCol w:w="887"/>
        <w:gridCol w:w="133"/>
        <w:gridCol w:w="109"/>
        <w:gridCol w:w="109"/>
        <w:gridCol w:w="109"/>
        <w:gridCol w:w="109"/>
        <w:gridCol w:w="119"/>
        <w:gridCol w:w="119"/>
        <w:gridCol w:w="119"/>
        <w:gridCol w:w="231"/>
        <w:gridCol w:w="791"/>
        <w:gridCol w:w="174"/>
      </w:tblGrid>
      <w:tr>
        <w:trPr/>
        <w:tc>
          <w:tcPr>
            <w:tcW w:w="2373"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6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6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1"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96" w:type="dxa"/>
            <w:gridSpan w:val="3"/>
            <w:tcBorders/>
          </w:tcPr>
          <w:p>
            <w:pPr>
              <w:pStyle w:val="TableContents"/>
              <w:bidi w:val="0"/>
              <w:spacing w:before="0" w:after="283"/>
              <w:jc w:val="left"/>
              <w:rPr>
                <w:sz w:val="4"/>
                <w:szCs w:val="4"/>
              </w:rPr>
            </w:pPr>
            <w:r>
              <w:rPr>
                <w:sz w:val="4"/>
                <w:szCs w:val="4"/>
              </w:rPr>
            </w:r>
          </w:p>
        </w:tc>
      </w:tr>
      <w:tr>
        <w:trPr/>
        <w:tc>
          <w:tcPr>
            <w:tcW w:w="64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4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34,536 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63,168 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presented separately below)</w:t>
            </w:r>
          </w:p>
        </w:tc>
        <w:tc>
          <w:tcPr>
            <w:tcW w:w="109"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26,107 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46,768 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09"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held for sale and impairments</w:t>
            </w:r>
          </w:p>
        </w:tc>
        <w:tc>
          <w:tcPr>
            <w:tcW w:w="109"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32,137 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69,493 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(6,325)</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 before 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(6,322)</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(loss) from discontinued operations, net of income tax</w:t>
            </w:r>
          </w:p>
        </w:tc>
        <w:tc>
          <w:tcPr>
            <w:tcW w:w="109"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(6,255)</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4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c>
      </w:tr>
    </w:tbl>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significant non-cash items related to discontinued operations that are included in the accompanying statements of cash flows:</w:t>
      </w:r>
    </w:p>
    <w:tbl>
      <w:tblPr>
        <w:tblW w:w="10205" w:type="dxa"/>
        <w:jc w:val="left"/>
        <w:tblInd w:w="0" w:type="dxa"/>
        <w:tblLayout w:type="fixed"/>
        <w:tblCellMar>
          <w:top w:w="28" w:type="dxa"/>
          <w:left w:w="28" w:type="dxa"/>
          <w:bottom w:w="28" w:type="dxa"/>
          <w:right w:w="28" w:type="dxa"/>
        </w:tblCellMar>
      </w:tblPr>
      <w:tblGrid>
        <w:gridCol w:w="2237"/>
        <w:gridCol w:w="1963"/>
        <w:gridCol w:w="1973"/>
        <w:gridCol w:w="109"/>
        <w:gridCol w:w="109"/>
        <w:gridCol w:w="496"/>
        <w:gridCol w:w="957"/>
        <w:gridCol w:w="256"/>
        <w:gridCol w:w="109"/>
        <w:gridCol w:w="109"/>
        <w:gridCol w:w="109"/>
        <w:gridCol w:w="109"/>
        <w:gridCol w:w="109"/>
        <w:gridCol w:w="334"/>
        <w:gridCol w:w="978"/>
        <w:gridCol w:w="248"/>
      </w:tblGrid>
      <w:tr>
        <w:trPr/>
        <w:tc>
          <w:tcPr>
            <w:tcW w:w="223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6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6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669" w:type="dxa"/>
            <w:gridSpan w:val="4"/>
            <w:tcBorders/>
          </w:tcPr>
          <w:p>
            <w:pPr>
              <w:pStyle w:val="TableContents"/>
              <w:bidi w:val="0"/>
              <w:spacing w:before="0" w:after="283"/>
              <w:jc w:val="left"/>
              <w:rPr>
                <w:sz w:val="4"/>
                <w:szCs w:val="4"/>
              </w:rPr>
            </w:pPr>
            <w:r>
              <w:rPr>
                <w:sz w:val="4"/>
                <w:szCs w:val="4"/>
              </w:rPr>
            </w:r>
          </w:p>
        </w:tc>
      </w:tr>
      <w:tr>
        <w:trPr/>
        <w:tc>
          <w:tcPr>
            <w:tcW w:w="6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1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assets held for sale and impairments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sale, we entered into a transition services agreement (“TSA”) with Ignite Visibility to provide services including information technology, finance, and accounting support through April 30, 2026. During the three and six months ended June 30, 2026, we recorded $0.3 million and $0.8 million of income related to support services provided under the TSA, which is included in interest and other expense, net on our unaudited condensed consolidated statements of operations and comprehensive income. As of June 30, 2026, we had a receivable of $0.1 million related to amounts due under the TSA, which is included in prepaid expenses and other current assets on our unaudited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4. Revenue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Disaggregation of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disaggregation of our revenue from contracts with customers by revenue recognition pattern and geographical market:</w:t>
      </w:r>
    </w:p>
    <w:tbl>
      <w:tblPr>
        <w:tblW w:w="10205" w:type="dxa"/>
        <w:jc w:val="left"/>
        <w:tblInd w:w="0" w:type="dxa"/>
        <w:tblLayout w:type="fixed"/>
        <w:tblCellMar>
          <w:top w:w="28" w:type="dxa"/>
          <w:left w:w="28" w:type="dxa"/>
          <w:bottom w:w="28" w:type="dxa"/>
          <w:right w:w="28" w:type="dxa"/>
        </w:tblCellMar>
      </w:tblPr>
      <w:tblGrid>
        <w:gridCol w:w="1665"/>
        <w:gridCol w:w="1460"/>
        <w:gridCol w:w="146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665"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 pattern of recognition (timing of transfer of services):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Point in time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284,955 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290,288 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 geographical market:</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259,608 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152,017 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148,015 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299,482 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290,288 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color w:val="000000"/>
          <w:sz w:val="20"/>
        </w:rPr>
        <w:t>Contract Balances</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contracts from customers as of:</w:t>
      </w:r>
    </w:p>
    <w:tbl>
      <w:tblPr>
        <w:tblW w:w="4922" w:type="dxa"/>
        <w:jc w:val="left"/>
        <w:tblInd w:w="0" w:type="dxa"/>
        <w:tblLayout w:type="fixed"/>
        <w:tblCellMar>
          <w:top w:w="28" w:type="dxa"/>
          <w:left w:w="28" w:type="dxa"/>
          <w:bottom w:w="28" w:type="dxa"/>
          <w:right w:w="28" w:type="dxa"/>
        </w:tblCellMar>
      </w:tblPr>
      <w:tblGrid>
        <w:gridCol w:w="857"/>
        <w:gridCol w:w="754"/>
        <w:gridCol w:w="758"/>
        <w:gridCol w:w="211"/>
        <w:gridCol w:w="721"/>
        <w:gridCol w:w="109"/>
        <w:gridCol w:w="109"/>
        <w:gridCol w:w="109"/>
        <w:gridCol w:w="109"/>
        <w:gridCol w:w="230"/>
        <w:gridCol w:w="787"/>
        <w:gridCol w:w="168"/>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37,046 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11,612 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21,670 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12,519 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i/>
          <w:color w:val="000000"/>
          <w:sz w:val="20"/>
        </w:rPr>
        <w:t xml:space="preserve">Accounts receivable, net: </w:t>
      </w:r>
      <w:r>
        <w:rPr>
          <w:rFonts w:ascii="Times New Roman;serif" w:hAnsi="Times New Roman;serif"/>
          <w:b w:val="false"/>
          <w:color w:val="000000"/>
          <w:sz w:val="20"/>
        </w:rPr>
        <w:t xml:space="preserve">Accounts receivable, net of allowance for expected credit losses, represent rights to consideration in exchange for products or services that have been transferred by us, when payment is unconditional and only the passage of time is required before payment is due. </w:t>
      </w:r>
    </w:p>
    <w:p>
      <w:pPr>
        <w:pStyle w:val="TextBody"/>
        <w:bidi w:val="0"/>
        <w:spacing w:lineRule="auto" w:line="288" w:before="120" w:after="283"/>
        <w:jc w:val="both"/>
        <w:rPr/>
      </w:pPr>
      <w:r>
        <w:rPr>
          <w:rFonts w:ascii="Times New Roman;serif" w:hAnsi="Times New Roman;serif"/>
          <w:b w:val="false"/>
          <w:i/>
          <w:color w:val="000000"/>
          <w:sz w:val="20"/>
        </w:rPr>
        <w:t xml:space="preserve">Contract assets: </w:t>
      </w:r>
      <w:r>
        <w:rPr>
          <w:rFonts w:ascii="Times New Roman;serif" w:hAnsi="Times New Roman;serif"/>
          <w:b w:val="false"/>
          <w:color w:val="000000"/>
          <w:sz w:val="20"/>
        </w:rPr>
        <w:t xml:space="preserve">Contract assets represent rights to consideration in exchange for products or services that have been transferred (i.e., the performance obligation or portion of the performance obligation has been satisfied), but payment is conditional on something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c>
      </w:tr>
    </w:tbl>
    <w:p>
      <w:pPr>
        <w:pStyle w:val="TextBody"/>
        <w:bidi w:val="0"/>
        <w:spacing w:lineRule="auto" w:line="288" w:before="120" w:after="283"/>
        <w:jc w:val="both"/>
        <w:rPr/>
      </w:pPr>
      <w:r>
        <w:rPr>
          <w:rFonts w:ascii="Times New Roman;serif" w:hAnsi="Times New Roman;serif"/>
          <w:b w:val="false"/>
          <w:color w:val="000000"/>
          <w:sz w:val="20"/>
        </w:rPr>
        <w:t xml:space="preserve">than the passage of time. These amounts typically relate to contracts with the suppliers within our group purchasing programs for which payment is received at least one quarter in arrears from the service period. </w:t>
      </w:r>
      <w:r>
        <w:rPr>
          <w:rFonts w:ascii="Times New Roman;serif" w:hAnsi="Times New Roman;serif"/>
          <w:b w:val="false"/>
          <w:color w:val="000000"/>
          <w:sz w:val="20"/>
          <w:shd w:fill="FFFFFF" w:val="clear"/>
        </w:rPr>
        <w:t xml:space="preserve">They also relate to contracts that </w:t>
      </w:r>
      <w:r>
        <w:rPr>
          <w:rFonts w:ascii="Times New Roman;serif" w:hAnsi="Times New Roman;serif"/>
          <w:b w:val="false"/>
          <w:color w:val="000000"/>
          <w:sz w:val="20"/>
        </w:rPr>
        <w:t>include on-premise licenses and professional services</w:t>
      </w:r>
      <w:r>
        <w:rPr>
          <w:color w:val="000000"/>
        </w:rPr>
        <w:t xml:space="preserve"> </w:t>
      </w:r>
      <w:r>
        <w:rPr>
          <w:rFonts w:ascii="Times New Roman;serif" w:hAnsi="Times New Roman;serif"/>
          <w:b w:val="false"/>
          <w:color w:val="000000"/>
          <w:sz w:val="20"/>
        </w:rPr>
        <w:t>where the right to payment is not present until completion of the contract or achievement of specified milestones and the fair value of products or services transferred exceed this constraint.</w:t>
      </w:r>
    </w:p>
    <w:p>
      <w:pPr>
        <w:pStyle w:val="TextBody"/>
        <w:bidi w:val="0"/>
        <w:spacing w:lineRule="auto" w:line="288" w:before="120" w:after="283"/>
        <w:jc w:val="both"/>
        <w:rPr/>
      </w:pPr>
      <w:r>
        <w:rPr>
          <w:rFonts w:ascii="Times New Roman;serif" w:hAnsi="Times New Roman;serif"/>
          <w:b w:val="false"/>
          <w:i/>
          <w:color w:val="000000"/>
          <w:sz w:val="20"/>
        </w:rPr>
        <w:t>Contract liabilities</w:t>
      </w:r>
      <w:r>
        <w:rPr>
          <w:rFonts w:ascii="Times New Roman;serif" w:hAnsi="Times New Roman;serif"/>
          <w:b w:val="false"/>
          <w:color w:val="000000"/>
          <w:sz w:val="20"/>
        </w:rPr>
        <w:t xml:space="preserve">: Contract liabilities, or deferred revenue, represent our obligation to transfer products or services to a customer for which consideration has been received in advance of the satisfaction of performance obligations. Long-term deferred revenue is included within other non-current liabilities on the unaudited condensed consolidated balance sheets. Revenue recognized from the contract liability balance at December 31, 2025 was $16.1 million for the three months ended March 31, 2026 and $19.2 million for the six months ended June 30, 2026. </w:t>
      </w:r>
    </w:p>
    <w:p>
      <w:pPr>
        <w:pStyle w:val="TextBody"/>
        <w:bidi w:val="0"/>
        <w:spacing w:lineRule="auto" w:line="288" w:before="120" w:after="283"/>
        <w:jc w:val="both"/>
        <w:rPr/>
      </w:pPr>
      <w:r>
        <w:rPr>
          <w:rFonts w:ascii="Times New Roman;serif" w:hAnsi="Times New Roman;serif"/>
          <w:b w:val="false"/>
          <w:i/>
          <w:color w:val="000000"/>
          <w:sz w:val="20"/>
        </w:rPr>
        <w:t>Customer deposits</w:t>
      </w:r>
      <w:r>
        <w:rPr>
          <w:rFonts w:ascii="Times New Roman;serif" w:hAnsi="Times New Roman;serif"/>
          <w:b w:val="false"/>
          <w:color w:val="000000"/>
          <w:sz w:val="20"/>
        </w:rPr>
        <w:t>: Customer deposits relate to payments received in advance for contracts, which allow the customer to terminate a contract and receive a pro rata refund for the unused portion of payments received to date.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Accounts Receivable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Activity in our allowance for expected credit losses is as follows as of:</w:t>
      </w:r>
    </w:p>
    <w:tbl>
      <w:tblPr>
        <w:tblW w:w="7285" w:type="dxa"/>
        <w:jc w:val="left"/>
        <w:tblInd w:w="0" w:type="dxa"/>
        <w:tblLayout w:type="fixed"/>
        <w:tblCellMar>
          <w:top w:w="28" w:type="dxa"/>
          <w:left w:w="28" w:type="dxa"/>
          <w:bottom w:w="28" w:type="dxa"/>
          <w:right w:w="28" w:type="dxa"/>
        </w:tblCellMar>
      </w:tblPr>
      <w:tblGrid>
        <w:gridCol w:w="1668"/>
        <w:gridCol w:w="1464"/>
        <w:gridCol w:w="1473"/>
        <w:gridCol w:w="109"/>
        <w:gridCol w:w="109"/>
        <w:gridCol w:w="109"/>
        <w:gridCol w:w="109"/>
        <w:gridCol w:w="211"/>
        <w:gridCol w:w="616"/>
        <w:gridCol w:w="109"/>
        <w:gridCol w:w="109"/>
        <w:gridCol w:w="109"/>
        <w:gridCol w:w="109"/>
        <w:gridCol w:w="211"/>
        <w:gridCol w:w="616"/>
        <w:gridCol w:w="154"/>
      </w:tblGrid>
      <w:tr>
        <w:trPr/>
        <w:tc>
          <w:tcPr>
            <w:tcW w:w="1668"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1308" w:type="dxa"/>
            <w:gridSpan w:val="6"/>
            <w:tcBorders/>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Allowance for expected credit losses, beginning of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net of recoveries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expected credit losses,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Remaining Performance Obligations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the transaction price of unsatisfied or partially satisfied performance obligations within contracts with an original expected contract term that is greater than one year for which fulfillment of the contract has started as of the end of the reporting period. Contracts that include 30-day termination rights are considered to be contracts with a term of one month and are therefore excluded from remaining performance obligations. Remaining performance obligations generally relate to those which are stand-ready in nature, as found within the subscription revenue streams. The aggregate amount of transaction consideration allocated to remaining performance obligations as of June 30, 2026 was $21.1 million. The Company expects to recognize approximately 64% of its remaining performance obligations as revenue within the next year, 27% of its remaining performance obligations as revenue the subsequent year, 7% of its remaining performance obligations as revenue in the third year, and the remainder during the two-year period thereafter.</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Cost to Obtain and Fulfill a Contract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Assets resulting from costs to obtain contracts are included within prepaid expenses and other current assets for short-term balances and other non-current assets for long-term balances on the Company’s unaudited condensed consolidated balance sheets. The costs to obtain contracts are amortized over five years, which corresponds with the useful life of the related technology. Short-term assets were $11.1 million and $10.3 million at June 30, 2026 and December 31, 2025, respectively, and long-term assets were $16.8 million and $16.2 million at June 30, 2026 and December 31, 2025, respectively. The Company recorded amortization expense within sales and marketing on the unaudited condensed consolidated statements of operations and comprehensive income of $1.7 million and $1.5 million for the three months ended June 30, 2026 and 2025, respectively, and $3.3 million and $2.9 million for the six months ended June 30, 2026 and 2025, respectively. The Company recorded amortization expense within cost of revenues on the unaudited condensed consolidated statements of operations and comprehensive income of $1.0 million and $0.9 million for the three months ended June 30, 2026 and 2025, respectively, and $2.0 million and $1.8 million for the six months ended June 30,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5. Goodwill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Goodwill activity consisted of the following for the six months ended June 30, 2026 (in thousands):</w:t>
      </w:r>
    </w:p>
    <w:tbl>
      <w:tblPr>
        <w:tblW w:w="5271" w:type="dxa"/>
        <w:jc w:val="left"/>
        <w:tblInd w:w="0" w:type="dxa"/>
        <w:tblLayout w:type="fixed"/>
        <w:tblCellMar>
          <w:top w:w="28" w:type="dxa"/>
          <w:left w:w="28" w:type="dxa"/>
          <w:bottom w:w="28" w:type="dxa"/>
          <w:right w:w="28" w:type="dxa"/>
        </w:tblCellMar>
      </w:tblPr>
      <w:tblGrid>
        <w:gridCol w:w="1479"/>
        <w:gridCol w:w="1299"/>
        <w:gridCol w:w="1302"/>
        <w:gridCol w:w="211"/>
        <w:gridCol w:w="826"/>
        <w:gridCol w:w="154"/>
      </w:tblGrid>
      <w:tr>
        <w:trPr/>
        <w:tc>
          <w:tcPr>
            <w:tcW w:w="147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 changes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892,531 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impairment losses at June 30, 2026</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6. Intangible Assets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as of:</w:t>
      </w:r>
    </w:p>
    <w:tbl>
      <w:tblPr>
        <w:tblW w:w="7741" w:type="dxa"/>
        <w:jc w:val="left"/>
        <w:tblInd w:w="0" w:type="dxa"/>
        <w:tblLayout w:type="fixed"/>
        <w:tblCellMar>
          <w:top w:w="28" w:type="dxa"/>
          <w:left w:w="28" w:type="dxa"/>
          <w:bottom w:w="28" w:type="dxa"/>
          <w:right w:w="28" w:type="dxa"/>
        </w:tblCellMar>
      </w:tblPr>
      <w:tblGrid>
        <w:gridCol w:w="787"/>
        <w:gridCol w:w="692"/>
        <w:gridCol w:w="695"/>
        <w:gridCol w:w="314"/>
        <w:gridCol w:w="314"/>
        <w:gridCol w:w="316"/>
        <w:gridCol w:w="109"/>
        <w:gridCol w:w="109"/>
        <w:gridCol w:w="109"/>
        <w:gridCol w:w="240"/>
        <w:gridCol w:w="941"/>
        <w:gridCol w:w="124"/>
        <w:gridCol w:w="109"/>
        <w:gridCol w:w="109"/>
        <w:gridCol w:w="109"/>
        <w:gridCol w:w="211"/>
        <w:gridCol w:w="826"/>
        <w:gridCol w:w="109"/>
        <w:gridCol w:w="109"/>
        <w:gridCol w:w="109"/>
        <w:gridCol w:w="109"/>
        <w:gridCol w:w="211"/>
        <w:gridCol w:w="826"/>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Useful</w:t>
              <w:b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Book</w:t>
              <w:br/>
              <w:t>Value</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515,715 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34,653 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w:t>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647,587 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505,637 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141,950 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741" w:type="dxa"/>
        <w:jc w:val="left"/>
        <w:tblInd w:w="0" w:type="dxa"/>
        <w:tblLayout w:type="fixed"/>
        <w:tblCellMar>
          <w:top w:w="28" w:type="dxa"/>
          <w:left w:w="28" w:type="dxa"/>
          <w:bottom w:w="28" w:type="dxa"/>
          <w:right w:w="28" w:type="dxa"/>
        </w:tblCellMar>
      </w:tblPr>
      <w:tblGrid>
        <w:gridCol w:w="787"/>
        <w:gridCol w:w="692"/>
        <w:gridCol w:w="695"/>
        <w:gridCol w:w="314"/>
        <w:gridCol w:w="314"/>
        <w:gridCol w:w="316"/>
        <w:gridCol w:w="109"/>
        <w:gridCol w:w="109"/>
        <w:gridCol w:w="109"/>
        <w:gridCol w:w="240"/>
        <w:gridCol w:w="941"/>
        <w:gridCol w:w="124"/>
        <w:gridCol w:w="109"/>
        <w:gridCol w:w="109"/>
        <w:gridCol w:w="109"/>
        <w:gridCol w:w="211"/>
        <w:gridCol w:w="826"/>
        <w:gridCol w:w="109"/>
        <w:gridCol w:w="109"/>
        <w:gridCol w:w="109"/>
        <w:gridCol w:w="109"/>
        <w:gridCol w:w="211"/>
        <w:gridCol w:w="826"/>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Useful</w:t>
              <w:b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Book</w:t>
              <w:br/>
              <w:t>Value</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515,874 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95,347 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647,791 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483,551 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164,240 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Amortization expense was $10.9 million and $13.5 million for the three months ended June 30, 2026 and 2025, respectively, and $22.2 million and $27.2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Note 7. Property and Equipment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Property and equipment consisted of the following as of:</w:t>
      </w:r>
    </w:p>
    <w:tbl>
      <w:tblPr>
        <w:tblW w:w="5463" w:type="dxa"/>
        <w:jc w:val="left"/>
        <w:tblInd w:w="0" w:type="dxa"/>
        <w:tblLayout w:type="fixed"/>
        <w:tblCellMar>
          <w:top w:w="28" w:type="dxa"/>
          <w:left w:w="28" w:type="dxa"/>
          <w:bottom w:w="28" w:type="dxa"/>
          <w:right w:w="28" w:type="dxa"/>
        </w:tblCellMar>
      </w:tblPr>
      <w:tblGrid>
        <w:gridCol w:w="1054"/>
        <w:gridCol w:w="925"/>
        <w:gridCol w:w="931"/>
        <w:gridCol w:w="211"/>
        <w:gridCol w:w="721"/>
        <w:gridCol w:w="109"/>
        <w:gridCol w:w="109"/>
        <w:gridCol w:w="109"/>
        <w:gridCol w:w="109"/>
        <w:gridCol w:w="230"/>
        <w:gridCol w:w="787"/>
        <w:gridCol w:w="168"/>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24,881 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5,744 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Depreciation expense was $0.6 million for both the three months ended June 30, 2026 and 2025, and $1.2 million and $1.3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8. Capitalized Software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Capitalized software consisted of the following as of:</w:t>
      </w:r>
    </w:p>
    <w:tbl>
      <w:tblPr>
        <w:tblW w:w="5358" w:type="dxa"/>
        <w:jc w:val="left"/>
        <w:tblInd w:w="0" w:type="dxa"/>
        <w:tblLayout w:type="fixed"/>
        <w:tblCellMar>
          <w:top w:w="28" w:type="dxa"/>
          <w:left w:w="28" w:type="dxa"/>
          <w:bottom w:w="28" w:type="dxa"/>
          <w:right w:w="28" w:type="dxa"/>
        </w:tblCellMar>
      </w:tblPr>
      <w:tblGrid>
        <w:gridCol w:w="978"/>
        <w:gridCol w:w="858"/>
        <w:gridCol w:w="864"/>
        <w:gridCol w:w="211"/>
        <w:gridCol w:w="826"/>
        <w:gridCol w:w="109"/>
        <w:gridCol w:w="109"/>
        <w:gridCol w:w="109"/>
        <w:gridCol w:w="109"/>
        <w:gridCol w:w="230"/>
        <w:gridCol w:w="787"/>
        <w:gridCol w:w="168"/>
      </w:tblGrid>
      <w:tr>
        <w:trPr/>
        <w:tc>
          <w:tcPr>
            <w:tcW w:w="97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96,215 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(37,247)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58,968 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Amortization expense was $3.6 million and $2.5 million for the three months ended June 30, 2026 and 2025, respectively, and $6.9 million and $4.9 million for the six months ended June 30, 2026 and 2025, respectively. During the ordinary course of business, the Company may determine that certain capitalized features of its software will no longer be used either internally or to deliver value to its customers. The Company recorded a charge of $0.4 million for both the three months ended June 30, 2026 and 2025, and $0.7 million and $0.8 million for the six months ended June 30, 2026 and 2025, respectively, related to capitalized costs associated with abandoned projects, which are included in general and administrative expense on the unaudited condensed consolidated statements of operations and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9. Leases</w:t>
      </w:r>
    </w:p>
    <w:p>
      <w:pPr>
        <w:pStyle w:val="TextBody"/>
        <w:bidi w:val="0"/>
        <w:spacing w:lineRule="auto" w:line="288" w:before="120" w:after="283"/>
        <w:jc w:val="both"/>
        <w:rPr/>
      </w:pPr>
      <w:r>
        <w:rPr>
          <w:rFonts w:ascii="Times New Roman;serif" w:hAnsi="Times New Roman;serif"/>
          <w:b w:val="false"/>
          <w:color w:val="000000"/>
          <w:sz w:val="20"/>
        </w:rPr>
        <w:t>The Company leases real estate from unrelated parties under operating lease agreements that have initial terms ranging from one year to nine years. Some leases include one or more options to renew, generally at our sole discretion, of</w:t>
      </w:r>
      <w:r>
        <w:rPr>
          <w:color w:val="000000"/>
          <w:shd w:fill="FFFFFF" w:val="clear"/>
        </w:rPr>
        <w:t xml:space="preserve"> </w:t>
      </w:r>
      <w:r>
        <w:rPr>
          <w:rFonts w:ascii="Times New Roman;serif" w:hAnsi="Times New Roman;serif"/>
          <w:b w:val="false"/>
          <w:color w:val="000000"/>
          <w:sz w:val="20"/>
          <w:shd w:fill="FFFFFF" w:val="clear"/>
        </w:rPr>
        <w:t xml:space="preserve">five </w:t>
      </w:r>
      <w:r>
        <w:rPr>
          <w:rFonts w:ascii="Times New Roman;serif" w:hAnsi="Times New Roman;serif"/>
          <w:b w:val="false"/>
          <w:color w:val="000000"/>
          <w:sz w:val="20"/>
        </w:rPr>
        <w:t xml:space="preserve">additional years each.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are as follows:</w:t>
      </w:r>
    </w:p>
    <w:p>
      <w:pPr>
        <w:pStyle w:val="TextBody"/>
        <w:bidi w:val="0"/>
        <w:spacing w:before="0" w:after="0"/>
        <w:jc w:val="both"/>
        <w:rPr/>
      </w:pPr>
      <w:r>
        <w:rPr/>
      </w:r>
    </w:p>
    <w:tbl>
      <w:tblPr>
        <w:tblW w:w="6569" w:type="dxa"/>
        <w:jc w:val="left"/>
        <w:tblInd w:w="0" w:type="dxa"/>
        <w:tblLayout w:type="fixed"/>
        <w:tblCellMar>
          <w:top w:w="28" w:type="dxa"/>
          <w:left w:w="28" w:type="dxa"/>
          <w:bottom w:w="28" w:type="dxa"/>
          <w:right w:w="28" w:type="dxa"/>
        </w:tblCellMar>
      </w:tblPr>
      <w:tblGrid>
        <w:gridCol w:w="651"/>
        <w:gridCol w:w="572"/>
        <w:gridCol w:w="57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ceased use of certain leased premises and subleased certain facilities resulting in impairment charges of $0.1 million during the six months ended June 30, 2026 to impair the right-of-use lease assets to their fair value, which are included in loss on sale and impairments on our unaudited condensed consolidated statement of operations and comprehensive income.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is as follows:</w:t>
      </w:r>
    </w:p>
    <w:tbl>
      <w:tblPr>
        <w:tblW w:w="10205" w:type="dxa"/>
        <w:jc w:val="left"/>
        <w:tblInd w:w="0" w:type="dxa"/>
        <w:tblLayout w:type="fixed"/>
        <w:tblCellMar>
          <w:top w:w="28" w:type="dxa"/>
          <w:left w:w="28" w:type="dxa"/>
          <w:bottom w:w="28" w:type="dxa"/>
          <w:right w:w="28" w:type="dxa"/>
        </w:tblCellMar>
      </w:tblPr>
      <w:tblGrid>
        <w:gridCol w:w="2075"/>
        <w:gridCol w:w="1826"/>
        <w:gridCol w:w="1832"/>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6"/>
      </w:tblGrid>
      <w:tr>
        <w:trPr/>
        <w:tc>
          <w:tcPr>
            <w:tcW w:w="2075"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5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5733"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obtained in exchange for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Supplemental balance sheet information, included in other non-current assets, accrued expenses and other and other non-current liabilities on the unaudited condensed consolidated balance sheets, related to leases is as follows:</w:t>
      </w:r>
    </w:p>
    <w:tbl>
      <w:tblPr>
        <w:tblW w:w="5627" w:type="dxa"/>
        <w:jc w:val="left"/>
        <w:tblInd w:w="0" w:type="dxa"/>
        <w:tblLayout w:type="fixed"/>
        <w:tblCellMar>
          <w:top w:w="28" w:type="dxa"/>
          <w:left w:w="28" w:type="dxa"/>
          <w:bottom w:w="28" w:type="dxa"/>
          <w:right w:w="28" w:type="dxa"/>
        </w:tblCellMar>
      </w:tblPr>
      <w:tblGrid>
        <w:gridCol w:w="1113"/>
        <w:gridCol w:w="978"/>
        <w:gridCol w:w="983"/>
        <w:gridCol w:w="211"/>
        <w:gridCol w:w="721"/>
        <w:gridCol w:w="109"/>
        <w:gridCol w:w="109"/>
        <w:gridCol w:w="109"/>
        <w:gridCol w:w="109"/>
        <w:gridCol w:w="230"/>
        <w:gridCol w:w="787"/>
        <w:gridCol w:w="168"/>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13,813 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weighted average remaining lease term for operating leases was 3.89 years and 4.16 years, respectively, and the weighted average discount rate was 5.3% and 5.2%,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Future undiscounted cash flows for each of the next five years and thereafter and reconciliation to the lease liabilities recognized on the balance sheet as of June 30, 2026 is as follows (in thousands):</w:t>
      </w:r>
    </w:p>
    <w:p>
      <w:pPr>
        <w:pStyle w:val="TextBody"/>
        <w:bidi w:val="0"/>
        <w:spacing w:before="0" w:after="0"/>
        <w:jc w:val="both"/>
        <w:rPr/>
      </w:pPr>
      <w:r>
        <w:rPr/>
      </w:r>
    </w:p>
    <w:tbl>
      <w:tblPr>
        <w:tblW w:w="4251" w:type="dxa"/>
        <w:jc w:val="left"/>
        <w:tblInd w:w="0" w:type="dxa"/>
        <w:tblLayout w:type="fixed"/>
        <w:tblCellMar>
          <w:top w:w="28" w:type="dxa"/>
          <w:left w:w="28" w:type="dxa"/>
          <w:bottom w:w="28" w:type="dxa"/>
          <w:right w:w="28" w:type="dxa"/>
        </w:tblCellMar>
      </w:tblPr>
      <w:tblGrid>
        <w:gridCol w:w="1146"/>
        <w:gridCol w:w="1006"/>
        <w:gridCol w:w="1013"/>
        <w:gridCol w:w="211"/>
        <w:gridCol w:w="721"/>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Year ending December 31, </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2026 (remainder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present value of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10. Long-Term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Long-term debt consisted of the following as of:</w:t>
      </w:r>
    </w:p>
    <w:tbl>
      <w:tblPr>
        <w:tblW w:w="10205" w:type="dxa"/>
        <w:jc w:val="left"/>
        <w:tblInd w:w="0" w:type="dxa"/>
        <w:tblLayout w:type="fixed"/>
        <w:tblCellMar>
          <w:top w:w="28" w:type="dxa"/>
          <w:left w:w="28" w:type="dxa"/>
          <w:bottom w:w="28" w:type="dxa"/>
          <w:right w:w="28" w:type="dxa"/>
        </w:tblCellMar>
      </w:tblPr>
      <w:tblGrid>
        <w:gridCol w:w="2777"/>
        <w:gridCol w:w="2377"/>
        <w:gridCol w:w="2385"/>
        <w:gridCol w:w="211"/>
        <w:gridCol w:w="826"/>
        <w:gridCol w:w="109"/>
        <w:gridCol w:w="109"/>
        <w:gridCol w:w="109"/>
        <w:gridCol w:w="109"/>
        <w:gridCol w:w="211"/>
        <w:gridCol w:w="826"/>
        <w:gridCol w:w="156"/>
      </w:tblGrid>
      <w:tr>
        <w:trPr/>
        <w:tc>
          <w:tcPr>
            <w:tcW w:w="2777"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Term note with interest payable monthly, interest rate at Adjusted SOFR, plus an applicable margin of 2.25% (5.89392% at June 30, 2026) quarterly principal payments of 0.25% of original principal balance with balloon payment due July 2031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526,625 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Revolver with interest payable monthly, interest rate at Adjusted SOFR, plus an applicable margin of 2.00% (5.65197% at June 30, 2026), and outstanding balance due July 2030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debt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526,625 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 on 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on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523,391 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515,442 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517,891 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party to a credit agreement, as amended, that provides for one term loan in the aggregate principal amount of $529.4 million (the “Term Loan”), a revolver with a capacity of $155.0 million (the “Revolver”) and a sub-limit of the Revolver available for letters of credit up to an aggregate face amount of $20.0 million. These debt arrangements are collectively referred to herein as the “Credit Facilities”.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Effective as of June 10, 2025, the Company entered into an additional amendment to the Credit Facilities (the “June 2025 Amendment”) to reduce the commitments outstanding under the Revolver, extend the maturity of a portion of such commitments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reduce the applicable margin with respect to extended revolving loans. As a result of the June 2025 Amendment, commitments under the Revolver were reduced from $190.0 million to $155.0 million. With respect to $125.0 million of such commitments, (i) the maturity date was extended to January 6, 2028 and (ii) the applicable margin for (x) Term SOFR (as defined in the Credit Facilities) loans was reduced to 2.50% and (y) ABR (as defined in the Credit Facilities) loans was reduced to 1.50%, in each case, subject to a single 0.25% step-down based on the Company’s first lien net leverage ratio. The remaining $30.0 million of such commitments expired on July 6,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on July 29, 2025, the Company entered into an amendment to the Credit Facilities (the “July 2025 Amendment”) to, among other things, refinance the existing Term Loan in an aggregate principal amount of $529.4 million. The July 2025 Amendment, among other things, (i) extends the maturity date of the Term Loan to July 6, 2031, and (ii) reduces the applicable margin by 25 basis points with respect to all term loans. The Term Loan bears interest, at the Borrower’s election, at (x) Term SOFR (as defined in the Credit Agreement) plus an applicable margin of 2.25%, with a minimum Term SOFR rate of 0.50% or (y) ABR (as defined in the Credit Agreement) plus an applicable margin of 1.25%, with a minimum ABR of 1.50%, in each case, with no step-downs. The refinanced Term Loan priced at par and refinanced the existing term loan outstanding under the Credit Agreement immediately prior to giving effect to the July 2025 Amendment.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Pursuant to the July 2025 Amendment, with respect to $125.0 million of commitments under the existing $155.0 million Revolver, (i) the maturity date was extended to July 29, 2030 and (ii) the applicable margin for (x) Term SOFR loans was reduced to 2.00% and (y) ABR loans was reduced to 1.00%, in each case, subject to one 25 basis points step-up based on the Company’s first lien net leverage ratio. Other than the changes noted above, the terms and conditions of all commitments at closing as well as those extending beyond the original maturity date remain the same as the existing Revolver. Accordingly, $125.0 million of availability remains under the Revolver through July 29, 2030.</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determines the fair value of long-term debt based on trading prices for its debt if available. As of June 30, 2026, the Company obtained trading prices for the term notes outstanding. However, as such trading prices require significant unobservable inputs to the pricing model, such instruments are classified as Level 2. The fair value amounts were approximately $502.3 million and $529.3 million as of June 30, 2026 and December 31, 2025,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the following interest rate swap agreements in connection with its Credit Facilities to convert a portion of the floating rate component of the Term Loan from a floating rate to fixed rate:</w:t>
      </w:r>
    </w:p>
    <w:tbl>
      <w:tblPr>
        <w:tblW w:w="10205" w:type="dxa"/>
        <w:jc w:val="left"/>
        <w:tblInd w:w="0" w:type="dxa"/>
        <w:tblLayout w:type="fixed"/>
        <w:tblCellMar>
          <w:top w:w="28" w:type="dxa"/>
          <w:left w:w="28" w:type="dxa"/>
          <w:bottom w:w="28" w:type="dxa"/>
          <w:right w:w="28" w:type="dxa"/>
        </w:tblCellMar>
      </w:tblPr>
      <w:tblGrid>
        <w:gridCol w:w="411"/>
        <w:gridCol w:w="345"/>
        <w:gridCol w:w="348"/>
        <w:gridCol w:w="109"/>
        <w:gridCol w:w="109"/>
        <w:gridCol w:w="109"/>
        <w:gridCol w:w="549"/>
        <w:gridCol w:w="511"/>
        <w:gridCol w:w="512"/>
        <w:gridCol w:w="109"/>
        <w:gridCol w:w="109"/>
        <w:gridCol w:w="109"/>
        <w:gridCol w:w="465"/>
        <w:gridCol w:w="465"/>
        <w:gridCol w:w="467"/>
        <w:gridCol w:w="109"/>
        <w:gridCol w:w="109"/>
        <w:gridCol w:w="109"/>
        <w:gridCol w:w="308"/>
        <w:gridCol w:w="308"/>
        <w:gridCol w:w="599"/>
        <w:gridCol w:w="109"/>
        <w:gridCol w:w="109"/>
        <w:gridCol w:w="109"/>
        <w:gridCol w:w="211"/>
        <w:gridCol w:w="826"/>
        <w:gridCol w:w="109"/>
        <w:gridCol w:w="109"/>
        <w:gridCol w:w="109"/>
        <w:gridCol w:w="109"/>
        <w:gridCol w:w="519"/>
        <w:gridCol w:w="1228"/>
        <w:gridCol w:w="389"/>
      </w:tblGrid>
      <w:tr>
        <w:trPr/>
        <w:tc>
          <w:tcPr>
            <w:tcW w:w="41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Effective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Fixed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Asset (Liability) Fair Value at</w:t>
            </w:r>
          </w:p>
        </w:tc>
      </w:tr>
      <w:tr>
        <w:trPr/>
        <w:tc>
          <w:tcPr>
            <w:tcW w:w="11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Swap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11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Initial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4.212 </w:t>
            </w:r>
          </w:p>
        </w:tc>
        <w:tc>
          <w:tcPr>
            <w:tcW w:w="5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Second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3.951 </w:t>
            </w:r>
          </w:p>
        </w:tc>
        <w:tc>
          <w:tcPr>
            <w:tcW w:w="5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Third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3.395 </w:t>
            </w:r>
          </w:p>
        </w:tc>
        <w:tc>
          <w:tcPr>
            <w:tcW w:w="5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Swap Agreements are accounted for as derivatives whereby the fair value of the contract is reported within the unaudited condensed consolidated balance sheets, and related gains or losses resulting from changes in the fair value are reported in interest and other expense, net, in the unaudited condensed consolidated statements of operations and comprehensive income. As of June 30, 2026, the fair value of the Initial Swap was a liability of $0.6 million, while the fair value of the Second and Third Swaps was an asset of $1.0 million, which are reported in other non-current liabilities and other non-current assets, respectively, on the unaudited condensed consolidated balance sheets. The related gains and losses resulting from changes in fair value were a gain of $2.1 million and a loss of $2.2 million for the three months ended June 30, 2026 and 2025, respectively, and a gain of $5.0 million and a loss of $6.0 million during the six months ended June 30, 2026 and 2025, respectively.</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Company’s Credit Facilities are subject to certain financial and nonfinancial covenants and are secured by substantially all assets of the Company. As of June 30, 2026, the Company was in compliance with all of its covenants.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Aggregate maturities of the Company’s debt for the years ending December 31 are as follows as of June 30, 2026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c>
      </w:tr>
    </w:tbl>
    <w:tbl>
      <w:tblPr>
        <w:tblW w:w="5331" w:type="dxa"/>
        <w:jc w:val="left"/>
        <w:tblInd w:w="0" w:type="dxa"/>
        <w:tblLayout w:type="fixed"/>
        <w:tblCellMar>
          <w:top w:w="28" w:type="dxa"/>
          <w:left w:w="28" w:type="dxa"/>
          <w:bottom w:w="28" w:type="dxa"/>
          <w:right w:w="28" w:type="dxa"/>
        </w:tblCellMar>
      </w:tblPr>
      <w:tblGrid>
        <w:gridCol w:w="1502"/>
        <w:gridCol w:w="1316"/>
        <w:gridCol w:w="1322"/>
        <w:gridCol w:w="211"/>
        <w:gridCol w:w="826"/>
        <w:gridCol w:w="154"/>
      </w:tblGrid>
      <w:tr>
        <w:trPr/>
        <w:tc>
          <w:tcPr>
            <w:tcW w:w="1502"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2026 (remainder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aggregate maturities of the Company’s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523,875 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11. Equity</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6, 2021, the Company filed an Amended and Restated Certificate of Incorporation with the Secretary of State of the State of Delaware to authorize the issuance up to 2,050,000,000 shares, par value $0.00001 per share, consisting of 2,000,000,000 shares of common stock and 50,000,000 shares of preferred stock. </w:t>
      </w:r>
    </w:p>
    <w:p>
      <w:pPr>
        <w:pStyle w:val="TextBody"/>
        <w:bidi w:val="0"/>
        <w:spacing w:lineRule="auto" w:line="288" w:before="120" w:after="283"/>
        <w:jc w:val="both"/>
        <w:rPr/>
      </w:pPr>
      <w:r>
        <w:rPr>
          <w:rFonts w:ascii="Times New Roman;serif" w:hAnsi="Times New Roman;serif"/>
          <w:b w:val="false"/>
          <w:color w:val="000000"/>
          <w:sz w:val="20"/>
        </w:rPr>
        <w:t>On June 14, 2022, our Board approved a stock repurchase program (as subsequently amended, the “Repurchase Program”) wi</w:t>
      </w:r>
      <w:r>
        <w:rPr>
          <w:rFonts w:ascii="Times New Roman;serif" w:hAnsi="Times New Roman;serif"/>
          <w:b w:val="false"/>
          <w:color w:val="000000"/>
          <w:sz w:val="20"/>
          <w:shd w:fill="FFFFFF" w:val="clear"/>
        </w:rPr>
        <w:t xml:space="preserve">th authorization to purchase up to $50.0 million in shares of the Company’s common stock through the expiration of the program on December 21, 2022. </w:t>
      </w:r>
      <w:r>
        <w:rPr>
          <w:rFonts w:ascii="Times New Roman;serif" w:hAnsi="Times New Roman;serif"/>
          <w:b w:val="false"/>
          <w:color w:val="000000"/>
          <w:sz w:val="20"/>
        </w:rPr>
        <w:t>On November 7, 2022, November 5, 2023, May 21, 2024, May 1, 2025 and November 4, 2025, our Board increased the authorization of the Repurchase Program by an additional $50.0 million in shares of the Company’s common stock on each date for a total authorization to repurchase up to $300.0 million in shares of the Company’s common stock through December 31, 2026. Repurchases under the program may be made in the open market, in privately negotiated transactions or otherwise, with the amount and timing of repurchases to be determined at the Company’s discretion, depending on market conditions and corporate needs. The Repurchase Program does not obligate the Company to acquire any particular amount of common stock and may be modified, suspended or terminated at any time at the discretion of the Board. The Company expects to fund repurchases with existing cash on hand.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repurchased and retired 1.4 million and 2.7 million shares of common stock pursuant to the Repurchase Program for $14.8 million and $28.7 million including transaction fees and taxes, during the three and six months ended June 30, 2026. As of June 30, 2026, $19.2 million remained available under the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12. Stock-Based Compensation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 2016, the Company adopted the 2016 Equity Incentive Plan (the “2016 Plan”). The 2016 Plan provided for the granting of stock-based awards, including stock options, stock appreciation rights, restricted or unrestricted stock awards, phantom stock, performance awards, and other stock-based awards. The 2016 Plan allowed for the granting of stock-based awards through January 17, 2027.</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Initial Public Offering (“IPO”), the Company’s Board adopted, and the Company’s stockholders approved, the 2021 Incentive Award Plan (the “2021 Plan”), which became effective immediately prior to the effectiveness of the registration statement for the Company’s IPO and, as a result of which, the Company can no longer make awards under the 2016 Plan. The 2021 Plan provides for the issuance of incentive stock options, non-qualified stock options, stock awards, stock units, stock appreciation rights and other stock-based awards. The number of shares initially reserved for issuance under the 2021 Plan was 22,000,000 shares, inclusive of available shares previously reserved for issuance under the 2016 Plan. In addition, the number of shares reserved for issuance under the 2021 Plan is subject to an annual increase on the first day of each calendar year beginning on January 1, 2022 and ending on and including January 1, 2031, equal to the lesser of (i) 3% of the shares outstanding (on an as-converted basis) on the last day of the immediately preceding fiscal year and (ii) such smaller number of shares as determined by the Company’s Board, provided that no more than 22,000,000 shares may be issued upon the exercise of incentive stock options. On November 4, 2025, the Company’s Board determined that no additional shares would be added to the 2021 Plan share reserve on January 1, 2026 pursuant to the 2021 Plan’s evergreen increase feature. Based on the Company’s outstanding shares of the Company’s common stock as of December 31, 2024, as of January 1, 2025 the number of shares reserved for issuance under the 2021 Plan increased by 5.5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IPO, the Company’s Board adopted the 2021 Employee Stock Purchase Plan (the “ESPP”). For more information on the ESPP, refer to Note 12. Stock-Based Compensation in the Annual Report on Form 10-K.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RSU and stock option activity for the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c>
      </w:tr>
    </w:tbl>
    <w:tbl>
      <w:tblPr>
        <w:tblW w:w="5253" w:type="dxa"/>
        <w:jc w:val="left"/>
        <w:tblInd w:w="0" w:type="dxa"/>
        <w:tblLayout w:type="fixed"/>
        <w:tblCellMar>
          <w:top w:w="28" w:type="dxa"/>
          <w:left w:w="28" w:type="dxa"/>
          <w:bottom w:w="28" w:type="dxa"/>
          <w:right w:w="28" w:type="dxa"/>
        </w:tblCellMar>
      </w:tblPr>
      <w:tblGrid>
        <w:gridCol w:w="1043"/>
        <w:gridCol w:w="915"/>
        <w:gridCol w:w="921"/>
        <w:gridCol w:w="308"/>
        <w:gridCol w:w="308"/>
        <w:gridCol w:w="186"/>
        <w:gridCol w:w="109"/>
        <w:gridCol w:w="109"/>
        <w:gridCol w:w="109"/>
        <w:gridCol w:w="364"/>
        <w:gridCol w:w="364"/>
        <w:gridCol w:w="517"/>
      </w:tblGrid>
      <w:tr>
        <w:trPr/>
        <w:tc>
          <w:tcPr>
            <w:tcW w:w="104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Stock Options</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January 1, 2026</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13,478 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or exercised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or forfeited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(2,297)</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March 31, 2026</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11,112 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5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or exercised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or forfeited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5,091 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10,820 </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total unrecognized compensation expense was $48.7 million and $1.7 million related to outstanding RSUs and stock options, respectively.</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from continuing operations was classified on the unaudited condensed consolidated statements of operations and comprehensive income as follows:</w:t>
      </w:r>
    </w:p>
    <w:tbl>
      <w:tblPr>
        <w:tblW w:w="8430" w:type="dxa"/>
        <w:jc w:val="left"/>
        <w:tblInd w:w="0" w:type="dxa"/>
        <w:tblLayout w:type="fixed"/>
        <w:tblCellMar>
          <w:top w:w="28" w:type="dxa"/>
          <w:left w:w="28" w:type="dxa"/>
          <w:bottom w:w="28" w:type="dxa"/>
          <w:right w:w="28" w:type="dxa"/>
        </w:tblCellMar>
      </w:tblPr>
      <w:tblGrid>
        <w:gridCol w:w="1246"/>
        <w:gridCol w:w="1100"/>
        <w:gridCol w:w="1104"/>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24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13. Net Income Per Share Attributable to Common Stockholders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basic and diluted net income per share for the Company’s common stock as of:</w:t>
      </w:r>
    </w:p>
    <w:tbl>
      <w:tblPr>
        <w:tblW w:w="10205" w:type="dxa"/>
        <w:jc w:val="left"/>
        <w:tblInd w:w="0" w:type="dxa"/>
        <w:tblLayout w:type="fixed"/>
        <w:tblCellMar>
          <w:top w:w="28" w:type="dxa"/>
          <w:left w:w="28" w:type="dxa"/>
          <w:bottom w:w="28" w:type="dxa"/>
          <w:right w:w="28" w:type="dxa"/>
        </w:tblCellMar>
      </w:tblPr>
      <w:tblGrid>
        <w:gridCol w:w="1827"/>
        <w:gridCol w:w="1533"/>
        <w:gridCol w:w="1533"/>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41"/>
        <w:gridCol w:w="585"/>
        <w:gridCol w:w="109"/>
        <w:gridCol w:w="109"/>
        <w:gridCol w:w="109"/>
        <w:gridCol w:w="109"/>
        <w:gridCol w:w="156"/>
      </w:tblGrid>
      <w:tr>
        <w:trPr/>
        <w:tc>
          <w:tcPr>
            <w:tcW w:w="1827"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per share amounts)</w:t>
            </w:r>
          </w:p>
        </w:tc>
        <w:tc>
          <w:tcPr>
            <w:tcW w:w="483" w:type="dxa"/>
            <w:gridSpan w:val="4"/>
            <w:tcBorders/>
          </w:tcPr>
          <w:p>
            <w:pPr>
              <w:pStyle w:val="TableContents"/>
              <w:bidi w:val="0"/>
              <w:spacing w:before="0" w:after="283"/>
              <w:jc w:val="left"/>
              <w:rPr>
                <w:sz w:val="4"/>
                <w:szCs w:val="4"/>
              </w:rPr>
            </w:pPr>
            <w:r>
              <w:rPr>
                <w:sz w:val="4"/>
                <w:szCs w:val="4"/>
              </w:rPr>
            </w:r>
          </w:p>
        </w:tc>
      </w:tr>
      <w:tr>
        <w:trPr/>
        <w:tc>
          <w:tcPr>
            <w:tcW w:w="4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income 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 basic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 diluted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stockholders, basic:</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c>
      </w:tr>
    </w:tbl>
    <w:tbl>
      <w:tblPr>
        <w:tblW w:w="10205" w:type="dxa"/>
        <w:jc w:val="left"/>
        <w:tblInd w:w="0" w:type="dxa"/>
        <w:tblLayout w:type="fixed"/>
        <w:tblCellMar>
          <w:top w:w="28" w:type="dxa"/>
          <w:left w:w="28" w:type="dxa"/>
          <w:bottom w:w="28" w:type="dxa"/>
          <w:right w:w="28" w:type="dxa"/>
        </w:tblCellMar>
      </w:tblPr>
      <w:tblGrid>
        <w:gridCol w:w="1964"/>
        <w:gridCol w:w="1722"/>
        <w:gridCol w:w="1731"/>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156"/>
      </w:tblGrid>
      <w:tr>
        <w:trPr/>
        <w:tc>
          <w:tcPr>
            <w:tcW w:w="1964"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stockholders, diluted:</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illustrates the reconciliation of the denominators of the basic and diluted EPS computations for income from continuing operations and loss from discontinued operations, net of income tax.</w:t>
      </w:r>
    </w:p>
    <w:tbl>
      <w:tblPr>
        <w:tblW w:w="10205" w:type="dxa"/>
        <w:jc w:val="left"/>
        <w:tblInd w:w="0" w:type="dxa"/>
        <w:tblLayout w:type="fixed"/>
        <w:tblCellMar>
          <w:top w:w="28" w:type="dxa"/>
          <w:left w:w="28" w:type="dxa"/>
          <w:bottom w:w="28" w:type="dxa"/>
          <w:right w:w="28" w:type="dxa"/>
        </w:tblCellMar>
      </w:tblPr>
      <w:tblGrid>
        <w:gridCol w:w="1737"/>
        <w:gridCol w:w="1525"/>
        <w:gridCol w:w="1532"/>
        <w:gridCol w:w="446"/>
        <w:gridCol w:w="380"/>
        <w:gridCol w:w="181"/>
        <w:gridCol w:w="181"/>
        <w:gridCol w:w="181"/>
        <w:gridCol w:w="181"/>
        <w:gridCol w:w="446"/>
        <w:gridCol w:w="380"/>
        <w:gridCol w:w="181"/>
        <w:gridCol w:w="109"/>
        <w:gridCol w:w="109"/>
        <w:gridCol w:w="109"/>
        <w:gridCol w:w="413"/>
        <w:gridCol w:w="413"/>
        <w:gridCol w:w="162"/>
        <w:gridCol w:w="159"/>
        <w:gridCol w:w="159"/>
        <w:gridCol w:w="159"/>
        <w:gridCol w:w="413"/>
        <w:gridCol w:w="413"/>
        <w:gridCol w:w="236"/>
      </w:tblGrid>
      <w:tr>
        <w:trPr/>
        <w:tc>
          <w:tcPr>
            <w:tcW w:w="1737"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4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4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1"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 basic</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176,930 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182,600 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177,303 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183,032 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of common stock subject to outstanding RSUs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of common stock subject to outstanding options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of common stock pursuant to ESPP</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 diluted</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178,793 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184,241 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179,734 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184,838 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outstanding potentially dilutive common stock equivalents have been excluded from the computation of diluted net loss per share attributable to common stockholders for the periods presented due to their anti-dilutive effect as of:</w:t>
      </w:r>
    </w:p>
    <w:tbl>
      <w:tblPr>
        <w:tblW w:w="9729" w:type="dxa"/>
        <w:jc w:val="left"/>
        <w:tblInd w:w="0" w:type="dxa"/>
        <w:tblLayout w:type="fixed"/>
        <w:tblCellMar>
          <w:top w:w="28" w:type="dxa"/>
          <w:left w:w="28" w:type="dxa"/>
          <w:bottom w:w="28" w:type="dxa"/>
          <w:right w:w="28" w:type="dxa"/>
        </w:tblCellMar>
      </w:tblPr>
      <w:tblGrid>
        <w:gridCol w:w="1685"/>
        <w:gridCol w:w="1478"/>
        <w:gridCol w:w="1486"/>
        <w:gridCol w:w="389"/>
        <w:gridCol w:w="332"/>
        <w:gridCol w:w="193"/>
        <w:gridCol w:w="193"/>
        <w:gridCol w:w="193"/>
        <w:gridCol w:w="193"/>
        <w:gridCol w:w="389"/>
        <w:gridCol w:w="332"/>
        <w:gridCol w:w="193"/>
        <w:gridCol w:w="109"/>
        <w:gridCol w:w="109"/>
        <w:gridCol w:w="109"/>
        <w:gridCol w:w="360"/>
        <w:gridCol w:w="361"/>
        <w:gridCol w:w="167"/>
        <w:gridCol w:w="167"/>
        <w:gridCol w:w="167"/>
        <w:gridCol w:w="167"/>
        <w:gridCol w:w="360"/>
        <w:gridCol w:w="361"/>
        <w:gridCol w:w="236"/>
      </w:tblGrid>
      <w:tr>
        <w:trPr/>
        <w:tc>
          <w:tcPr>
            <w:tcW w:w="1685"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stock options and unvested RSUs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14,196 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18,062 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13,670 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17,936 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common stock pursuant to ESPP</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anti-dilutive outstanding potential common stock</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14,264 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18,130 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13,703 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17,969 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14. Fair Value of Financial Instruments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Level 1:</w:t>
      </w:r>
      <w:r>
        <w:rPr>
          <w:color w:val="000000"/>
        </w:rPr>
        <w:t xml:space="preserve"> </w:t>
      </w:r>
      <w:r>
        <w:rPr>
          <w:rFonts w:ascii="Times New Roman;serif" w:hAnsi="Times New Roman;serif"/>
          <w:b w:val="false"/>
          <w:color w:val="000000"/>
          <w:sz w:val="20"/>
        </w:rPr>
        <w:t xml:space="preserve">Valuations based on quoted prices in active markets for identical assets or liabilities that an entity has the ability to access. </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Level 2:</w:t>
      </w:r>
      <w:r>
        <w:rPr>
          <w:color w:val="000000"/>
        </w:rPr>
        <w:t xml:space="preserve"> </w:t>
      </w:r>
      <w:r>
        <w:rPr>
          <w:rFonts w:ascii="Times New Roman;serif" w:hAnsi="Times New Roman;serif"/>
          <w:b w:val="false"/>
          <w:color w:val="000000"/>
          <w:sz w:val="20"/>
        </w:rPr>
        <w:t>Valuations based on quoted prices for similar assets or liabilities, quoted prices for identical assets or liabilities in markets that are not active, or other inputs that are observable or can be corroborated by observable data for substantially the full term of the assets or liabilities.</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Level 3:</w:t>
      </w:r>
      <w:r>
        <w:rPr>
          <w:color w:val="000000"/>
        </w:rPr>
        <w:t xml:space="preserve"> </w:t>
      </w:r>
      <w:r>
        <w:rPr>
          <w:rFonts w:ascii="Times New Roman;serif" w:hAnsi="Times New Roman;serif"/>
          <w:b w:val="false"/>
          <w:color w:val="000000"/>
          <w:sz w:val="20"/>
        </w:rPr>
        <w:t xml:space="preserve">Valuations based on inputs that are supported by little or no market activity and that are significant to the fair value of the assets or liabilities.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carrying value of cash and cash equivalents, accounts receivable, contract assets and accounts payable approximate their fair value because of the short-term nature of these instruments. Our interest rate swaps are valued based upon interest yield curves, interest rate volatility and credit spreads. Our interest rate swaps are classified within Level 2 of the fair value hierarchy as all significant inputs are corroborated by observable data.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transfers between fair value measurement levels during the three and six months ended June 30, 2026 and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our financial assets and liabilities measured at fair value on a recurring basis as of:</w:t>
      </w:r>
    </w:p>
    <w:tbl>
      <w:tblPr>
        <w:tblW w:w="8696" w:type="dxa"/>
        <w:jc w:val="left"/>
        <w:tblInd w:w="0" w:type="dxa"/>
        <w:tblLayout w:type="fixed"/>
        <w:tblCellMar>
          <w:top w:w="28" w:type="dxa"/>
          <w:left w:w="28" w:type="dxa"/>
          <w:bottom w:w="28" w:type="dxa"/>
          <w:right w:w="28" w:type="dxa"/>
        </w:tblCellMar>
      </w:tblPr>
      <w:tblGrid>
        <w:gridCol w:w="574"/>
        <w:gridCol w:w="505"/>
        <w:gridCol w:w="511"/>
        <w:gridCol w:w="211"/>
        <w:gridCol w:w="616"/>
        <w:gridCol w:w="109"/>
        <w:gridCol w:w="109"/>
        <w:gridCol w:w="109"/>
        <w:gridCol w:w="109"/>
        <w:gridCol w:w="211"/>
        <w:gridCol w:w="466"/>
        <w:gridCol w:w="109"/>
        <w:gridCol w:w="109"/>
        <w:gridCol w:w="109"/>
        <w:gridCol w:w="109"/>
        <w:gridCol w:w="211"/>
        <w:gridCol w:w="406"/>
        <w:gridCol w:w="109"/>
        <w:gridCol w:w="109"/>
        <w:gridCol w:w="109"/>
        <w:gridCol w:w="109"/>
        <w:gridCol w:w="211"/>
        <w:gridCol w:w="616"/>
        <w:gridCol w:w="109"/>
        <w:gridCol w:w="109"/>
        <w:gridCol w:w="109"/>
        <w:gridCol w:w="109"/>
        <w:gridCol w:w="706"/>
        <w:gridCol w:w="706"/>
        <w:gridCol w:w="1002"/>
      </w:tblGrid>
      <w:tr>
        <w:trPr/>
        <w:tc>
          <w:tcPr>
            <w:tcW w:w="57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Balance Sheet Classification</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Liability:</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bl>
    <w:tbl>
      <w:tblPr>
        <w:tblW w:w="8771" w:type="dxa"/>
        <w:jc w:val="left"/>
        <w:tblInd w:w="0" w:type="dxa"/>
        <w:tblLayout w:type="fixed"/>
        <w:tblCellMar>
          <w:top w:w="28" w:type="dxa"/>
          <w:left w:w="28" w:type="dxa"/>
          <w:bottom w:w="28" w:type="dxa"/>
          <w:right w:w="28" w:type="dxa"/>
        </w:tblCellMar>
      </w:tblPr>
      <w:tblGrid>
        <w:gridCol w:w="547"/>
        <w:gridCol w:w="481"/>
        <w:gridCol w:w="487"/>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706"/>
        <w:gridCol w:w="706"/>
        <w:gridCol w:w="1002"/>
      </w:tblGrid>
      <w:tr>
        <w:trPr/>
        <w:tc>
          <w:tcPr>
            <w:tcW w:w="54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Balance Sheet Classification</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Liability:</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15. Income Taxes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provision for income taxes in interim periods is based on our estimated annual effective tax rate plus the impact, if any, of discrete items recognized in the interim period. We record cumulative adjustments in the quarter in which a change in the estimated annual effective rate is determined.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income tax expense was $1.5 million and $1.2 million for the three months ended June 30, 2026 and 2025, respectively, and $2.1 million and $1.8 million for the six months ended June 30, 2026 and 2025, respectively. The difference in income tax expense for the three and six months ended June 30, 2026 as compared to the corresponding periods in 2025 was driven primarily by an increase in net income from continuing operations before tax and discrete items, including a Canada return to provision adjustment during the three and six months ended June 30, 2025 and a New Zealand return to provision adjustment during the six months ended June 30,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believes it is reasonably possible that sufficient positive evidence may exist within the next twelve months in the form of cumulative historical earnings and expectations of future income to release a portion of its U.S. valuation allowance, which could result in a material non-cash income tax benefit.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16. Commitments and Contingencies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non-cancelable contractual purchase obligations incurred in the normal course of business to help deliver its services and products and provide support to its customers. These contracts with vendors primarily relate to software service, targeted mail costs, third-party fulfillment costs and software hosting. Unrecognized future minimum payments due under these agreements are as follows (in thousands):</w:t>
      </w:r>
    </w:p>
    <w:tbl>
      <w:tblPr>
        <w:tblW w:w="4160" w:type="dxa"/>
        <w:jc w:val="left"/>
        <w:tblInd w:w="0" w:type="dxa"/>
        <w:tblLayout w:type="fixed"/>
        <w:tblCellMar>
          <w:top w:w="28" w:type="dxa"/>
          <w:left w:w="28" w:type="dxa"/>
          <w:bottom w:w="28" w:type="dxa"/>
          <w:right w:w="28" w:type="dxa"/>
        </w:tblCellMar>
      </w:tblPr>
      <w:tblGrid>
        <w:gridCol w:w="1113"/>
        <w:gridCol w:w="977"/>
        <w:gridCol w:w="984"/>
        <w:gridCol w:w="211"/>
        <w:gridCol w:w="721"/>
        <w:gridCol w:w="154"/>
      </w:tblGrid>
      <w:tr>
        <w:trPr/>
        <w:tc>
          <w:tcPr>
            <w:tcW w:w="111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payments due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various lawsuits and legal proceedings which arise in or outside the ordinary course of business. Litigation is subject to inherent uncertainties, and an adverse result in these or other matters may arise from time to time that may harm our business. Accruals for loss contingencies are recorded when a loss is probable, and the amount of such loss can be reasonably estimated. An adverse determination in one or more of these pending matters could have an adverse effect on the Company’s consolidated financial position,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31, 2024, plaintiff Vladimir Gusinsky Revocable Trust filed a putative class action lawsuit in the Court of Chancery of the State of Delaware against the Company, members of its Board and the other parties to its sponsor stockholders agreement, dated June 30, 2021, Providence Strategic Growth II L.P., Providence Strategic Growth II-A L.P., SLA Eclipse Co-Invest, L.P., and SLA CM Eclipse Holdings, L.P. (collectively, the “Sponsor Stockholders”), captioned Vladimir Gusinsky Revocable Trust v. Eric Remer, Penny Baldwin, et. al., Case No. 2024-0077 (Del Ch.). The complaint generally alleges violations of Section 141(a) of the Delaware General Corporation Law (“DGCL”) by providing the Sponsor Stockholders with a veto right over the Board’s ability to hire or fire the Company’s Chief Executive Officer (the “CEO Approval Right”) on the basis that it unlawfully limits the Board’s authority to manage the business and affairs of the Company. The plaintiff seeks declaratory judgment that the CEO Approval Right is invalid and void, other declaratory and equitable relief for the class and/or the Company, attorneys’ and experts’ witness fees and other costs and expenses, and other equitable relief. On June 14, 2024, the Company filed its opening brief in support of its Motion to Dismiss, and on July 15, 2024, Plaintiff opposed that motion. On July 16, 2024, the Court entered a stipulation and order dismissing the director defendants from the action. On August 29, 2024, the remaining defendants, the Company and Sponsor Stockholders (collectively, “Defendants”), filed their reply in support of the Motion to Dismiss, and pursuant to a stipulation between the parties, Plaintiff filed a sur-reply on September 26, 2024, which Defendants filed a response to on October 10, 2024. On October 15, 2024, Defendants filed a Motion to Dismiss for Lack of Subject Matter Jurisdiction, arguing that the claims alleged are not ripe for adjudication and on November 15, 2024 Plaintiff opposed that motion. On December 9, 2024, Defendants filed their reply in support of the Motion to Dismiss for Lack of Subject Matter Jurisdiction. The Court has scheduled oral argument on the pending motions for October 19, 2026. The Company believes it has meritorious defenses to the claims of the plaintiff and members of the class and any liability for the alleged claims is not currently probable and the potential loss or range of loss is not reasonably estimable.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party to additional legal proceedings incidental to its business. While the outcome of these additional matters could differ from management’s expectations, the Company does not believe that the resolution of such matters is reasonably likely to have a material effect on its results of operations or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assesses the applicability of nexus in jurisdictions in which the Company sells products and services. As of June 30, 2026 and December 31, 2025, the Company recorded a liability in the amount of $7.8 million and $9.4 million, respectively within current liabilities and other long-term liabilities as a provision for sales and use and gross receipts tax. In connection with the Company's accounting for acquisitions, the Company has recorded liabilities and corresponding provisional escrow or indemnity receivables within the purchase price allocations for instances in which the Company is indemnified for tax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17. Geographic Areas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long-lived assets by geographic area as of:</w:t>
      </w:r>
    </w:p>
    <w:tbl>
      <w:tblPr>
        <w:tblW w:w="3798" w:type="dxa"/>
        <w:jc w:val="left"/>
        <w:tblInd w:w="0" w:type="dxa"/>
        <w:tblLayout w:type="fixed"/>
        <w:tblCellMar>
          <w:top w:w="28" w:type="dxa"/>
          <w:left w:w="28" w:type="dxa"/>
          <w:bottom w:w="28" w:type="dxa"/>
          <w:right w:w="28" w:type="dxa"/>
        </w:tblCellMar>
      </w:tblPr>
      <w:tblGrid>
        <w:gridCol w:w="451"/>
        <w:gridCol w:w="396"/>
        <w:gridCol w:w="398"/>
        <w:gridCol w:w="211"/>
        <w:gridCol w:w="721"/>
        <w:gridCol w:w="109"/>
        <w:gridCol w:w="109"/>
        <w:gridCol w:w="109"/>
        <w:gridCol w:w="109"/>
        <w:gridCol w:w="230"/>
        <w:gridCol w:w="787"/>
        <w:gridCol w:w="168"/>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United States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50,771 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18. Segment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operates in a single reportable segment. The segment derives revenue from providing SaaS and other technology-based solutions to help service SMBs optimize their operations, improve customer relationships and experience, and accelerate growth. The Company primarily focuses on three core vertical markets: EverPro for Home Services, EverHealth for Health Services, and EverWell for Wellness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accounting policies of the segment are the same as those described in the summary of significant accounting policies in our Annual Report on Form 10-K for the year ended December 31, 2025. Based on being a single reportable segment company, the Company has disclosed net income from continuing operations as its primary measure of profit or loss used by the chief operating decision maker (“CODM”), which is reported on the unaudited condensed consolidated statement of operations and comprehensive income as net income from continuing operations. The CODM is provided financial information inclusive of net income from continuing operations, which is used to assess performance of the segment and decide how to allocate resources. The CODM uses net income from continuing operations, among other metrics, to assist in evaluating the financial performance of the Company and monitoring budget versus actual results. The CODM does not review assets in evaluating segment results, and therefore, such information is not presented. The measure of segment assets is reported on the consolidated balance sheets as total assets.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Disaggregated information is not used for assessing the performance of the Company or for making resource allocation decisions. The CODM reviews financial information presented on an aggregated and consolidated basis, together with revenue information of the three core vertical markets. The software and technology-based solutions provided by the Company are deployed and implemented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customers in a similar manner regardless of industry. See Notes 4. Revenue and 17. Geographic Areas for disaggregated information regarding the Company's revenues and long-lived assets by geography,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segment information for revenues, net income and significant expenses:</w:t>
      </w:r>
    </w:p>
    <w:tbl>
      <w:tblPr>
        <w:tblW w:w="10205" w:type="dxa"/>
        <w:jc w:val="left"/>
        <w:tblInd w:w="0" w:type="dxa"/>
        <w:tblLayout w:type="fixed"/>
        <w:tblCellMar>
          <w:top w:w="28" w:type="dxa"/>
          <w:left w:w="28" w:type="dxa"/>
          <w:bottom w:w="28" w:type="dxa"/>
          <w:right w:w="28" w:type="dxa"/>
        </w:tblCellMar>
      </w:tblPr>
      <w:tblGrid>
        <w:gridCol w:w="1468"/>
        <w:gridCol w:w="1072"/>
        <w:gridCol w:w="1032"/>
        <w:gridCol w:w="233"/>
        <w:gridCol w:w="913"/>
        <w:gridCol w:w="120"/>
        <w:gridCol w:w="120"/>
        <w:gridCol w:w="120"/>
        <w:gridCol w:w="120"/>
        <w:gridCol w:w="233"/>
        <w:gridCol w:w="913"/>
        <w:gridCol w:w="120"/>
        <w:gridCol w:w="120"/>
        <w:gridCol w:w="120"/>
        <w:gridCol w:w="120"/>
        <w:gridCol w:w="233"/>
        <w:gridCol w:w="913"/>
        <w:gridCol w:w="120"/>
        <w:gridCol w:w="120"/>
        <w:gridCol w:w="120"/>
        <w:gridCol w:w="120"/>
        <w:gridCol w:w="233"/>
        <w:gridCol w:w="913"/>
        <w:gridCol w:w="120"/>
        <w:gridCol w:w="109"/>
        <w:gridCol w:w="109"/>
        <w:gridCol w:w="109"/>
        <w:gridCol w:w="162"/>
      </w:tblGrid>
      <w:tr>
        <w:trPr/>
        <w:tc>
          <w:tcPr>
            <w:tcW w:w="1468"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3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152,017 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148,015 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299,482 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290,288 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Less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expense</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61,282 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21,287 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Communication services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12,341 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Third-party commissions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Software, tools and hosting</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18,457 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36,774 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29,142 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Legal and professional fees </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14,307 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21,784 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on sale and impairments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(2)</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16,356 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30,379 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33,357 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21,557 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expenses</w:t>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142,301 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142,254 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282,595 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283,593 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 from continuing operations</w:t>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(loss) from discontinued operations, net of income tax </w:t>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(6,255)</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vAlign w:val="center"/>
          </w:tcPr>
          <w:p>
            <w:pPr>
              <w:pStyle w:val="TableContents"/>
              <w:bidi w:val="0"/>
              <w:spacing w:before="0" w:after="283"/>
              <w:jc w:val="left"/>
              <w:rPr>
                <w:sz w:val="4"/>
                <w:szCs w:val="4"/>
              </w:rPr>
            </w:pPr>
            <w:r>
              <w:rPr>
                <w:sz w:val="4"/>
                <w:szCs w:val="4"/>
              </w:rPr>
            </w:r>
          </w:p>
        </w:tc>
        <w:tc>
          <w:tcPr>
            <w:tcW w:w="6633" w:type="dxa"/>
            <w:gridSpan w:val="25"/>
            <w:tcBorders/>
          </w:tcPr>
          <w:p>
            <w:pPr>
              <w:pStyle w:val="TableContents"/>
              <w:bidi w:val="0"/>
              <w:spacing w:before="0" w:after="283"/>
              <w:jc w:val="left"/>
              <w:rPr>
                <w:sz w:val="4"/>
                <w:szCs w:val="4"/>
              </w:rPr>
            </w:pPr>
            <w:r>
              <w:rPr>
                <w:sz w:val="4"/>
                <w:szCs w:val="4"/>
              </w:rPr>
            </w:r>
          </w:p>
        </w:tc>
      </w:tr>
      <w:tr>
        <w:trPr/>
        <w:tc>
          <w:tcPr>
            <w:tcW w:w="9716" w:type="dxa"/>
            <w:gridSpan w:val="24"/>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The significant expense categories and amounts align with information that is regularly reviewed by the CODM.</w:t>
            </w:r>
          </w:p>
        </w:tc>
        <w:tc>
          <w:tcPr>
            <w:tcW w:w="489" w:type="dxa"/>
            <w:gridSpan w:val="4"/>
            <w:tcBorders/>
          </w:tcPr>
          <w:p>
            <w:pPr>
              <w:pStyle w:val="TableContents"/>
              <w:bidi w:val="0"/>
              <w:spacing w:before="0" w:after="283"/>
              <w:jc w:val="left"/>
              <w:rPr>
                <w:sz w:val="4"/>
                <w:szCs w:val="4"/>
              </w:rPr>
            </w:pPr>
            <w:r>
              <w:rPr>
                <w:sz w:val="4"/>
                <w:szCs w:val="4"/>
              </w:rPr>
            </w:r>
          </w:p>
        </w:tc>
      </w:tr>
      <w:tr>
        <w:trPr/>
        <w:tc>
          <w:tcPr>
            <w:tcW w:w="9716" w:type="dxa"/>
            <w:gridSpan w:val="24"/>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Other segment items include corporate overhead expenses, transaction-related and other non-recurring or unusual costs, facility expenses, bad debt and other miscellaneous cost of services.</w:t>
            </w:r>
          </w:p>
        </w:tc>
        <w:tc>
          <w:tcPr>
            <w:tcW w:w="489" w:type="dxa"/>
            <w:gridSpan w:val="4"/>
            <w:tcBorders/>
          </w:tcPr>
          <w:p>
            <w:pPr>
              <w:pStyle w:val="TableContents"/>
              <w:bidi w:val="0"/>
              <w:spacing w:before="0" w:after="283"/>
              <w:jc w:val="left"/>
              <w:rPr>
                <w:sz w:val="4"/>
                <w:szCs w:val="4"/>
              </w:rPr>
            </w:pPr>
            <w:r>
              <w:rPr>
                <w:sz w:val="4"/>
                <w:szCs w:val="4"/>
              </w:rPr>
            </w:r>
          </w:p>
        </w:tc>
      </w:tr>
      <w:tr>
        <w:trPr/>
        <w:tc>
          <w:tcPr>
            <w:tcW w:w="357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Segment Disclosures</w:t>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16,369 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Significant Non-cash Items: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are no reconciling items or adjustments between segment revenues, net income, total assets and consolidated revenues, net income and total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Unless the context requires otherwise, references in this Quarterly Report on Form 10-Q to "EverCommerce," the “Company,” “we,” “us” and “our” refer to EverCommerce Inc. and its consolidated subsidiaries. The following discussion and analysis of our financial condition and results of operations should be read in conjunction with our unaudited condensed consolidated financial statements and related notes appearing elsewhere in this Quarterly Report on Form 10-Q and our consolidated financial statements and related notes included in our Annual Report on Form 10-K for the year ended December 31, 2025 (the “Annual Report on Form 10-K”) filed with the Securities and Exchange Commission (“SEC”) on March 12, 2026. Additionally, our historical results are not necessarily indicative of the results that may be expected for any period in the future. Unless otherwise noted, disclosures within Item 2. Management’s Discussion and Analysis of Financial Condition and Results of Operations relate solely to the Company's continuing operations, which excludes the marketing technology disposal group.</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EverCommerce is a leading AI-powered platform provider of integrated, vertically-tailored software-as-a-service (“SaaS”) solutions that help service-based small- and medium-sized businesses (“service SMBs”) run smarter and grow faster. Our platform spans across the full lifecycle of interactions between consumers and service professionals with vertical-specific applications. As of December 31, 2025, we empowered more than 745,000 customers worldwide across three core verticals: EverPro for Home Services; EverHealth for Health Services; and EverWell for Wellness Services. Within our core verticals, our customers operate within numerous micro-verticals, ranging from home service professionals, such as home improvement contractors and home maintenance technicians, to physician practices and therapists within Health Services, to salon owners within Wellness. Our platform provides vertically-tailored SaaS solutions that address service SMBs’ increasingly specialized demands, as well as highly complementary solutions that provide fully-integrated offerings, allowing service SMBs and EverCommerce to succeed in the market, and provide end consumers more convenient service experiences.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offer several vertically-tailored suites of solutions, each of which follows a similar and repeatable go-to-market playbook: offer a “system of action” Business Management Software that streamlines daily business workflows, integrate highly complementary, value-add adjacent solutions and complete gaps in the value chain to create integrated solutions. These solutions focus on addressing how service SMBs market their services, streamline operations and retain and engage their customers. </w:t>
      </w:r>
    </w:p>
    <w:p>
      <w:pPr>
        <w:pStyle w:val="TextBody"/>
        <w:bidi w:val="0"/>
        <w:spacing w:lineRule="auto" w:line="288" w:before="120" w:after="283"/>
        <w:ind w:left="0" w:right="0" w:hanging="180"/>
        <w:jc w:val="both"/>
        <w:rPr/>
      </w:pPr>
      <w:r>
        <w:rPr>
          <w:color w:val="000000"/>
        </w:rPr>
        <w:t>•</w:t>
      </w:r>
      <w:r>
        <w:rPr>
          <w:rFonts w:ascii="Times New Roman;serif" w:hAnsi="Times New Roman;serif"/>
          <w:b/>
          <w:i/>
          <w:color w:val="000000"/>
          <w:sz w:val="20"/>
        </w:rPr>
        <w:t xml:space="preserve">Business Management Software: </w:t>
      </w:r>
      <w:r>
        <w:rPr>
          <w:rFonts w:ascii="Times New Roman;serif" w:hAnsi="Times New Roman;serif"/>
          <w:b w:val="false"/>
          <w:color w:val="000000"/>
          <w:sz w:val="20"/>
        </w:rPr>
        <w:t>Our vertically-tailored Business Management Software is the system of action at the center of a service business’s operation, and is typically the point-of-entry and first solution adopted by a customer. Our software, designed to meet the day-to-day workflow needs of businesses in specific vertical end markets, streamlines front and back-office processes and provides polished customer-facing experiences. Using these offerings, service SMBs can deliver their services, streamline operations, and focus on growing their customer base.</w:t>
      </w:r>
    </w:p>
    <w:p>
      <w:pPr>
        <w:pStyle w:val="TextBody"/>
        <w:bidi w:val="0"/>
        <w:spacing w:lineRule="auto" w:line="288" w:before="120" w:after="283"/>
        <w:ind w:left="0" w:right="0" w:hanging="180"/>
        <w:jc w:val="both"/>
        <w:rPr/>
      </w:pPr>
      <w:r>
        <w:rPr>
          <w:color w:val="000000"/>
        </w:rPr>
        <w:t>•</w:t>
      </w:r>
      <w:r>
        <w:rPr>
          <w:rFonts w:ascii="Times New Roman;serif" w:hAnsi="Times New Roman;serif"/>
          <w:b/>
          <w:i/>
          <w:color w:val="000000"/>
          <w:sz w:val="20"/>
        </w:rPr>
        <w:t xml:space="preserve">Billing &amp; Payment Solutions: </w:t>
      </w:r>
      <w:r>
        <w:rPr>
          <w:rFonts w:ascii="Times New Roman;serif" w:hAnsi="Times New Roman;serif"/>
          <w:b w:val="false"/>
          <w:color w:val="000000"/>
          <w:sz w:val="20"/>
        </w:rPr>
        <w:t xml:space="preserve">Our Billing &amp; Payment Solutions provide integrated payments, billing and invoicing automation and business intelligence and analytics. Our omni-channel payments capabilities include point-of-sale, eCommerce, online bill payments, recurring billing, electronic invoicing and mobile payments. Supported payment types include credit card, debit card and Automated Clearing House (“ACH”) processing. Our payments platform also provides a full suite of service commerce features, including customer management as well as cash flow reporting and analytics. These value-add features help small- and medium-sized businesses (“SMBs”) to ensure more timely billing and payments collection and provide improved cash flow visibility. </w:t>
      </w:r>
    </w:p>
    <w:p>
      <w:pPr>
        <w:pStyle w:val="TextBody"/>
        <w:bidi w:val="0"/>
        <w:spacing w:lineRule="auto" w:line="288" w:before="120" w:after="283"/>
        <w:ind w:left="0" w:right="0" w:hanging="180"/>
        <w:jc w:val="both"/>
        <w:rPr/>
      </w:pPr>
      <w:r>
        <w:rPr>
          <w:color w:val="000000"/>
        </w:rPr>
        <w:t>•</w:t>
      </w:r>
      <w:r>
        <w:rPr>
          <w:rFonts w:ascii="Times New Roman;serif" w:hAnsi="Times New Roman;serif"/>
          <w:b/>
          <w:i/>
          <w:color w:val="000000"/>
          <w:sz w:val="20"/>
        </w:rPr>
        <w:t xml:space="preserve">Customer Experience Solutions: </w:t>
      </w:r>
      <w:r>
        <w:rPr>
          <w:rFonts w:ascii="Times New Roman;serif" w:hAnsi="Times New Roman;serif"/>
          <w:b w:val="false"/>
          <w:color w:val="000000"/>
          <w:sz w:val="20"/>
        </w:rPr>
        <w:t>Our Customer Experience Solutions modernize how businesses engage and interact with customers by leveraging innovative, bespoke customer listening and communication solutions to improve the customer experience and increase retention. Our software provides customer listening capabilities with real-time customer surveying and analysis to allow standalone businesses and multi-location brands to receive VoC insights and manage the customer experience lifecycle. These applications include: customer health scoring, customer support systems, real-time alerts, NPS-based customer feedback collection, review generation and automation, reputation management, customer satisfaction surveying and a digital communication suite, among others. Additionally, the recent acquisition of ZyraTalk (as defined above) provides virtual assistant capabilities with an agentic automation platform. ZyraTalk offers production-ready fully autonomous AI agents and field service management systems designed for seamless integration across our Home Services solutions and improving the overall prospect and customer experience. Collectively, these tools help our customers gain actionable insights, increase customer loyalty and repeat purchases and improve customer experiences.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go to market with suites of solutions that are aligned to our three core verticals. Within each suite, our Business Management Software – the system of action at the center of a service business’ operation – is typically the first solution adopted by a customer. This vertically-tailored point-of-entry provides us with an opportunity to cross-sell adjacent products, previously offered as fragmented and disjointed point solutions by other software providers. This “land and expand” strategy allows us to acquire customers with key foundational solutions and expand into offerings via product development and acquisitions that cover all workflows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power the full scope of our customers’ businesses. This results in a self-reinforcing flywheel effect, enabling us to drive value for our customers and, in turn, fuel growth, improve customer stickiness, and increase our market share.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continuing operations generate two types of revenue: (i) Subscription and Transaction Fees, which are primarily recurring revenue streams, and (ii) Other revenue, which consists primarily of one-time revenue streams. Our recurring revenue generally consists of monthly, quarterly and annual software and maintenance subscriptions and transaction revenue associated with integrated payments and billing solutions.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Subscription and Transaction Fees revenue includes: (i) recurring monthly, quarterly and annual SaaS subscriptions and software license and maintenance fees from the sale of our Business Management and Customer Engagement solutions; (ii) Billing and Payment solutions - payment processing fees based on the transaction volumes processed through our integrated payment solutions and processing fees based on transaction volumes for our revenue cycle management, chronic care management and health insurance clearinghouse solutions; and (iii) membership subscriptions and our share of rebates from suppliers generated though group purchasing programs.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Other revenue includes: (i) consulting, implementation, training and other professional services; (ii) website development; (iii) revenue from various business development partnerships; (iv) event income; and (v) hardware sales related to our business management or payment software solutions.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business benefits from attractive unit economics. Approximately 97% of our revenue was recurring or re-occurring in both the six months ended June 30, 2026 and 2025, and we maintained an annualized net revenue retention rate of approximately 94% and 97% for the quarters ended June 30, 2026 and 2025, respectively. Our annualized pro forma net revenue retention rate was equal to the annualized net revenue retention rate for the quarters ended June 30, 2026 and 2025, respectively, as the acquisitions and dispositions closed during the prior period were not material to our prior period unaudited condensed consolidated results on a pro forma basis. We believe the retention and growth of revenue from our existing customers is a helpful measure of the health of our business and our future growth prospects. Our ability to cross sell additional products and services to our existing customers can increase customer engagement with our suite of solutions and thus have a positive impact on our net pro forma revenue retention rate. For example, we have leveraged our land and expand strategy to cross sell solutions to our existing customers, which has supported our high net pro forma revenue retention rate by increasing customer utilization of our solutions, educating customers as to how our platform and synergies can support their businesses and, in turn, improving customer stickiness.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calculate our annualized net revenue retention rate based on the average of the annualized net revenue retention rate calculated for each month during the twelve-month period as of the most recent quarter end. Our calculation of net revenue retention rate for any fiscal period includes the positive recurring and re-occurring revenue impacts of selling new solutions to existing customers and the negative impacts of contraction and attrition among this set of customers. The annualized net revenue retention rate for a particular month is calculated as the recurring or re-occurring revenue gained/lost from existing customers, less the recurring or re-occurring revenue lost from cancelled customers as a percentage of total recurring or re-occurring revenue during the corresponding month of the prior year. For existing customers, we consider customers that existed 11 or more months prior to the current month and that do not have an end date (i.e., cancelled relationship) on or after the first day of the current month. For example, the recurring or re-occurring revenue gained/lost from existing customers in November 2025 is the difference between the recurring or re-occurring revenue generated in November 2025 and the same such revenue generated in November 2024, for customers with a start date prior to December 1, 2024 and no end date or cancelled relationship on or after November 1, 2025. For cancelled customers, we examine customers that cancelled their relationships on or after the first day of the month that is 12 months prior to the current month and before the first day of the current month. For example, the recurring or re-occurring revenue lost from cancelled customers in November 2025 is the difference between the recurring or re-occurring revenue generated in November 2025 and the same such revenue generated in November 2024, for customers that cancelled on or after November 1, 2024 and before November 1, 2025. The annualized pro forma net revenue retention rate is calculated as the annualized net revenue retention rate adjusted as though acquisitions and dispositions that were closed during the prior period presented were closed on the first day of such period presented. Our annualized net revenue retention rate and pro forma net revenue retention rate may fluctuate as a result of a number of factors, including the growing level of our revenue base, the level of penetration within our customer base, expansion of solutions, new acquisitions and dispositions and our ability to retain our customers. Our calculation of annualized net revenue retention rate and annualized pro forma net revenue retention rate may differ from similarly titled metrics presented by other companies.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This rate for any fiscal period includes the positive recurring and re-occurring revenue impacts of selling new solutions to existing customers and the negative impacts of contraction and attrition among this set of customers. Our net pro forma revenue retention rate may fluctuate as a result of a number of factors, including the growing level of our revenue base, the level of penetration within our customer base, expansion of solutions, new acquisitions and our ability to retain our customers. Our calculation of net pro forma revenue retention rate may differ from similarly titled metrics presented by other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Impact of Macroeconomic Climate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macroeconomic climate has seen in the recent years, and may continue to see, pressure from global developments such as international geopolitical conflicts, including the war in the Middle East, increased tariffs and proposed tariffs between the United States and other nations, as well as uncertainty as to future tariffs, terrorism, pandemics or health crises, rising inflation, fluctuations in the value of the US Dollar, rising interest rates and supply chain disruptions. These developments have had and may continue to have an adverse effect on our revenues and demand for our products and services, as well as on our costs of doing business. We have taken and will continue to take actions to help mitigate the impact of these economic challenges, but there can be no assurance as to the effectiveness of our efforts going forward.</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Sale of Marketing Technology Solutions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31, 2025, we completed the sale of our marketing technology solutions business to Ignite Visibility for approximately $45.0 million in cash (see Note 3. Acquisition and Disposition in this Quarterly Report on Form 10-Q). We determined that our decision to sell marketing technology solutions met the criteria for classification as discontinued operations. As a result, their operating results are presented as discontinued operations in our unaudited condensed consolidated statements of operations and comprehensive income for all periods presented through the date of sale. During the three and six months ended June 30, 2025, we measured the assets and liabilities of the marketing technology disposal group at estimated fair value less cost to sell and recognized a gain of $0.4 million and a loss of $2.2 million, respectively, and a goodwill impairment charge of $6.9 million during the six months ended June 30, 2025, which are included in (gain) loss on held for sale and impairments within discontinued operations on our unaudited condensed consolidated statements of operations and comprehensive income.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Acquisition of ZyraTalk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September 15, 2025, we acquired 100% of the interest of Joblyt LLC, dba ZyraTalk (“ZyraTalk”), an AI-powered customer engagement solution that combines virtual assistant capabilities with an agentic automation platform, for approximately $36.0 million in cash, not inclusive of up to an additional $6.5 million of contingent consideration, which could be paid over the next three years related to post-combination employment services (see Note 3. Acquisition and Disposition in this Quarterly Report on Form 10-Q). The acquisition helps to establish us as an AI-driven innovator, beginning with near-term application in our Home Services vertical, EverPro, and we plan to extend ZyraTalk into broader opportunities across our other verticals.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88" w:before="120" w:after="283"/>
        <w:jc w:val="both"/>
        <w:rPr/>
      </w:pPr>
      <w:r>
        <w:rPr>
          <w:rFonts w:ascii="Times New Roman;serif" w:hAnsi="Times New Roman;serif"/>
          <w:b w:val="false"/>
          <w:color w:val="000000"/>
          <w:sz w:val="20"/>
        </w:rPr>
        <w:t xml:space="preserve">We believe that our performance and future success depends on a number of factors that present significant opportunities for us but also pose risks and challenges. For discussion of these factors, please see Part II, Item 7. </w:t>
      </w:r>
      <w:r>
        <w:rPr>
          <w:color w:val="000000"/>
        </w:rPr>
        <w:t>“</w:t>
      </w:r>
      <w:r>
        <w:rPr>
          <w:rFonts w:ascii="Times New Roman;serif" w:hAnsi="Times New Roman;serif"/>
          <w:b w:val="false"/>
          <w:i/>
          <w:color w:val="000000"/>
          <w:sz w:val="20"/>
        </w:rPr>
        <w:t xml:space="preserve">Management’s Discussion and Analysis of Financial Condition and Results of Operations – </w:t>
      </w:r>
      <w:r>
        <w:rPr>
          <w:rFonts w:ascii="Times New Roman;serif" w:hAnsi="Times New Roman;serif"/>
          <w:b w:val="false"/>
          <w:color w:val="000000"/>
          <w:sz w:val="20"/>
        </w:rPr>
        <w:t xml:space="preserve">Key Factors Affecting Our Performance” included in our Annual Report on Form 10-K. For a discussion about why we consider our Non-GAAP measures useful and a discussion of the material risks and limitations of such measures, please see Part II, Item 7. </w:t>
      </w:r>
      <w:r>
        <w:rPr>
          <w:color w:val="000000"/>
        </w:rPr>
        <w:t>“</w:t>
      </w:r>
      <w:r>
        <w:rPr>
          <w:rFonts w:ascii="Times New Roman;serif" w:hAnsi="Times New Roman;serif"/>
          <w:b w:val="false"/>
          <w:i/>
          <w:color w:val="000000"/>
          <w:sz w:val="20"/>
        </w:rPr>
        <w:t>Management’s Discussion and Analysis of Financial Condition and Results of Operations – Key Business and Financial Metrics – Non-GAAP Financial Measures”</w:t>
      </w:r>
      <w:r>
        <w:rPr>
          <w:color w:val="000000"/>
        </w:rPr>
        <w:t xml:space="preserve"> </w:t>
      </w:r>
      <w:r>
        <w:rPr>
          <w:rFonts w:ascii="Times New Roman;serif" w:hAnsi="Times New Roman;serif"/>
          <w:b w:val="false"/>
          <w:color w:val="000000"/>
          <w:sz w:val="20"/>
        </w:rPr>
        <w:t>included in our Annual Report on Form 10-K.</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Key Business and Financial Metrics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to our results and measures of performance determined in accordance with accounting principles generally accepted in the United States of America (“U.S. GAAP”), we believe the following key business and non-GAAP financial measures are useful in evaluating and comparing our financial and operational performance over multiple periods, identifying trends affecting our business, formulating business plans and making strategic decisions. The information presented in the following sections within Key Business and Financial Metrics is calculated on the basis of US GAAP results from continuing operations for all periods presented, which excludes discontinued operations, if any.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Pro Forma Revenue Growth Rate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 Forma Revenue Growth Rate is a key performance measure that our management uses to assess our consolidated operating performance over time. Management also uses this metric for planning and forecasting purposes.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year-over-year Pro Forma Revenue Growth Rate is calculated as though all acquisitions and divestitures completed as of the end of the latest period were closed as of the first day of the prior year period presented. In calculating Pro Forma Revenue Growth Rate, we add the revenue from acquisitions for the reporting periods prior to the date of acquisition (including estimated purchase accounting adjustments) and exclude revenue from divestitures for the reporting periods prior to the date of divestiture, and then calculate our revenue growth rate between the two reported periods. As a result, Pro Forma Revenue Growth Rate includes pro forma revenue from businesses acquired and excludes revenue from businesses divested during the period, including revenue generated during periods when we did not yet own the acquired businesses and excludes revenue prior to the divestiture of the business. In including such pre-acquisition revenue and excluding pre-divestiture revenue, Pro Forma Revenue Growth Rate allows us to measure the underlying revenue growth of our business as it stands as of the end of the respective period, which we believe provides insight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into our then-current operations. Pro Forma Revenue Growth Rate does not represent organic revenue generated by our business as it stood at the beginning of the respective period. Pro Forma Revenue Growth Rates are not necessarily indicative of either future results of operations or actual results that might have been achieved had the acquisitions and divestitures been consummated on the first day of the prior year period presented. We believe that this metric is useful to investors in analyzing our financial and operational performance period over period and evaluating the growth of our business, normalizing for the impact of acquisitions and divestitures. This metric is particularly useful to management due to the number of acquired entities.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Revenue Growth Rate was 2.7% and 3.2% for the three and six months ended June 30, 2026, respectively. Total revenues include post-acquisition revenue from ZyraTalk, which was acquired September 15, 2025 (see Note 3. Acquisition and Disposition in this Quarterly Report on Form 10-Q), of $0.9 million and $1.8 million during the three and six months ended June 30, 2026, respectively. Our Pro Forma Revenue Growth rate was 2.0% and 2.5% for the three and six months ended June 30, 2026, reflective of the underlying growth in our business as a result of new customers and providing more solutions to existing customers.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Adjusted Gross Profit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Gross profit is calculated as total revenue less cost of revenue (exclusive of depreciation and amortization), amortization of developed technology, amortization of capitalized software and depreciation expense (allocated to cost of revenues). We calculate Adjusted Gross Profit as gross profit adjusted to exclude non-cash charges of depreciation and amortization allocated to cost of revenues. Adjusted Gross Profit should be viewed as a measure of operating performance that is a supplement to, and not a substitute for, operating income or loss, net earnings or loss and other U.S. GAAP measures of income (loss) or profitability.</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gross profit, the most directly comparable financial measure calculated in accordance with U.S. GAAP, to Adjusted Gross Profit.</w:t>
      </w:r>
    </w:p>
    <w:tbl>
      <w:tblPr>
        <w:tblW w:w="10205" w:type="dxa"/>
        <w:jc w:val="left"/>
        <w:tblInd w:w="0" w:type="dxa"/>
        <w:tblLayout w:type="fixed"/>
        <w:tblCellMar>
          <w:top w:w="28" w:type="dxa"/>
          <w:left w:w="28" w:type="dxa"/>
          <w:bottom w:w="28" w:type="dxa"/>
          <w:right w:w="28" w:type="dxa"/>
        </w:tblCellMar>
      </w:tblPr>
      <w:tblGrid>
        <w:gridCol w:w="614"/>
        <w:gridCol w:w="507"/>
        <w:gridCol w:w="511"/>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616"/>
        <w:gridCol w:w="109"/>
        <w:gridCol w:w="109"/>
        <w:gridCol w:w="155"/>
      </w:tblGrid>
      <w:tr>
        <w:trPr/>
        <w:tc>
          <w:tcPr>
            <w:tcW w:w="61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264" w:type="dxa"/>
            <w:gridSpan w:val="2"/>
            <w:tcBorders/>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6" w:type="dxa"/>
            <w:gridSpan w:val="2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527" w:type="dxa"/>
            <w:gridSpan w:val="8"/>
            <w:tcBorders/>
          </w:tcPr>
          <w:p>
            <w:pPr>
              <w:pStyle w:val="TableContents"/>
              <w:bidi w:val="0"/>
              <w:spacing w:before="0" w:after="283"/>
              <w:jc w:val="left"/>
              <w:rPr>
                <w:sz w:val="4"/>
                <w:szCs w:val="4"/>
              </w:rPr>
            </w:pPr>
            <w:r>
              <w:rPr>
                <w:sz w:val="4"/>
                <w:szCs w:val="4"/>
              </w:rPr>
            </w:r>
          </w:p>
        </w:tc>
      </w:tr>
      <w:tr>
        <w:trPr/>
        <w:tc>
          <w:tcPr>
            <w:tcW w:w="163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developed technology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allocated to 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 from continuing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gross profit from continuing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234,281 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225,705 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is calculated as net income (loss) adjusted to exclude interest and other expense, net, income tax expense (benefit), depreciation and amortization, other amortization, stock-based compensation, and transaction-related and other non-recurring or unusual costs. Other amortization includes amortization for capitalized contract acquisition costs. Transaction-related costs are specific deal-related costs such as legal fees, financial and tax due diligence, consulting and escrow fees. Other non-recurring or unusual costs are expenses such as impairment charges, (gains) losses from divestitures, system implementation costs including amortization of cloud-based software implementation costs, executive separation costs, severance expense related to planned restructuring activities, and costs associated with integration and transformation improvements. Transaction-related and other non-recurring or unusual costs are excluded as they are not representative of our underlying operating performance. Adjusted EBITDA should be viewed as a measure of operating performance that is a supplement to, and not a substitute for, operating income or loss, net earnings or loss and other U.S. GAAP measures of income (loss).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income from continuing operations, the most directly comparable financial measure calculated in accordance with U.S. GAAP, to Adjusted EBITDA from continuing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82"/>
        <w:gridCol w:w="482"/>
        <w:gridCol w:w="483"/>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55"/>
      </w:tblGrid>
      <w:tr>
        <w:trPr/>
        <w:tc>
          <w:tcPr>
            <w:tcW w:w="9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264" w:type="dxa"/>
            <w:gridSpan w:val="2"/>
            <w:tcBorders/>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6" w:type="dxa"/>
            <w:gridSpan w:val="2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632" w:type="dxa"/>
            <w:gridSpan w:val="8"/>
            <w:tcBorders/>
          </w:tcPr>
          <w:p>
            <w:pPr>
              <w:pStyle w:val="TableContents"/>
              <w:bidi w:val="0"/>
              <w:spacing w:before="0" w:after="283"/>
              <w:jc w:val="left"/>
              <w:rPr>
                <w:sz w:val="4"/>
                <w:szCs w:val="4"/>
              </w:rPr>
            </w:pPr>
            <w:r>
              <w:rPr>
                <w:sz w:val="4"/>
                <w:szCs w:val="4"/>
              </w:rPr>
            </w:r>
          </w:p>
        </w:tc>
      </w:tr>
      <w:tr>
        <w:trPr/>
        <w:tc>
          <w:tcPr>
            <w:tcW w:w="194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to exclude the following: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Transaction-related and other non-recurring or unusual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from continuing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4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Description of Certain Components of Financial Data</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Each of the components of our financial results described below relate to continuing operations. For additional information concerning our accounting policies, see Note 2. Summary of Significant Accounting Policies in the notes to the consolidated financial statements included in our Annual Report on Form 10-K.</w:t>
      </w:r>
    </w:p>
    <w:p>
      <w:pPr>
        <w:pStyle w:val="TextBody"/>
        <w:bidi w:val="0"/>
        <w:spacing w:lineRule="auto" w:line="288" w:before="100" w:after="283"/>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100" w:after="283"/>
        <w:jc w:val="both"/>
        <w:rPr/>
      </w:pPr>
      <w:r>
        <w:rPr>
          <w:rFonts w:ascii="Times New Roman;serif" w:hAnsi="Times New Roman;serif"/>
          <w:b w:val="false"/>
          <w:color w:val="000000"/>
          <w:sz w:val="20"/>
        </w:rPr>
        <w:t xml:space="preserve">We derive our revenue from two primary sources which are described in detail below: (i) Subscription and Transaction Fees, which are primarily recurring revenue streams, and (ii) Other revenue, which consists primarily of the sale of distinct professional services and hardware. Our revenue recognition policies are discussed in more detail below under </w:t>
      </w:r>
      <w:r>
        <w:rPr>
          <w:color w:val="000000"/>
        </w:rPr>
        <w:t>“</w:t>
      </w:r>
      <w:r>
        <w:rPr>
          <w:rFonts w:ascii="Times New Roman;serif" w:hAnsi="Times New Roman;serif"/>
          <w:b w:val="false"/>
          <w:i/>
          <w:color w:val="000000"/>
          <w:sz w:val="20"/>
        </w:rPr>
        <w:t>Critical Accounting Policies and Significant Judgments and Estimates.”</w:t>
      </w:r>
    </w:p>
    <w:p>
      <w:pPr>
        <w:pStyle w:val="TextBody"/>
        <w:bidi w:val="0"/>
        <w:spacing w:lineRule="auto" w:line="288" w:before="100" w:after="283"/>
        <w:jc w:val="both"/>
        <w:rPr/>
      </w:pPr>
      <w:r>
        <w:rPr>
          <w:rFonts w:ascii="Times New Roman;serif" w:hAnsi="Times New Roman;serif"/>
          <w:b w:val="false"/>
          <w:i/>
          <w:color w:val="000000"/>
          <w:sz w:val="20"/>
        </w:rPr>
        <w:t>Subscription and Transaction Fees</w:t>
      </w:r>
      <w:r>
        <w:rPr>
          <w:rFonts w:ascii="Times New Roman;serif" w:hAnsi="Times New Roman;serif"/>
          <w:b w:val="false"/>
          <w:color w:val="000000"/>
          <w:sz w:val="20"/>
        </w:rPr>
        <w:t xml:space="preserve">: Revenue includes (i) recurring monthly, quarterly and annual SaaS subscriptions and software license and maintenance fees from the sale of our Business Management, Customer Engagement solutions; (ii) Billing and payment solutions - payment processing fees based on the transaction volumes processed through our integrated payment solutions and processing fees based on transaction volumes for our revenue cycle management, chronic care management and health insurance clearinghouse solutions; and (iii) membership subscriptions and our share of rebates from suppliers generated though group purchasing programs. Our revenue from payment processing fees is recorded net of credit card and ACH processing and interchange charges in the month the services are performed. </w:t>
      </w:r>
    </w:p>
    <w:p>
      <w:pPr>
        <w:pStyle w:val="TextBody"/>
        <w:bidi w:val="0"/>
        <w:spacing w:lineRule="auto" w:line="288" w:before="100" w:after="283"/>
        <w:jc w:val="both"/>
        <w:rPr/>
      </w:pPr>
      <w:r>
        <w:rPr>
          <w:rFonts w:ascii="Times New Roman;serif" w:hAnsi="Times New Roman;serif"/>
          <w:b w:val="false"/>
          <w:i/>
          <w:color w:val="000000"/>
          <w:sz w:val="20"/>
        </w:rPr>
        <w:t>Other</w:t>
      </w:r>
      <w:r>
        <w:rPr>
          <w:rFonts w:ascii="Times New Roman;serif" w:hAnsi="Times New Roman;serif"/>
          <w:b w:val="false"/>
          <w:color w:val="000000"/>
          <w:sz w:val="20"/>
        </w:rPr>
        <w:t xml:space="preserve">: Revenue includes (i) consulting, implementation, training and other professional services; (ii) website development; (iii) revenue from various business development partnerships; (iv) event income; and (v) hardware sales related to our business management or payment software solutions. </w:t>
      </w:r>
    </w:p>
    <w:p>
      <w:pPr>
        <w:pStyle w:val="TextBody"/>
        <w:bidi w:val="0"/>
        <w:spacing w:lineRule="auto" w:line="288" w:before="100" w:after="283"/>
        <w:jc w:val="both"/>
        <w:rPr>
          <w:rFonts w:ascii="Times New Roman;serif" w:hAnsi="Times New Roman;serif"/>
          <w:b/>
          <w:i/>
          <w:color w:val="000000"/>
          <w:sz w:val="20"/>
        </w:rPr>
      </w:pPr>
      <w:r>
        <w:rPr>
          <w:rFonts w:ascii="Times New Roman;serif" w:hAnsi="Times New Roman;serif"/>
          <w:b/>
          <w:i/>
          <w:color w:val="000000"/>
          <w:sz w:val="20"/>
        </w:rPr>
        <w:t>Cost of Revenues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and amortization) consists of expenses related to delivering our services and products and providing support to our customers and includes employee costs and related overhead, customer credit card processing fees, targeted mail costs, third-party fulfillment costs and software hosting expenses.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We expect that cost of revenue as a percentage of revenue will fluctuate from period to period based on a variety of factors, including the rate of growth of subscription and transaction fees, labor costs, third-party expenses and acquisitions and dispositions. For the three and six months ended June 30, 2026, revenue from subscription and transaction fees increased 3.2% and 3.1%, respectively, compared to the prior year period.</w:t>
      </w:r>
    </w:p>
    <w:p>
      <w:pPr>
        <w:pStyle w:val="TextBody"/>
        <w:bidi w:val="0"/>
        <w:spacing w:lineRule="auto" w:line="288" w:before="100" w:after="283"/>
        <w:jc w:val="both"/>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Sales and marketing expense consists primarily of employee costs for our sales and marketing personnel, including salaries, benefits, bonuses, stock-based compensation and sales commissions. Sales and marketing expenses also include advertising costs, travel-related expenses and costs to market and promote our products, direct customer acquisition costs, costs related to conferences and events and partner/broker commissions. Software and subscription services dedicated for use by our sales and marketing organization, and outside services contracted for sales and marketing purposes are also included in sales and marketing expense. Sales commissions that are incremental to obtaining a customer contract are deferred and amortized ratably over the estimated period of our relationship with that customer. We expect our sales and marketing expenses will increase in absolute dollars and may increase as a percentage of revenue for the foreseeable future as we continue to increase investments to support our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00" w:after="283"/>
        <w:jc w:val="both"/>
        <w:rPr>
          <w:rFonts w:ascii="Times New Roman;serif" w:hAnsi="Times New Roman;serif"/>
          <w:b/>
          <w:i/>
          <w:color w:val="000000"/>
          <w:sz w:val="20"/>
        </w:rPr>
      </w:pPr>
      <w:r>
        <w:rPr>
          <w:rFonts w:ascii="Times New Roman;serif" w:hAnsi="Times New Roman;serif"/>
          <w:b/>
          <w:i/>
          <w:color w:val="000000"/>
          <w:sz w:val="20"/>
        </w:rPr>
        <w:t>Product Development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Product development expense consists primarily of employee costs for our product development personnel, including salaries, benefits, stock-based compensation and bonuses. Product development expenses also include third-party outsourced technology costs incurred in developing our platforms, and computer equipment, software and subscription services dedicated for use by our product development organization. We expect our product development expenses to increase in absolute dollars and increase as a percentage of revenue during 2026 as we continue to dedicate substantial resources to develop, improve and expand the functionality of our solutions.</w:t>
      </w:r>
    </w:p>
    <w:p>
      <w:pPr>
        <w:pStyle w:val="TextBody"/>
        <w:bidi w:val="0"/>
        <w:spacing w:lineRule="auto" w:line="288" w:before="100" w:after="283"/>
        <w:jc w:val="both"/>
        <w:rPr>
          <w:rFonts w:ascii="Times New Roman;serif" w:hAnsi="Times New Roman;serif"/>
          <w:b/>
          <w:i/>
          <w:color w:val="000000"/>
          <w:sz w:val="20"/>
        </w:rPr>
      </w:pPr>
      <w:r>
        <w:rPr>
          <w:rFonts w:ascii="Times New Roman;serif" w:hAnsi="Times New Roman;serif"/>
          <w:b/>
          <w:i/>
          <w:color w:val="000000"/>
          <w:sz w:val="20"/>
        </w:rPr>
        <w:t xml:space="preserve">General and Administrative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consists of employee costs for our executive leadership, accounting, finance, legal, human resources and other administrative personnel, including salaries, benefits, bonuses and stock-based compensation. General and administrative expenses also include external legal, accounting and other professional services fees, rent, software and subscription services dedicated for use by our general and administrative employees and other general corporate expenses. We expect general and administrative expense to increase on an absolute dollar basis for the foreseeable future due to increased costs as a result of being a public company. As we are able to further scale our operations in the future, we would expect that general and administrative expenses would decrease as a percentage of revenue.</w:t>
      </w:r>
    </w:p>
    <w:p>
      <w:pPr>
        <w:pStyle w:val="TextBody"/>
        <w:bidi w:val="0"/>
        <w:spacing w:lineRule="auto" w:line="288" w:before="100" w:after="283"/>
        <w:jc w:val="both"/>
        <w:rPr>
          <w:rFonts w:ascii="Times New Roman;serif" w:hAnsi="Times New Roman;serif"/>
          <w:b/>
          <w:i/>
          <w:color w:val="000000"/>
          <w:sz w:val="20"/>
        </w:rPr>
      </w:pPr>
      <w:r>
        <w:rPr>
          <w:rFonts w:ascii="Times New Roman;serif" w:hAnsi="Times New Roman;serif"/>
          <w:b/>
          <w:i/>
          <w:color w:val="000000"/>
          <w:sz w:val="20"/>
        </w:rPr>
        <w:t>Depreciation and Amortization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primarily relate to intangible assets, property and equipment and capitalized software.</w:t>
      </w:r>
    </w:p>
    <w:p>
      <w:pPr>
        <w:pStyle w:val="TextBody"/>
        <w:bidi w:val="0"/>
        <w:spacing w:lineRule="auto" w:line="288" w:before="100" w:after="283"/>
        <w:jc w:val="both"/>
        <w:rPr>
          <w:rFonts w:ascii="Times New Roman;serif" w:hAnsi="Times New Roman;serif"/>
          <w:b/>
          <w:i/>
          <w:color w:val="000000"/>
          <w:sz w:val="20"/>
        </w:rPr>
      </w:pPr>
      <w:r>
        <w:rPr>
          <w:rFonts w:ascii="Times New Roman;serif" w:hAnsi="Times New Roman;serif"/>
          <w:b/>
          <w:i/>
          <w:color w:val="000000"/>
          <w:sz w:val="20"/>
        </w:rPr>
        <w:t>Loss on Sale and Impairments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Loss on sale relates to the divestiture of marketing technology solutions. Impairments include goodwill impairment charges and operating lease impairments related to the Company’s decision to cease use of certain leased premises and sublease certain facilities.</w:t>
      </w:r>
    </w:p>
    <w:p>
      <w:pPr>
        <w:pStyle w:val="TextBody"/>
        <w:bidi w:val="0"/>
        <w:spacing w:lineRule="auto" w:line="288" w:before="100" w:after="283"/>
        <w:jc w:val="both"/>
        <w:rPr>
          <w:rFonts w:ascii="Times New Roman;serif" w:hAnsi="Times New Roman;serif"/>
          <w:b/>
          <w:i/>
          <w:color w:val="000000"/>
          <w:sz w:val="20"/>
        </w:rPr>
      </w:pPr>
      <w:r>
        <w:rPr>
          <w:rFonts w:ascii="Times New Roman;serif" w:hAnsi="Times New Roman;serif"/>
          <w:b/>
          <w:i/>
          <w:color w:val="000000"/>
          <w:sz w:val="20"/>
        </w:rPr>
        <w:t>Interest and Other Expense, net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Interest and other expense, net, primarily consists of interest expense on long-term debt, net of interest income. It also includes amortization expense of financing costs and discounts, income from the TSA, as well as realized and unrealized gains and losses related to interest rate swap agreements.</w:t>
      </w:r>
    </w:p>
    <w:p>
      <w:pPr>
        <w:pStyle w:val="TextBody"/>
        <w:bidi w:val="0"/>
        <w:spacing w:lineRule="auto" w:line="288" w:before="100" w:after="283"/>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U.S. GAAP requires deferred tax assets and liabilities to be recognized for temporary differences between the tax basis and financial reporting basis of assets and liabilities, computed at the expected tax rates for the periods in which the assets or liabilities will be realized, as well as for the expected tax (expense) benefit of net operating loss and tax credit carryforwards. Income taxes are recognized for the amount of taxes payable by the Company's corporate subsidiaries for the current year and for the impact of deferred tax assets and liabilities, which represent future tax consequences of events that have been recognized differently in the financial statements than for tax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key components of our results of operations for the periods presented. The period-to-period comparison of our historical results are not necessarily indicative of our results of operations that may be expected in the future. The following comparative information for results of operations for all periods presented have been adjusted to reflect discontinued operations related to marketing technology solutions and includes the operating results of Fitness Solutions for all periods through the applicable date of sale.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Comparison of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570"/>
        <w:gridCol w:w="476"/>
        <w:gridCol w:w="481"/>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55"/>
      </w:tblGrid>
      <w:tr>
        <w:trPr/>
        <w:tc>
          <w:tcPr>
            <w:tcW w:w="57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264" w:type="dxa"/>
            <w:gridSpan w:val="2"/>
            <w:tcBorders/>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6" w:type="dxa"/>
            <w:gridSpan w:val="2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632" w:type="dxa"/>
            <w:gridSpan w:val="8"/>
            <w:tcBorders/>
          </w:tcPr>
          <w:p>
            <w:pPr>
              <w:pStyle w:val="TableContents"/>
              <w:bidi w:val="0"/>
              <w:spacing w:before="0" w:after="283"/>
              <w:jc w:val="left"/>
              <w:rPr>
                <w:sz w:val="4"/>
                <w:szCs w:val="4"/>
              </w:rPr>
            </w:pPr>
            <w:r>
              <w:rPr>
                <w:sz w:val="4"/>
                <w:szCs w:val="4"/>
              </w:rPr>
            </w:r>
          </w:p>
        </w:tc>
      </w:tr>
      <w:tr>
        <w:trPr/>
        <w:tc>
          <w:tcPr>
            <w:tcW w:w="15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transaction fees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Cost of revenues </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(exclusive of depreciation and amortization presented separately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Sales and marketing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Product development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on sale and impairments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1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 before income tax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income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stock-based compensation expense as follows:</w:t>
      </w:r>
    </w:p>
    <w:tbl>
      <w:tblPr>
        <w:tblW w:w="10205" w:type="dxa"/>
        <w:jc w:val="left"/>
        <w:tblInd w:w="0" w:type="dxa"/>
        <w:tblLayout w:type="fixed"/>
        <w:tblCellMar>
          <w:top w:w="28" w:type="dxa"/>
          <w:left w:w="28" w:type="dxa"/>
          <w:bottom w:w="28" w:type="dxa"/>
          <w:right w:w="28" w:type="dxa"/>
        </w:tblCellMar>
      </w:tblPr>
      <w:tblGrid>
        <w:gridCol w:w="909"/>
        <w:gridCol w:w="660"/>
        <w:gridCol w:w="614"/>
        <w:gridCol w:w="211"/>
        <w:gridCol w:w="616"/>
        <w:gridCol w:w="109"/>
        <w:gridCol w:w="109"/>
        <w:gridCol w:w="109"/>
        <w:gridCol w:w="109"/>
        <w:gridCol w:w="211"/>
        <w:gridCol w:w="616"/>
        <w:gridCol w:w="109"/>
        <w:gridCol w:w="109"/>
        <w:gridCol w:w="109"/>
        <w:gridCol w:w="109"/>
        <w:gridCol w:w="211"/>
        <w:gridCol w:w="655"/>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655"/>
        <w:gridCol w:w="109"/>
        <w:gridCol w:w="109"/>
        <w:gridCol w:w="156"/>
      </w:tblGrid>
      <w:tr>
        <w:trPr/>
        <w:tc>
          <w:tcPr>
            <w:tcW w:w="9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265" w:type="dxa"/>
            <w:gridSpan w:val="2"/>
            <w:tcBorders/>
          </w:tcPr>
          <w:p>
            <w:pPr>
              <w:pStyle w:val="TableContents"/>
              <w:bidi w:val="0"/>
              <w:spacing w:before="0" w:after="283"/>
              <w:jc w:val="left"/>
              <w:rPr>
                <w:sz w:val="4"/>
                <w:szCs w:val="4"/>
              </w:rPr>
            </w:pPr>
            <w:r>
              <w:rPr>
                <w:sz w:val="4"/>
                <w:szCs w:val="4"/>
              </w:rPr>
            </w:r>
          </w:p>
        </w:tc>
      </w:tr>
      <w:tr>
        <w:trPr/>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5" w:type="dxa"/>
            <w:gridSpan w:val="2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67" w:type="dxa"/>
            <w:gridSpan w:val="8"/>
            <w:tcBorders/>
          </w:tcPr>
          <w:p>
            <w:pPr>
              <w:pStyle w:val="TableContents"/>
              <w:bidi w:val="0"/>
              <w:spacing w:before="0" w:after="283"/>
              <w:jc w:val="left"/>
              <w:rPr>
                <w:sz w:val="4"/>
                <w:szCs w:val="4"/>
              </w:rPr>
            </w:pPr>
            <w:r>
              <w:rPr>
                <w:sz w:val="4"/>
                <w:szCs w:val="4"/>
              </w:rPr>
            </w:r>
          </w:p>
        </w:tc>
      </w:tr>
      <w:tr>
        <w:trPr/>
        <w:tc>
          <w:tcPr>
            <w:tcW w:w="218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Comparison of the three and six months ended June 30, 2026 and 2025 (percentage of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key components of operating costs within our results of operations as a percentage of revenue for the three and six months ended June 30, 2026 compared to the same period in 2025.</w:t>
      </w:r>
    </w:p>
    <w:tbl>
      <w:tblPr>
        <w:tblW w:w="10205" w:type="dxa"/>
        <w:jc w:val="left"/>
        <w:tblInd w:w="0" w:type="dxa"/>
        <w:tblLayout w:type="fixed"/>
        <w:tblCellMar>
          <w:top w:w="28" w:type="dxa"/>
          <w:left w:w="28" w:type="dxa"/>
          <w:bottom w:w="28" w:type="dxa"/>
          <w:right w:w="28" w:type="dxa"/>
        </w:tblCellMar>
      </w:tblPr>
      <w:tblGrid>
        <w:gridCol w:w="1407"/>
        <w:gridCol w:w="1023"/>
        <w:gridCol w:w="1030"/>
        <w:gridCol w:w="255"/>
        <w:gridCol w:w="256"/>
        <w:gridCol w:w="326"/>
        <w:gridCol w:w="121"/>
        <w:gridCol w:w="121"/>
        <w:gridCol w:w="121"/>
        <w:gridCol w:w="255"/>
        <w:gridCol w:w="256"/>
        <w:gridCol w:w="326"/>
        <w:gridCol w:w="109"/>
        <w:gridCol w:w="109"/>
        <w:gridCol w:w="109"/>
        <w:gridCol w:w="220"/>
        <w:gridCol w:w="221"/>
        <w:gridCol w:w="417"/>
        <w:gridCol w:w="109"/>
        <w:gridCol w:w="109"/>
        <w:gridCol w:w="109"/>
        <w:gridCol w:w="255"/>
        <w:gridCol w:w="256"/>
        <w:gridCol w:w="290"/>
        <w:gridCol w:w="115"/>
        <w:gridCol w:w="115"/>
        <w:gridCol w:w="115"/>
        <w:gridCol w:w="255"/>
        <w:gridCol w:w="256"/>
        <w:gridCol w:w="290"/>
        <w:gridCol w:w="109"/>
        <w:gridCol w:w="109"/>
        <w:gridCol w:w="109"/>
        <w:gridCol w:w="220"/>
        <w:gridCol w:w="221"/>
        <w:gridCol w:w="481"/>
      </w:tblGrid>
      <w:tr>
        <w:trPr/>
        <w:tc>
          <w:tcPr>
            <w:tcW w:w="140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3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460"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249" w:type="dxa"/>
            <w:gridSpan w:val="6"/>
            <w:tcBorders/>
          </w:tcPr>
          <w:p>
            <w:pPr>
              <w:pStyle w:val="TableContents"/>
              <w:bidi w:val="0"/>
              <w:spacing w:before="0" w:after="283"/>
              <w:jc w:val="left"/>
              <w:rPr>
                <w:sz w:val="4"/>
                <w:szCs w:val="4"/>
              </w:rPr>
            </w:pPr>
            <w:r>
              <w:rPr>
                <w:sz w:val="4"/>
                <w:szCs w:val="4"/>
              </w:rPr>
            </w:r>
          </w:p>
        </w:tc>
      </w:tr>
      <w:tr>
        <w:trPr/>
        <w:tc>
          <w:tcPr>
            <w:tcW w:w="3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8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100.0%</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presented separately below)</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3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3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Product development </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3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3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on sale and impairments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While revenue growth remains a key focus, we remain committed to continued expansion of gross margin, net income and Adjusted EBITDA through ongoing transformation initiatives. As a percentage of revenue, the combination of cost of revenue, sales and marketing, product development and general and administrative costs increased from 78.1% for the six months ended June 30, 2025 to 79.8% for the six months ended June 30, 2026, an increase of 170 basis points representing targeted investments for future growth inclusive of costs associated with the ZyraTalk acquisition subsequent to the acquisition date. A discussion on primary drivers follows in the subsequent sections.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Revenues</w:t>
      </w:r>
    </w:p>
    <w:tbl>
      <w:tblPr>
        <w:tblW w:w="10205" w:type="dxa"/>
        <w:jc w:val="left"/>
        <w:tblInd w:w="0" w:type="dxa"/>
        <w:tblLayout w:type="fixed"/>
        <w:tblCellMar>
          <w:top w:w="28" w:type="dxa"/>
          <w:left w:w="28" w:type="dxa"/>
          <w:bottom w:w="28" w:type="dxa"/>
          <w:right w:w="28" w:type="dxa"/>
        </w:tblCellMar>
      </w:tblPr>
      <w:tblGrid>
        <w:gridCol w:w="511"/>
        <w:gridCol w:w="449"/>
        <w:gridCol w:w="454"/>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155"/>
      </w:tblGrid>
      <w:tr>
        <w:trPr/>
        <w:tc>
          <w:tcPr>
            <w:tcW w:w="5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482" w:type="dxa"/>
            <w:gridSpan w:val="4"/>
            <w:tcBorders/>
          </w:tcPr>
          <w:p>
            <w:pPr>
              <w:pStyle w:val="TableContents"/>
              <w:bidi w:val="0"/>
              <w:spacing w:before="0" w:after="283"/>
              <w:jc w:val="left"/>
              <w:rPr>
                <w:sz w:val="4"/>
                <w:szCs w:val="4"/>
              </w:rPr>
            </w:pPr>
            <w:r>
              <w:rPr>
                <w:sz w:val="4"/>
                <w:szCs w:val="4"/>
              </w:rPr>
            </w:r>
          </w:p>
        </w:tc>
      </w:tr>
      <w:tr>
        <w:trPr/>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6" w:type="dxa"/>
            <w:gridSpan w:val="2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745" w:type="dxa"/>
            <w:gridSpan w:val="10"/>
            <w:tcBorders/>
          </w:tcPr>
          <w:p>
            <w:pPr>
              <w:pStyle w:val="TableContents"/>
              <w:bidi w:val="0"/>
              <w:spacing w:before="0" w:after="283"/>
              <w:jc w:val="left"/>
              <w:rPr>
                <w:sz w:val="4"/>
                <w:szCs w:val="4"/>
              </w:rPr>
            </w:pPr>
            <w:r>
              <w:rPr>
                <w:sz w:val="4"/>
                <w:szCs w:val="4"/>
              </w:rPr>
            </w:r>
          </w:p>
        </w:tc>
      </w:tr>
      <w:tr>
        <w:trPr/>
        <w:tc>
          <w:tcPr>
            <w:tcW w:w="14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transaction fees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152,017 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148,015 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299,482 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290,288 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Revenues increased $4.0 million, or 2.7%, and $9.2 million, or 3.2%, for the three and six months ended June 30, 2026, respectively, as compared to the same periods in 2025.</w:t>
      </w:r>
      <w:r>
        <w:rPr>
          <w:color w:val="000000"/>
        </w:rPr>
        <w:t xml:space="preserve"> </w:t>
      </w:r>
      <w:r>
        <w:rPr>
          <w:rFonts w:ascii="Times New Roman;serif" w:hAnsi="Times New Roman;serif"/>
          <w:b w:val="false"/>
          <w:color w:val="000000"/>
          <w:sz w:val="20"/>
        </w:rPr>
        <w:t>Revenue from subscription and transaction fees increased 3.2% and 3.1% and other revenue decreased 9.8% and increased 3.8% during the three and six months ended June 30, 2026, respectively, as compared to the prior year periods. The majority of our revenue growth is attributable to the successful delivery of system of action capabilities to our SMBs in our verticals of home services as well as our EverHealth product portfolio. The subscription and transaction fees revenue increase consists primarily of increases from (a) business management software and (b) billing and payment solutions, partially offset by a decrease in (c) revenues associated with our share of rebates from suppliers generated through group purchase programs. Business management software revenues drove a $3.6 million and $9.5 million increase in subscription and transaction fees revenue for the three and six months ended June 30, 2026, respectively, due primarily to higher revenue per customer. Billing and payment solutions revenues increased $1.5 million and $0.8 million during the three and six months ended June 30, 2026, respectively, primarily due to an increase in total payments volume processed through our payment platforms and slightly higher take rate. Revenues associated with our share of rebates from suppliers generated through group purchasing programs, which is more closely connected to macro-economic impacts than our core business management software, declined by $0.6 million and $1.4 million during the three and six months ended June 30, 2026, respectively. Subscription and transaction fees revenue also includes $0.9 million and $1.8 million of post-acquisition revenue from ZyraTalk for the three and six months ended June 30, 2026, respectively, (see Note 3. Acquisition and Disposition in this Quarterly Report on Form 10-Q). Other revenues decreased $0.5 million and increased $0.4 million during the three and six months ended June 30, 2026, respectively, as compared to the same periods in 2025, primarily driven by timing of revenues related to project implementation and customer development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Cost of Revenues</w:t>
      </w:r>
    </w:p>
    <w:tbl>
      <w:tblPr>
        <w:tblW w:w="10205" w:type="dxa"/>
        <w:jc w:val="left"/>
        <w:tblInd w:w="0" w:type="dxa"/>
        <w:tblLayout w:type="fixed"/>
        <w:tblCellMar>
          <w:top w:w="28" w:type="dxa"/>
          <w:left w:w="28" w:type="dxa"/>
          <w:bottom w:w="28" w:type="dxa"/>
          <w:right w:w="28" w:type="dxa"/>
        </w:tblCellMar>
      </w:tblPr>
      <w:tblGrid>
        <w:gridCol w:w="897"/>
        <w:gridCol w:w="788"/>
        <w:gridCol w:w="790"/>
        <w:gridCol w:w="261"/>
        <w:gridCol w:w="338"/>
        <w:gridCol w:w="338"/>
        <w:gridCol w:w="119"/>
        <w:gridCol w:w="119"/>
        <w:gridCol w:w="119"/>
        <w:gridCol w:w="261"/>
        <w:gridCol w:w="338"/>
        <w:gridCol w:w="338"/>
        <w:gridCol w:w="109"/>
        <w:gridCol w:w="109"/>
        <w:gridCol w:w="109"/>
        <w:gridCol w:w="347"/>
        <w:gridCol w:w="245"/>
        <w:gridCol w:w="248"/>
        <w:gridCol w:w="109"/>
        <w:gridCol w:w="109"/>
        <w:gridCol w:w="109"/>
        <w:gridCol w:w="109"/>
        <w:gridCol w:w="109"/>
        <w:gridCol w:w="253"/>
        <w:gridCol w:w="338"/>
        <w:gridCol w:w="338"/>
        <w:gridCol w:w="115"/>
        <w:gridCol w:w="115"/>
        <w:gridCol w:w="115"/>
        <w:gridCol w:w="253"/>
        <w:gridCol w:w="338"/>
        <w:gridCol w:w="338"/>
        <w:gridCol w:w="109"/>
        <w:gridCol w:w="109"/>
        <w:gridCol w:w="109"/>
        <w:gridCol w:w="347"/>
        <w:gridCol w:w="209"/>
        <w:gridCol w:w="212"/>
        <w:gridCol w:w="109"/>
        <w:gridCol w:w="109"/>
        <w:gridCol w:w="109"/>
        <w:gridCol w:w="162"/>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489" w:type="dxa"/>
            <w:gridSpan w:val="4"/>
            <w:tcBorders/>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6" w:type="dxa"/>
            <w:gridSpan w:val="2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584" w:type="dxa"/>
            <w:gridSpan w:val="10"/>
            <w:tcBorders/>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presented separately below)</w:t>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32,517</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65,201</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Cost of revenues decreased by $0.9 million, or 2.6%, and increased by $0.6 million, or 1.0%, for the three and six months ended June 30, 2026, respectively, as compared to the same periods in 2025. The decrease for the three-month period was primarily due to a decrease in personnel and compensation expenses. Cost of revenues remained relatively consistent in the six-month period as compared to the prior year period and declined by 40 basis points as a percentage of revenue. Cost of revenues includes $0.2 million and $0.4 million of post-acquisition expense from ZyraTalk for the three and six months ended June 30, 2026, respectively, (see Note 3. Acquisition and Disposition in this Quarterly Report on Form 10-Q).</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Sales and Marketing</w:t>
      </w:r>
    </w:p>
    <w:tbl>
      <w:tblPr>
        <w:tblW w:w="10038" w:type="dxa"/>
        <w:jc w:val="left"/>
        <w:tblInd w:w="0" w:type="dxa"/>
        <w:tblLayout w:type="fixed"/>
        <w:tblCellMar>
          <w:top w:w="28" w:type="dxa"/>
          <w:left w:w="28" w:type="dxa"/>
          <w:bottom w:w="28" w:type="dxa"/>
          <w:right w:w="28" w:type="dxa"/>
        </w:tblCellMar>
      </w:tblPr>
      <w:tblGrid>
        <w:gridCol w:w="634"/>
        <w:gridCol w:w="558"/>
        <w:gridCol w:w="562"/>
        <w:gridCol w:w="310"/>
        <w:gridCol w:w="338"/>
        <w:gridCol w:w="338"/>
        <w:gridCol w:w="160"/>
        <w:gridCol w:w="160"/>
        <w:gridCol w:w="160"/>
        <w:gridCol w:w="310"/>
        <w:gridCol w:w="338"/>
        <w:gridCol w:w="338"/>
        <w:gridCol w:w="109"/>
        <w:gridCol w:w="109"/>
        <w:gridCol w:w="109"/>
        <w:gridCol w:w="347"/>
        <w:gridCol w:w="284"/>
        <w:gridCol w:w="287"/>
        <w:gridCol w:w="109"/>
        <w:gridCol w:w="109"/>
        <w:gridCol w:w="109"/>
        <w:gridCol w:w="109"/>
        <w:gridCol w:w="109"/>
        <w:gridCol w:w="272"/>
        <w:gridCol w:w="338"/>
        <w:gridCol w:w="338"/>
        <w:gridCol w:w="140"/>
        <w:gridCol w:w="140"/>
        <w:gridCol w:w="140"/>
        <w:gridCol w:w="272"/>
        <w:gridCol w:w="338"/>
        <w:gridCol w:w="338"/>
        <w:gridCol w:w="109"/>
        <w:gridCol w:w="109"/>
        <w:gridCol w:w="109"/>
        <w:gridCol w:w="347"/>
        <w:gridCol w:w="284"/>
        <w:gridCol w:w="287"/>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481" w:type="dxa"/>
            <w:gridSpan w:val="4"/>
            <w:tcBorders/>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8" w:type="dxa"/>
            <w:gridSpan w:val="2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726" w:type="dxa"/>
            <w:gridSpan w:val="10"/>
            <w:tcBorders/>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33,724</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66,811</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$3.1 million, or 10.2%, and $7.4 million, or 12.5%, for the three and six months ended June 30, 2026, respectively, as compared to the same periods in 2025. The increases were driven primarily by an additional $2.7 million and $6.2 million in personnel and compensation expenses, respectively, and $2.3 million and $3.2 million in advertising expense, respectively. These increases were partially offset by a $2.2 million and $3.0 million decrease in commissions related to volume from third-party channels associated with legacy payment platform solutions, respectively. Sales and marketing expenses include $0.5 million and $1.0 million of post-acquisition expense from ZyraTalk for the three and six months ended June 30, 2026, respectively, (see Note 3. Acquisition and Disposition in this Quarterly Report on Form 10-Q).</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Product Development</w:t>
      </w:r>
    </w:p>
    <w:tbl>
      <w:tblPr>
        <w:tblW w:w="10143" w:type="dxa"/>
        <w:jc w:val="left"/>
        <w:tblInd w:w="0" w:type="dxa"/>
        <w:tblLayout w:type="fixed"/>
        <w:tblCellMar>
          <w:top w:w="28" w:type="dxa"/>
          <w:left w:w="28" w:type="dxa"/>
          <w:bottom w:w="28" w:type="dxa"/>
          <w:right w:w="28" w:type="dxa"/>
        </w:tblCellMar>
      </w:tblPr>
      <w:tblGrid>
        <w:gridCol w:w="674"/>
        <w:gridCol w:w="591"/>
        <w:gridCol w:w="594"/>
        <w:gridCol w:w="310"/>
        <w:gridCol w:w="338"/>
        <w:gridCol w:w="338"/>
        <w:gridCol w:w="160"/>
        <w:gridCol w:w="160"/>
        <w:gridCol w:w="160"/>
        <w:gridCol w:w="310"/>
        <w:gridCol w:w="338"/>
        <w:gridCol w:w="338"/>
        <w:gridCol w:w="109"/>
        <w:gridCol w:w="109"/>
        <w:gridCol w:w="109"/>
        <w:gridCol w:w="347"/>
        <w:gridCol w:w="284"/>
        <w:gridCol w:w="287"/>
        <w:gridCol w:w="109"/>
        <w:gridCol w:w="109"/>
        <w:gridCol w:w="109"/>
        <w:gridCol w:w="109"/>
        <w:gridCol w:w="109"/>
        <w:gridCol w:w="272"/>
        <w:gridCol w:w="338"/>
        <w:gridCol w:w="338"/>
        <w:gridCol w:w="140"/>
        <w:gridCol w:w="140"/>
        <w:gridCol w:w="140"/>
        <w:gridCol w:w="272"/>
        <w:gridCol w:w="338"/>
        <w:gridCol w:w="338"/>
        <w:gridCol w:w="109"/>
        <w:gridCol w:w="109"/>
        <w:gridCol w:w="109"/>
        <w:gridCol w:w="347"/>
        <w:gridCol w:w="284"/>
        <w:gridCol w:w="287"/>
        <w:gridCol w:w="109"/>
        <w:gridCol w:w="109"/>
        <w:gridCol w:w="109"/>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481" w:type="dxa"/>
            <w:gridSpan w:val="4"/>
            <w:tcBorders/>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8" w:type="dxa"/>
            <w:gridSpan w:val="2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726" w:type="dxa"/>
            <w:gridSpan w:val="10"/>
            <w:tcBorders/>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21,396</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42,595</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Product development expenses increased by $1.9 million, or 9.7%, and $3.1 million, or 7.9%, for the three and six months ended June 30, 2026, respectively, as compared to the same periods in 2025. These increases were a result of continued investment in our technology and teams to support our various solutions as well as centralized security operations, information technology and cloud engineering, with an additional $0.6 million and $1.4 million in software and tools, respectively, $0.7 million and $0.5 million in outsourced services, respectively, $0.2 million and $0.5 million in personnel and compensation expenses, respectively, and $0.2 million and $0.4 million in stock-based compensation, respectively. Product developments expenses include $0.7 million and $1.1 million of post-acquisition expense from ZyraTalk for the three and six months ended June 30, 2026, respectively, (see Note 3. Acquisition and Disposition in this Quarterly Report on Form 10-Q).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General and Administrative</w:t>
      </w:r>
    </w:p>
    <w:tbl>
      <w:tblPr>
        <w:tblW w:w="10205" w:type="dxa"/>
        <w:jc w:val="left"/>
        <w:tblInd w:w="0" w:type="dxa"/>
        <w:tblLayout w:type="fixed"/>
        <w:tblCellMar>
          <w:top w:w="28" w:type="dxa"/>
          <w:left w:w="28" w:type="dxa"/>
          <w:bottom w:w="28" w:type="dxa"/>
          <w:right w:w="28" w:type="dxa"/>
        </w:tblCellMar>
      </w:tblPr>
      <w:tblGrid>
        <w:gridCol w:w="785"/>
        <w:gridCol w:w="690"/>
        <w:gridCol w:w="692"/>
        <w:gridCol w:w="301"/>
        <w:gridCol w:w="338"/>
        <w:gridCol w:w="338"/>
        <w:gridCol w:w="152"/>
        <w:gridCol w:w="152"/>
        <w:gridCol w:w="152"/>
        <w:gridCol w:w="301"/>
        <w:gridCol w:w="338"/>
        <w:gridCol w:w="338"/>
        <w:gridCol w:w="109"/>
        <w:gridCol w:w="109"/>
        <w:gridCol w:w="109"/>
        <w:gridCol w:w="347"/>
        <w:gridCol w:w="263"/>
        <w:gridCol w:w="267"/>
        <w:gridCol w:w="109"/>
        <w:gridCol w:w="109"/>
        <w:gridCol w:w="109"/>
        <w:gridCol w:w="109"/>
        <w:gridCol w:w="109"/>
        <w:gridCol w:w="268"/>
        <w:gridCol w:w="338"/>
        <w:gridCol w:w="338"/>
        <w:gridCol w:w="135"/>
        <w:gridCol w:w="135"/>
        <w:gridCol w:w="135"/>
        <w:gridCol w:w="268"/>
        <w:gridCol w:w="338"/>
        <w:gridCol w:w="338"/>
        <w:gridCol w:w="109"/>
        <w:gridCol w:w="109"/>
        <w:gridCol w:w="109"/>
        <w:gridCol w:w="347"/>
        <w:gridCol w:w="209"/>
        <w:gridCol w:w="212"/>
        <w:gridCol w:w="109"/>
        <w:gridCol w:w="109"/>
        <w:gridCol w:w="109"/>
        <w:gridCol w:w="164"/>
      </w:tblGrid>
      <w:tr>
        <w:trPr/>
        <w:tc>
          <w:tcPr>
            <w:tcW w:w="78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491" w:type="dxa"/>
            <w:gridSpan w:val="4"/>
            <w:tcBorders/>
          </w:tcPr>
          <w:p>
            <w:pPr>
              <w:pStyle w:val="TableContents"/>
              <w:bidi w:val="0"/>
              <w:spacing w:before="0" w:after="283"/>
              <w:jc w:val="left"/>
              <w:rPr>
                <w:sz w:val="4"/>
                <w:szCs w:val="4"/>
              </w:rPr>
            </w:pPr>
            <w:r>
              <w:rPr>
                <w:sz w:val="4"/>
                <w:szCs w:val="4"/>
              </w:rPr>
            </w:r>
          </w:p>
        </w:tc>
      </w:tr>
      <w:tr>
        <w:trPr/>
        <w:tc>
          <w:tcPr>
            <w:tcW w:w="2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2" w:type="dxa"/>
            <w:gridSpan w:val="2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586" w:type="dxa"/>
            <w:gridSpan w:val="10"/>
            <w:tcBorders/>
          </w:tcPr>
          <w:p>
            <w:pPr>
              <w:pStyle w:val="TableContents"/>
              <w:bidi w:val="0"/>
              <w:spacing w:before="0" w:after="283"/>
              <w:jc w:val="left"/>
              <w:rPr>
                <w:sz w:val="4"/>
                <w:szCs w:val="4"/>
              </w:rPr>
            </w:pPr>
            <w:r>
              <w:rPr>
                <w:sz w:val="4"/>
                <w:szCs w:val="4"/>
              </w:rPr>
            </w:r>
          </w:p>
        </w:tc>
      </w:tr>
      <w:tr>
        <w:trPr/>
        <w:tc>
          <w:tcPr>
            <w:tcW w:w="216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31,642</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64,314</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decreased by $0.5 million, or 1.5%, and increased by $0.9 million, or 1.4%, for the three and six months ended June 30, 2026, respectively, as compared to the same periods in 2025. General and administrative expenses remained relatively consistent in the three and six-month periods as compared to the prior year periods and declined by 90 basis points and 30 basis points as a percentage of revenue, respectively. General and administrative expenses include $1.4 million and $2.8 million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post-acquisition expense from ZyraTalk for the three and six months ended June 30, 2026, respectively, (see Note 3. Acquisition and Disposition in this Quarterly Report on Form 10-Q).</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Depreciation and Amortization</w:t>
      </w:r>
    </w:p>
    <w:tbl>
      <w:tblPr>
        <w:tblW w:w="10205" w:type="dxa"/>
        <w:jc w:val="left"/>
        <w:tblInd w:w="0" w:type="dxa"/>
        <w:tblLayout w:type="fixed"/>
        <w:tblCellMar>
          <w:top w:w="28" w:type="dxa"/>
          <w:left w:w="28" w:type="dxa"/>
          <w:bottom w:w="28" w:type="dxa"/>
          <w:right w:w="28" w:type="dxa"/>
        </w:tblCellMar>
      </w:tblPr>
      <w:tblGrid>
        <w:gridCol w:w="699"/>
        <w:gridCol w:w="615"/>
        <w:gridCol w:w="617"/>
        <w:gridCol w:w="281"/>
        <w:gridCol w:w="338"/>
        <w:gridCol w:w="338"/>
        <w:gridCol w:w="136"/>
        <w:gridCol w:w="136"/>
        <w:gridCol w:w="136"/>
        <w:gridCol w:w="281"/>
        <w:gridCol w:w="338"/>
        <w:gridCol w:w="338"/>
        <w:gridCol w:w="109"/>
        <w:gridCol w:w="109"/>
        <w:gridCol w:w="109"/>
        <w:gridCol w:w="347"/>
        <w:gridCol w:w="329"/>
        <w:gridCol w:w="333"/>
        <w:gridCol w:w="109"/>
        <w:gridCol w:w="109"/>
        <w:gridCol w:w="109"/>
        <w:gridCol w:w="109"/>
        <w:gridCol w:w="109"/>
        <w:gridCol w:w="260"/>
        <w:gridCol w:w="338"/>
        <w:gridCol w:w="338"/>
        <w:gridCol w:w="125"/>
        <w:gridCol w:w="125"/>
        <w:gridCol w:w="125"/>
        <w:gridCol w:w="260"/>
        <w:gridCol w:w="338"/>
        <w:gridCol w:w="338"/>
        <w:gridCol w:w="109"/>
        <w:gridCol w:w="109"/>
        <w:gridCol w:w="109"/>
        <w:gridCol w:w="347"/>
        <w:gridCol w:w="329"/>
        <w:gridCol w:w="333"/>
        <w:gridCol w:w="109"/>
        <w:gridCol w:w="109"/>
        <w:gridCol w:w="109"/>
        <w:gridCol w:w="161"/>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488" w:type="dxa"/>
            <w:gridSpan w:val="4"/>
            <w:tcBorders/>
          </w:tcPr>
          <w:p>
            <w:pPr>
              <w:pStyle w:val="TableContents"/>
              <w:bidi w:val="0"/>
              <w:spacing w:before="0" w:after="283"/>
              <w:jc w:val="left"/>
              <w:rPr>
                <w:sz w:val="4"/>
                <w:szCs w:val="4"/>
              </w:rPr>
            </w:pPr>
            <w:r>
              <w:rPr>
                <w:sz w:val="4"/>
                <w:szCs w:val="4"/>
              </w:rPr>
            </w:r>
          </w:p>
        </w:tc>
      </w:tr>
      <w:tr>
        <w:trPr/>
        <w:tc>
          <w:tcPr>
            <w:tcW w:w="1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2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824" w:type="dxa"/>
            <w:gridSpan w:val="10"/>
            <w:tcBorders/>
          </w:tcPr>
          <w:p>
            <w:pPr>
              <w:pStyle w:val="TableContents"/>
              <w:bidi w:val="0"/>
              <w:spacing w:before="0" w:after="283"/>
              <w:jc w:val="left"/>
              <w:rPr>
                <w:sz w:val="4"/>
                <w:szCs w:val="4"/>
              </w:rPr>
            </w:pPr>
            <w:r>
              <w:rPr>
                <w:sz w:val="4"/>
                <w:szCs w:val="4"/>
              </w:rPr>
            </w:r>
          </w:p>
        </w:tc>
      </w:tr>
      <w:tr>
        <w:trPr/>
        <w:tc>
          <w:tcPr>
            <w:tcW w:w="1931"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15,264</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30,379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31"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expenses decreased by $1.3 million, or 8.0%, and $3.0 million, or 8.9%, for the three and six months ended June 30, 2026, respectively, as compared to the same periods in 2025. The decrease for the three and six-month periods was driven primarily by lower intangible assets’ amortization due to the reduced rate of replacement assets resulting from a slowdown in business acquisitions. Specifically, the decrease was driven by $2.5 million and $5.0 million in lower intangible assets’ amortization, respectively, partially offset by $1.2 million and $2.1 million of additional capitalized software amortization, respectively.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Loss on Sale and Impairments</w:t>
      </w:r>
    </w:p>
    <w:tbl>
      <w:tblPr>
        <w:tblW w:w="9090" w:type="dxa"/>
        <w:jc w:val="left"/>
        <w:tblInd w:w="0" w:type="dxa"/>
        <w:tblLayout w:type="fixed"/>
        <w:tblCellMar>
          <w:top w:w="28" w:type="dxa"/>
          <w:left w:w="28" w:type="dxa"/>
          <w:bottom w:w="28" w:type="dxa"/>
          <w:right w:w="28" w:type="dxa"/>
        </w:tblCellMar>
      </w:tblPr>
      <w:tblGrid>
        <w:gridCol w:w="908"/>
        <w:gridCol w:w="796"/>
        <w:gridCol w:w="801"/>
        <w:gridCol w:w="310"/>
        <w:gridCol w:w="173"/>
        <w:gridCol w:w="173"/>
        <w:gridCol w:w="160"/>
        <w:gridCol w:w="160"/>
        <w:gridCol w:w="160"/>
        <w:gridCol w:w="310"/>
        <w:gridCol w:w="173"/>
        <w:gridCol w:w="173"/>
        <w:gridCol w:w="109"/>
        <w:gridCol w:w="109"/>
        <w:gridCol w:w="109"/>
        <w:gridCol w:w="347"/>
        <w:gridCol w:w="179"/>
        <w:gridCol w:w="180"/>
        <w:gridCol w:w="109"/>
        <w:gridCol w:w="109"/>
        <w:gridCol w:w="109"/>
        <w:gridCol w:w="109"/>
        <w:gridCol w:w="109"/>
        <w:gridCol w:w="272"/>
        <w:gridCol w:w="210"/>
        <w:gridCol w:w="211"/>
        <w:gridCol w:w="140"/>
        <w:gridCol w:w="140"/>
        <w:gridCol w:w="140"/>
        <w:gridCol w:w="272"/>
        <w:gridCol w:w="158"/>
        <w:gridCol w:w="158"/>
        <w:gridCol w:w="109"/>
        <w:gridCol w:w="109"/>
        <w:gridCol w:w="109"/>
        <w:gridCol w:w="347"/>
        <w:gridCol w:w="179"/>
        <w:gridCol w:w="180"/>
        <w:gridCol w:w="109"/>
        <w:gridCol w:w="109"/>
        <w:gridCol w:w="109"/>
        <w:gridCol w:w="154"/>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481" w:type="dxa"/>
            <w:gridSpan w:val="4"/>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1" w:type="dxa"/>
            <w:gridSpan w:val="2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514" w:type="dxa"/>
            <w:gridSpan w:val="10"/>
            <w:tcBorders/>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656"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and impairments</w:t>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656"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recorded right-of-use lease asset impairments charges of $0.1 million (see Note 9. Leases in this Quarterly Report on Form 10-Q). During the six months ended June 30, 2025, we recorded a $0.1 million working capital adjustment related to the disposal of fitness solutions in 2024.</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Interest and Other Expense, net</w:t>
      </w:r>
    </w:p>
    <w:tbl>
      <w:tblPr>
        <w:tblW w:w="10205" w:type="dxa"/>
        <w:jc w:val="left"/>
        <w:tblInd w:w="0" w:type="dxa"/>
        <w:tblLayout w:type="fixed"/>
        <w:tblCellMar>
          <w:top w:w="28" w:type="dxa"/>
          <w:left w:w="28" w:type="dxa"/>
          <w:bottom w:w="28" w:type="dxa"/>
          <w:right w:w="28" w:type="dxa"/>
        </w:tblCellMar>
      </w:tblPr>
      <w:tblGrid>
        <w:gridCol w:w="714"/>
        <w:gridCol w:w="628"/>
        <w:gridCol w:w="630"/>
        <w:gridCol w:w="288"/>
        <w:gridCol w:w="285"/>
        <w:gridCol w:w="286"/>
        <w:gridCol w:w="142"/>
        <w:gridCol w:w="142"/>
        <w:gridCol w:w="142"/>
        <w:gridCol w:w="288"/>
        <w:gridCol w:w="285"/>
        <w:gridCol w:w="286"/>
        <w:gridCol w:w="109"/>
        <w:gridCol w:w="109"/>
        <w:gridCol w:w="109"/>
        <w:gridCol w:w="347"/>
        <w:gridCol w:w="332"/>
        <w:gridCol w:w="336"/>
        <w:gridCol w:w="109"/>
        <w:gridCol w:w="109"/>
        <w:gridCol w:w="109"/>
        <w:gridCol w:w="109"/>
        <w:gridCol w:w="109"/>
        <w:gridCol w:w="263"/>
        <w:gridCol w:w="338"/>
        <w:gridCol w:w="338"/>
        <w:gridCol w:w="129"/>
        <w:gridCol w:w="129"/>
        <w:gridCol w:w="129"/>
        <w:gridCol w:w="263"/>
        <w:gridCol w:w="338"/>
        <w:gridCol w:w="338"/>
        <w:gridCol w:w="109"/>
        <w:gridCol w:w="109"/>
        <w:gridCol w:w="109"/>
        <w:gridCol w:w="347"/>
        <w:gridCol w:w="384"/>
        <w:gridCol w:w="389"/>
        <w:gridCol w:w="109"/>
        <w:gridCol w:w="109"/>
        <w:gridCol w:w="109"/>
        <w:gridCol w:w="163"/>
      </w:tblGrid>
      <w:tr>
        <w:trPr/>
        <w:tc>
          <w:tcPr>
            <w:tcW w:w="71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490" w:type="dxa"/>
            <w:gridSpan w:val="4"/>
            <w:tcBorders/>
          </w:tcPr>
          <w:p>
            <w:pPr>
              <w:pStyle w:val="TableContents"/>
              <w:bidi w:val="0"/>
              <w:spacing w:before="0" w:after="283"/>
              <w:jc w:val="left"/>
              <w:rPr>
                <w:sz w:val="4"/>
                <w:szCs w:val="4"/>
              </w:rPr>
            </w:pPr>
            <w:r>
              <w:rPr>
                <w:sz w:val="4"/>
                <w:szCs w:val="4"/>
              </w:rPr>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6" w:type="dxa"/>
            <w:gridSpan w:val="2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937" w:type="dxa"/>
            <w:gridSpan w:val="10"/>
            <w:tcBorders/>
          </w:tcPr>
          <w:p>
            <w:pPr>
              <w:pStyle w:val="TableContents"/>
              <w:bidi w:val="0"/>
              <w:spacing w:before="0" w:after="283"/>
              <w:jc w:val="left"/>
              <w:rPr>
                <w:sz w:val="4"/>
                <w:szCs w:val="4"/>
              </w:rPr>
            </w:pPr>
            <w:r>
              <w:rPr>
                <w:sz w:val="4"/>
                <w:szCs w:val="4"/>
              </w:rPr>
            </w:r>
          </w:p>
        </w:tc>
      </w:tr>
      <w:tr>
        <w:trPr/>
        <w:tc>
          <w:tcPr>
            <w:tcW w:w="1972"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6,286</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11,060</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2"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 and other expense, net, decreased by $2.5 million, or 28.6%, and $10.5 million, or 48.7%, for the three and six months ended June 30, 2026, respectively, as compared to the same periods in 2025, with the changes primarily driven by volatility of interest rates and foreign currency. The decrease for the three-month period was driven by an unrealized gain on interest rate swaps of $2.1 million compared to an unrealized loss of $2.1 million in the comparative period, a year over year decrease of $4.2 million as a result of the fair value change in interest rate swaps. Additionally, interest expense on long-term debt decreased $0.7 million as a result of lower variable base interest rates on the Company’s Credit Facilities, and $0.3 million of income related to support services provided under the TSA with Ignite Visibility, partially offset by a $2.5 million year over year decrease in unrealized foreign currency gain, and a $0.4 million decrease in interest income. The decrease for the six-month period was driven primarily by an unrealized gain on interest rate swaps of $5.0 million compared to an unrealized loss of $6.0 million in the comparative period, a year over year decrease of $11.0 million as a result of the fair value change in interest rate swaps. Additionally, interest expense on long-term debt decreased $1.3 million as a result of lower variable base interest rates on the Company’s Credit Facilities, $0.8 million of income related to support services provided under the TSA with Ignite Visibility, partially offset by a $1.9 million year over year decrease in unrealized foreign currency gain and a $0.9 million decrease in interest income. The decline in interest expense on long-term debt in both the three and six-month periods is a result of lower variable base interest rates on the Company’s Credit Facilities (as defined below) and the amendment to the Term Loan (as defined below) in the third quarter 2025 resulting in a reduction in margin and the removal of the credit spread adjustment (see Note 10. Long-Term Debt in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Income Tax Expense</w:t>
      </w:r>
    </w:p>
    <w:tbl>
      <w:tblPr>
        <w:tblW w:w="9785" w:type="dxa"/>
        <w:jc w:val="left"/>
        <w:tblInd w:w="0" w:type="dxa"/>
        <w:tblLayout w:type="fixed"/>
        <w:tblCellMar>
          <w:top w:w="28" w:type="dxa"/>
          <w:left w:w="28" w:type="dxa"/>
          <w:bottom w:w="28" w:type="dxa"/>
          <w:right w:w="28" w:type="dxa"/>
        </w:tblCellMar>
      </w:tblPr>
      <w:tblGrid>
        <w:gridCol w:w="625"/>
        <w:gridCol w:w="548"/>
        <w:gridCol w:w="552"/>
        <w:gridCol w:w="310"/>
        <w:gridCol w:w="344"/>
        <w:gridCol w:w="346"/>
        <w:gridCol w:w="160"/>
        <w:gridCol w:w="160"/>
        <w:gridCol w:w="160"/>
        <w:gridCol w:w="310"/>
        <w:gridCol w:w="344"/>
        <w:gridCol w:w="346"/>
        <w:gridCol w:w="109"/>
        <w:gridCol w:w="109"/>
        <w:gridCol w:w="109"/>
        <w:gridCol w:w="347"/>
        <w:gridCol w:w="268"/>
        <w:gridCol w:w="272"/>
        <w:gridCol w:w="109"/>
        <w:gridCol w:w="109"/>
        <w:gridCol w:w="109"/>
        <w:gridCol w:w="272"/>
        <w:gridCol w:w="344"/>
        <w:gridCol w:w="346"/>
        <w:gridCol w:w="140"/>
        <w:gridCol w:w="140"/>
        <w:gridCol w:w="140"/>
        <w:gridCol w:w="272"/>
        <w:gridCol w:w="344"/>
        <w:gridCol w:w="346"/>
        <w:gridCol w:w="109"/>
        <w:gridCol w:w="109"/>
        <w:gridCol w:w="109"/>
        <w:gridCol w:w="347"/>
        <w:gridCol w:w="268"/>
        <w:gridCol w:w="272"/>
        <w:gridCol w:w="109"/>
        <w:gridCol w:w="109"/>
        <w:gridCol w:w="109"/>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481" w:type="dxa"/>
            <w:gridSpan w:val="4"/>
            <w:tcBorders/>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9"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(2,104)</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Income tax expense increased by $0.2 million, or 18.4%, and $0.3 million, or 19.9%, for the three and six months ended June 30, 2026, respectively, as compared to the corresponding periods in 2025, with the change driven primarily by an increase in net income from continuing operations before tax and discrete items, including a Canada return to provision adjustment during the three and six months ended June 30, 2025 and a New Zealand return to provision adjustment during the six months ended June 30, 2025.</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date, our primary sources of liquidity have been net cash provided by operating activities, proceeds from equity issuances and proceeds from long-term debt.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utilize liquidity for items such as strategic investments in the ongoing transformation of our business and infrastructure, our business acquisitions (such as our strategic acquisition of ZyraTalk in September 2025) and share repurchases authorized through our Repurchase Program. For a description of our recent acquisitions, see Note 3. Acquisition and Disposition in this Quarterly report on Form 10-Q. Absent significant deterioration of market conditions, we expect that working capital requirements, capital expenditures, acquisitions, the Company’s Repurchase Program (as defined below), debt servicing and lease obligations will be our principal needs for liquidity going forward.</w:t>
      </w:r>
    </w:p>
    <w:p>
      <w:pPr>
        <w:pStyle w:val="TextBody"/>
        <w:bidi w:val="0"/>
        <w:spacing w:lineRule="auto" w:line="288" w:before="120" w:after="283"/>
        <w:jc w:val="both"/>
        <w:rPr/>
      </w:pPr>
      <w:r>
        <w:rPr>
          <w:rFonts w:ascii="Times New Roman;serif" w:hAnsi="Times New Roman;serif"/>
          <w:b w:val="false"/>
          <w:color w:val="000000"/>
          <w:sz w:val="20"/>
        </w:rPr>
        <w:t>As of June 30, 2026, we had cash, cash equivalents and restricted cash of $133.5 million, $155.0 million of available borrowing capacity under our Revolver (as defined below) and $523.9 million outstanding under our Term Loan. We believe that our existing cash, cash equivalents and restricted cash, availability under our Credit Facilities, and our cash flows from operations will be sufficient to fund our working capital requirements and planned capital expenditures, and to service our debt obligations for at least the next twelve months. However, our future working capital requirements will depend on many factors, including our rate of revenue growth, the timing and size of future acquisitions, and the timing of introductions of new products and services. If needed, additional funds may not be available on terms favorable to us, or at all. If we are unable to raise additional funds when desired, our business, financial condition and results of operations could be adversely affected. See Part II, Item 1A. “</w:t>
      </w:r>
      <w:r>
        <w:rPr>
          <w:rFonts w:ascii="Times New Roman;serif" w:hAnsi="Times New Roman;serif"/>
          <w:b w:val="false"/>
          <w:i/>
          <w:color w:val="000000"/>
          <w:sz w:val="20"/>
        </w:rPr>
        <w:t>Risk Factors</w:t>
      </w:r>
      <w:r>
        <w:rPr>
          <w:rFonts w:ascii="Times New Roman;serif" w:hAnsi="Times New Roman;serif"/>
          <w:b w:val="false"/>
          <w:color w:val="000000"/>
          <w:sz w:val="20"/>
        </w:rPr>
        <w: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cash flow data:</w:t>
      </w:r>
    </w:p>
    <w:tbl>
      <w:tblPr>
        <w:tblW w:w="7178" w:type="dxa"/>
        <w:jc w:val="left"/>
        <w:tblInd w:w="0" w:type="dxa"/>
        <w:tblLayout w:type="fixed"/>
        <w:tblCellMar>
          <w:top w:w="28" w:type="dxa"/>
          <w:left w:w="28" w:type="dxa"/>
          <w:bottom w:w="28" w:type="dxa"/>
          <w:right w:w="28" w:type="dxa"/>
        </w:tblCellMar>
      </w:tblPr>
      <w:tblGrid>
        <w:gridCol w:w="1710"/>
        <w:gridCol w:w="1505"/>
        <w:gridCol w:w="1509"/>
        <w:gridCol w:w="211"/>
        <w:gridCol w:w="721"/>
        <w:gridCol w:w="109"/>
        <w:gridCol w:w="109"/>
        <w:gridCol w:w="109"/>
        <w:gridCol w:w="109"/>
        <w:gridCol w:w="211"/>
        <w:gridCol w:w="721"/>
        <w:gridCol w:w="154"/>
      </w:tblGrid>
      <w:tr>
        <w:trPr/>
        <w:tc>
          <w:tcPr>
            <w:tcW w:w="171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57,659 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(13,745)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(29,576)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 changes on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Cash Flow from Operating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$53.1 million for the six months ended June 30, 2026, compared to $57.7 million for the six months ended June 30, 2025. Changes in net cash provided by operating activities resulted primarily from cash received from net sales within our subscription and transaction fees. Other drivers of the changes in net cash provided by operating activities include payments for personnel expenses for our employees, costs related to delivering our services and products, partner commissions, advertising and interest on our long-term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cash provided by operating activities for the six months ended June 30, 2026 compared to the six months ended June 30, 2025 was primarily due to investments made to support the growth of our business of $24.5 million, including higher employee and related expenses and software and tools; partially offset by an increase in cash collections from our subscription and transaction fees of approximately $12.9 million, lower cash outflows directly related to the delivery of our services and products of $3.7 million, income of $3.1 million related to support services provided under the TSA, and lower taxes paid of $1.0 million. Additionally,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provided by operating activities decreased $0.7 million related to the marketing technology solutions business, which was sold on October 31, 2025 (see Note 3. Acquisition and Disposition in this Quarterly report on Form 10-Q).</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Cash Flow from Investing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net cash used in investing activities of $17.1 million was related primarily to costs to develop software of $15.6 million and $1.5 million for purchases of property and equipment.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net cash used in investing activities of $13.7 million was related primarily to costs to develop software of $12.7 million and $1.0 million for purchases of property and equipment.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Cash Flow from Financing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net cash used in financing activities of $31.1 million was related primarily to the repurchase and retirement of shares of our common stock of $28.6 million.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net cash used in financing activities of $29.6 million was related primarily to the repurchase and retirement of shares of our common stock of $31.6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additional information regarding our repurchase and retirement of shares of our common stock, refer to Note 11. Equity in the notes to the unaudited condensed consolidated financial statements included in this Quarterly Report on Form 10-Q.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Credit Facilities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party to a credit agreement, as amended, that provides for one term loan for an aggregate principal amount of $529.4 million (the “Term Loan”), a revolver with a capacity of $155.0 million (the “Revolver”) and a sub-limit of the Revolver available for letters of credit up to an aggregate face amount of $20.0 million. These debt arrangements are collectively referred to herein as the “Credit Facilities”.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Simultaneously with the execution of the Credit Facilities, we and various of our subsidiaries entered into a collateral agreement and guarantee agreement. Pursuant to the guarantee agreement, EverCommerce Intermediate Inc. and various of our subsidiaries are guarantors of the obligations under the Credit Facilities. Pursuant to the collateral agreement, the Credit Facilities are secured by liens on substantially all of our assets, including our intellectual property and the equity interests of our various subsidiaries, including EverCommerce Solutions Inc.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Facilities contain certain affirmative and negative covenants, including, among other things, restrictions on indebtedness, issuance of preferred equity interests, liens, fundamental changes and asset sales, investments, negative pledges, repurchases of stock, dividends and other distributions, and transactions with affiliates. In addition, we are subject to a financial covenant with respect to the Revolver whereby, if the aggregate principal amount of revolving loans (excluding letters of credit) outstanding on the last day of any fiscal quarter exceeds 35% of the aggregate commitments available under the Revolver, then our first lien leverage ratio as of the last day of such fiscal quarter must be 7.50 to 1.00 or less.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ABR borrowings, interest payments are due on a quarterly basis on the last business day of each March, June, September and December. With respect to Eurocurrency borrowings, interest payments are due on the last business day of the interest period applicable to the borrowing and, in the case of a Eurocurrency borrowing with an interest period of more than three months’ duration, each day prior to the last day of such interest period that occurs at intervals of three months’ duration after the first day of such interest period.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Effective as of June 10, 2025, the Company entered into an additional amendment to the Credit Facilities (the “June 2025 Amendment”) to reduce the commitments outstanding under the Revolver, extend the maturity of a portion of such commitments and reduce the applicable margin with respect to extended revolving loans. As a result of the June 2025 Amendment, commitments under the Revolver were reduced from $190.0 million to $155.0 million. With respect to $125.0 million of such commitments, (i) the maturity date was extended to January 6, 2028 and (ii) the applicable margin for (x) Term SOFR (as defined in the Credit Facilities) loans was reduced to 2.50% and (y) ABR (as defined in the Credit Facilities) loans was reduced to 1.50%, in each case, subject to a single 0.25% step-down based on the Company’s first lien net leverage ratio. The remaining $30.0 million of such commitments expired on July 6,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on July 29, 2025, the Company entered into an amendment to the Credit Facilities (the “July 2025 Amendment”) to, among other things, refinance the existing Term Loan in an aggregate principal amount of $529.4 million. The July 2025 Amendment, among other things, (i) extends the maturity date of the Term Loan to July 6, 2031, and (ii) reduces the applicable margin by 25 basis points with respect to all term loans. The Term Loan bears interest, at the Borrower’s election, at (x) Term SOFR (as defined in the Credit Agreement) plus an applicable margin of 2.25%, with a minimum Term SOFR rate of 0.50% or (y) ABR (as defined in the Credit Agreement) plus an applicable margin of 1.25%, with a minimum ABR of 1.50%, in each case, with no step-downs.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refinanced Term Loan priced at par and refinanced the existing term loan outstanding under the Credit Agreement immediately prior to giving effect to the July 2025 Amendment.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Pursuant to the July 2025 Amendment, with respect to $125.0 million of commitments under the existing $155.0 million Revolver, (i) the maturity date was extended to July 29, 2030 and (ii) the applicable margin for (x) Term SOFR loans was reduced to 2.00% and (y) Alternate Base Rate loans was reduced to 1.00%, in each case, subject to a 25 basis points step-up based on the Company’s first lien net leverage ratio. Other than the changes noted above, the terms and conditions of all commitments at closing as well as those extending beyond the original maturity date remain the same as the existing Revolver. Accordingly, $125.0 million of availability remains under the Revolver through July 29, 2030.</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entered into the following interest rate swap agreements in connection with our Credit Facilities to convert a portion of the floating rate component of the Term Loan from a floating rate to fixed rate:</w:t>
      </w:r>
    </w:p>
    <w:tbl>
      <w:tblPr>
        <w:tblW w:w="9531" w:type="dxa"/>
        <w:jc w:val="left"/>
        <w:tblInd w:w="0" w:type="dxa"/>
        <w:tblLayout w:type="fixed"/>
        <w:tblCellMar>
          <w:top w:w="28" w:type="dxa"/>
          <w:left w:w="28" w:type="dxa"/>
          <w:bottom w:w="28" w:type="dxa"/>
          <w:right w:w="28" w:type="dxa"/>
        </w:tblCellMar>
      </w:tblPr>
      <w:tblGrid>
        <w:gridCol w:w="630"/>
        <w:gridCol w:w="553"/>
        <w:gridCol w:w="557"/>
        <w:gridCol w:w="109"/>
        <w:gridCol w:w="109"/>
        <w:gridCol w:w="109"/>
        <w:gridCol w:w="504"/>
        <w:gridCol w:w="504"/>
        <w:gridCol w:w="506"/>
        <w:gridCol w:w="109"/>
        <w:gridCol w:w="109"/>
        <w:gridCol w:w="109"/>
        <w:gridCol w:w="308"/>
        <w:gridCol w:w="308"/>
        <w:gridCol w:w="650"/>
        <w:gridCol w:w="109"/>
        <w:gridCol w:w="109"/>
        <w:gridCol w:w="109"/>
        <w:gridCol w:w="234"/>
        <w:gridCol w:w="919"/>
        <w:gridCol w:w="121"/>
        <w:gridCol w:w="109"/>
        <w:gridCol w:w="109"/>
        <w:gridCol w:w="109"/>
        <w:gridCol w:w="591"/>
        <w:gridCol w:w="1403"/>
        <w:gridCol w:w="435"/>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Effective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Fixed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Asset (Liability) Fair Value at</w:t>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1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 in thousands)</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4.212 </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3.951 </w:t>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3.395 </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Revolver has a variable commitment fee, which is based on our first lien leverage ratio. We expect the commitment fee to range from 0.25% to 0.375% per annum. We are obligated to pay a fixed fronting fee for letters of credit of 0.125% per annum.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Amounts borrowed under the Revolver may be repaid and re-borrowed through maturity of the Revolver in July 2030. The Term Loan matures in July 2031. The Term Loan may be repaid or prepaid but may not be re-borrowed.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$523.9 million outstanding under our Credit Facilities, all of which was related to the Term Loan as no amounts were outstanding under the Revolver. The effective interest rate on the Term Loan was approximately 6.02% for the three months ended June 30, 2026, excluding the effect of any interest rate swap agreements.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we were in compliance with the financial covenants under the Credit Facilities.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Stock Repurchase Program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14, 2022, our Board of Directors approved a stock repurchase program (as subsequently amended, the “Repurchase Program”) with authorization to purchase up to $50.0 million in shares of the Company’s common stock through the expiration of the program on December 21, 2022. On November 7, 2022, November 5, 2023, May 21, 2024, May 1, 2025, and November 4, 2025 our Board increased the authorization of the Repurchase Program by an additional $50.0 million in shares of the Company’s common stock on each date for a total authorization to repurchase up to $300.0 million in shares of the Company’s common stock, and most recently extended the expiration of the Repurchase Program through December 31, 2026. Repurchases under the program may be made in the open market, in privately negotiated transactions or otherwise, with the amount and timing of repurchases to be determined at the Company’s discretion, depending on market conditions and corporate needs. The Repurchase Program does not obligate the Company to acquire any particular amount of common stock and may be modified, suspended or terminated at any time at the discretion of the Board. The Company expects to fund repurchases with existing cash on hand.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repurchased and retired 1.4 million and 2.7 million shares of common stock for approximately $14.8 million and $28.7 million, including transaction fees and taxes, during the three and six months ended June 30, 2026. As of June 30, 2026, $19.2 million remained available under the Repurchase Program.</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contractual obligations as of June 30, 2026 from those disclosed in our Annual Report on Form 10-K.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Notes 9. Leases, 10. Long-Term Debt and 16. Commitments and Contingencies in the notes to the unaudited condensed consolidated financial statements included in this Quarterly Report on Form 10-Q for a discussion of our operating leases, debt and contractual obligations, respectively.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Critical Accounting Policies and Significant Judgments and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financial statements are prepared in accordance with U.S. GAAP. The preparation of our financial statements in conformity with U.S. GAAP requires us to make estimates and assumptions that affect certain reported amounts of assets and liabilities and disclosure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of contingent assets and liabilities at the date of the financial statements and the reported amounts of revenue and expenses during the reporting period. </w:t>
      </w:r>
    </w:p>
    <w:p>
      <w:pPr>
        <w:pStyle w:val="TextBody"/>
        <w:bidi w:val="0"/>
        <w:spacing w:lineRule="auto" w:line="288" w:before="120" w:after="283"/>
        <w:jc w:val="both"/>
        <w:rPr/>
      </w:pPr>
      <w:r>
        <w:rPr>
          <w:rFonts w:ascii="Times New Roman;serif" w:hAnsi="Times New Roman;serif"/>
          <w:b w:val="false"/>
          <w:color w:val="000000"/>
          <w:sz w:val="20"/>
        </w:rPr>
        <w:t xml:space="preserve">Our critical accounting policies are described in Part II, Item 7. </w:t>
      </w:r>
      <w:r>
        <w:rPr>
          <w:color w:val="000000"/>
        </w:rPr>
        <w:t>“</w:t>
      </w:r>
      <w:r>
        <w:rPr>
          <w:rFonts w:ascii="Times New Roman;serif" w:hAnsi="Times New Roman;serif"/>
          <w:b w:val="false"/>
          <w:i/>
          <w:color w:val="000000"/>
          <w:sz w:val="20"/>
        </w:rPr>
        <w:t>Management’s Discussion and Analysis of Financial Condition and Results of Operations—Critical Accounting Policies”</w:t>
      </w:r>
      <w:r>
        <w:rPr>
          <w:color w:val="000000"/>
        </w:rPr>
        <w:t xml:space="preserve"> </w:t>
      </w:r>
      <w:r>
        <w:rPr>
          <w:rFonts w:ascii="Times New Roman;serif" w:hAnsi="Times New Roman;serif"/>
          <w:b w:val="false"/>
          <w:color w:val="000000"/>
          <w:sz w:val="20"/>
        </w:rPr>
        <w:t>in our Annual Report on Form 10-K. During the six months ended June 30, 2026, there were no material changes to our critical accounting policies from those discussed in our Annual Report on Form 10-K.</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See Note 2. Summary of Significant Accounting Policies in the notes to the unaudited condensed consolidated financial statements included in this Quarterly Report on Form 10-Q for a discussion of accounting pronouncements recently adopted and recently issued accounting pronouncements not yet adopted, and their potential impact to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both"/>
        <w:rPr/>
      </w:pPr>
      <w:r>
        <w:rPr>
          <w:rFonts w:ascii="Times New Roman;serif" w:hAnsi="Times New Roman;serif"/>
          <w:b w:val="false"/>
          <w:color w:val="000000"/>
          <w:sz w:val="20"/>
        </w:rPr>
        <w:t xml:space="preserve">There have been no material changes to our disclosures regarding market risk as described in our Annual Report on Form 10-K under the heading Part II, Item 7A. </w:t>
      </w:r>
      <w:r>
        <w:rPr>
          <w:color w:val="000000"/>
        </w:rPr>
        <w:t>“</w:t>
      </w:r>
      <w:r>
        <w:rPr>
          <w:rFonts w:ascii="Times New Roman;serif" w:hAnsi="Times New Roman;serif"/>
          <w:b w:val="false"/>
          <w:i/>
          <w:color w:val="000000"/>
          <w:sz w:val="20"/>
        </w:rPr>
        <w:t>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jc w:val="both"/>
        <w:rPr/>
      </w:pPr>
      <w:r>
        <w:rPr>
          <w:rFonts w:ascii="Times New Roman;serif" w:hAnsi="Times New Roman;serif"/>
          <w:b w:val="false"/>
          <w:color w:val="000000"/>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June 30, 2026, our disclosure controls and procedures were not effective at the reasonable assurance level, due to the material weakness in our internal control over financial reporting as described in Part II, Item 9A</w:t>
      </w:r>
      <w:r>
        <w:rPr>
          <w:rFonts w:ascii="Times New Roman;serif" w:hAnsi="Times New Roman;serif"/>
          <w:b w:val="false"/>
          <w:i/>
          <w:color w:val="000000"/>
          <w:sz w:val="20"/>
        </w:rPr>
        <w:t>. “Controls and Procedures”</w:t>
      </w:r>
      <w:r>
        <w:rPr>
          <w:color w:val="000000"/>
        </w:rPr>
        <w:t xml:space="preserve"> </w:t>
      </w:r>
      <w:r>
        <w:rPr>
          <w:rFonts w:ascii="Times New Roman;serif" w:hAnsi="Times New Roman;serif"/>
          <w:b w:val="false"/>
          <w:color w:val="000000"/>
          <w:sz w:val="20"/>
        </w:rPr>
        <w:t>in our</w:t>
      </w:r>
      <w:r>
        <w:rPr>
          <w:color w:val="000000"/>
        </w:rPr>
        <w:t xml:space="preserve"> </w:t>
      </w:r>
      <w:r>
        <w:rPr>
          <w:rFonts w:ascii="Times New Roman;serif" w:hAnsi="Times New Roman;serif"/>
          <w:b w:val="false"/>
          <w:color w:val="000000"/>
          <w:sz w:val="20"/>
        </w:rPr>
        <w:t xml:space="preserve">Annual Report on Form 10-K for the year ended December 31, 2025.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jc w:val="both"/>
        <w:rPr/>
      </w:pPr>
      <w:r>
        <w:rPr>
          <w:rFonts w:ascii="Times New Roman;serif" w:hAnsi="Times New Roman;serif"/>
          <w:b w:val="false"/>
          <w:color w:val="000000"/>
          <w:sz w:val="20"/>
        </w:rPr>
        <w:t>We continue to work to remediate our material weakness in our internal control over financial reporting as described in Part II, Item 9A</w:t>
      </w:r>
      <w:r>
        <w:rPr>
          <w:rFonts w:ascii="Times New Roman;serif" w:hAnsi="Times New Roman;serif"/>
          <w:b w:val="false"/>
          <w:i/>
          <w:color w:val="000000"/>
          <w:sz w:val="20"/>
        </w:rPr>
        <w:t>. “Controls and Procedures”</w:t>
      </w:r>
      <w:r>
        <w:rPr>
          <w:color w:val="000000"/>
        </w:rPr>
        <w:t xml:space="preserve"> </w:t>
      </w:r>
      <w:r>
        <w:rPr>
          <w:rFonts w:ascii="Times New Roman;serif" w:hAnsi="Times New Roman;serif"/>
          <w:b w:val="false"/>
          <w:color w:val="000000"/>
          <w:sz w:val="20"/>
        </w:rPr>
        <w:t>in our</w:t>
      </w:r>
      <w:r>
        <w:rPr>
          <w:color w:val="000000"/>
        </w:rPr>
        <w:t xml:space="preserve"> </w:t>
      </w:r>
      <w:r>
        <w:rPr>
          <w:rFonts w:ascii="Times New Roman;serif" w:hAnsi="Times New Roman;serif"/>
          <w:b w:val="false"/>
          <w:color w:val="000000"/>
          <w:sz w:val="20"/>
        </w:rPr>
        <w:t>Annual Report on Form 10-K for the year ended December 31, 2025. There were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See Note 16. Commitments and Contingencies in the notes to the unaudited condensed consolidated financial statements included in this Quarterly Report on Form 10-Q for a discussion of material legal proceedings. We are from time to time subject to various legal proceedings, claims, and governmental inspections, audits, or investigations that arise in the ordinary course of our business. We believe that the ultimate resolution of these matters would not be expected to have a material adverse effect on our business, financial condition, 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jc w:val="both"/>
        <w:rPr/>
      </w:pPr>
      <w:r>
        <w:rPr>
          <w:rFonts w:ascii="Times New Roman;serif" w:hAnsi="Times New Roman;serif"/>
          <w:b w:val="false"/>
          <w:color w:val="000000"/>
          <w:sz w:val="20"/>
        </w:rPr>
        <w:t>In addition to the information set forth in this Quarterly Report on Form 10-Q, you should carefully consider the risk factors disclosed in Part I,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of our Annual Report on Form 10-K. There have been no material changes to our risk factors from those included in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Recent Sales of Unregistered Securities; Purchases of Equity Securities by the Issuer or Affiliated Purchaser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repurchased approximately $14.8 million in shares of our common stock under our Repurchase Program, including transaction fees and taxes. The stock repurchase activity under our Repurchase Program during the three months ended June 30, 2026 was as follows:</w:t>
      </w:r>
    </w:p>
    <w:tbl>
      <w:tblPr>
        <w:tblW w:w="10205" w:type="dxa"/>
        <w:jc w:val="left"/>
        <w:tblInd w:w="0" w:type="dxa"/>
        <w:tblLayout w:type="fixed"/>
        <w:tblCellMar>
          <w:top w:w="28" w:type="dxa"/>
          <w:left w:w="28" w:type="dxa"/>
          <w:bottom w:w="28" w:type="dxa"/>
          <w:right w:w="28" w:type="dxa"/>
        </w:tblCellMar>
      </w:tblPr>
      <w:tblGrid>
        <w:gridCol w:w="445"/>
        <w:gridCol w:w="390"/>
        <w:gridCol w:w="394"/>
        <w:gridCol w:w="638"/>
        <w:gridCol w:w="448"/>
        <w:gridCol w:w="449"/>
        <w:gridCol w:w="109"/>
        <w:gridCol w:w="109"/>
        <w:gridCol w:w="109"/>
        <w:gridCol w:w="211"/>
        <w:gridCol w:w="616"/>
        <w:gridCol w:w="109"/>
        <w:gridCol w:w="109"/>
        <w:gridCol w:w="109"/>
        <w:gridCol w:w="109"/>
        <w:gridCol w:w="1005"/>
        <w:gridCol w:w="835"/>
        <w:gridCol w:w="838"/>
        <w:gridCol w:w="109"/>
        <w:gridCol w:w="109"/>
        <w:gridCol w:w="109"/>
        <w:gridCol w:w="551"/>
        <w:gridCol w:w="1885"/>
        <w:gridCol w:w="410"/>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Average</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price paid</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 xml:space="preserve">Total number of shares purchased as part of publicly announced plans or programs </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 xml:space="preserve">Approximate dollar value of shares that may yet be purchased under the plans or programs </w:t>
            </w:r>
            <w:r>
              <w:rPr>
                <w:rFonts w:ascii="Times New Roman;serif" w:hAnsi="Times New Roman;serif"/>
                <w:b w:val="false"/>
                <w:color w:val="000000"/>
                <w:sz w:val="12"/>
              </w:rPr>
              <w:t>(1)</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per share and share amounts)</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6"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6"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6"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6"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6"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6"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April 1, 2026 - April 30, 2026</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393,321 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393,321 </w:t>
            </w:r>
          </w:p>
        </w:tc>
        <w:tc>
          <w:tcPr>
            <w:tcW w:w="8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8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29,300 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May 1, 2026 - May 31, 2026</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384,721 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384,721 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8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25,198 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June 1, 2026 - June 30, 2026</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646,236 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646,236 </w:t>
            </w:r>
          </w:p>
        </w:tc>
        <w:tc>
          <w:tcPr>
            <w:tcW w:w="8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8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19,166 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color w:val="000000"/>
          <w:sz w:val="20"/>
        </w:rPr>
        <w:t>(1)</w:t>
      </w:r>
      <w:r>
        <w:rPr>
          <w:rFonts w:ascii="Times New Roman;serif" w:hAnsi="Times New Roman;serif"/>
          <w:b w:val="false"/>
          <w:color w:val="000000"/>
          <w:sz w:val="20"/>
        </w:rPr>
        <w:t>On June 14, 2022, our Board approved the Repurchase Program with authorization to purchase up to $50.0 million in shares of the Company’s common stock through the expiration of the program on December 21, 2022. On November 7, 2022, November 5, 2023, May 21, 2024, May 1, 2025 and November 4, 2025 our Board increased the authorization of the Repurchase Program by an additional $50.0 million in shares of the Company’s common stock on each date for a total authorization to repurchase up to $300.0 million in shares of the Company’s common stock through December 31,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Repurchases under the program may be made in the open market, in privately negotiated transactions or otherwise, with the amount and timing of repurchases to be determined at the Company’s discretion, depending on market conditions and corporate needs. Open market repurchases will be structured to occur in accordance with applicable federal securities laws, including within the pricing and volume requirements of Rule 10b-18 under the Exchange Act. The Company may also, from time to time, enter into Rule 10b5-1 plans to facilitate repurchases of its shares under this authorization. The Repurchase Program does not obligate the Company to acquire any particular amount of common stock and may be modified, suspended or terminated at any time at the discretion of the Board. The Company expects to fund repurchases with existing cash on hand.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On June 6, 2026, Eric Remer, our Chief Executive Officer and Chairman of the Board of Directors, entered into a Rule 10b5-1 trading arrangement (the “Remer 10b5-1 Sales Plan”) intended to satisfy the affirmative defense conditions of Rule 10b5-1(c) for the sale of up to 1.0 million shares of the Company’s common stock held by Mr. Remer, until September 9, 2027 or upon the occurrence of certain events described in the Remer 10b5-1 Sales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other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9"/>
        <w:gridCol w:w="246"/>
        <w:gridCol w:w="247"/>
        <w:gridCol w:w="109"/>
        <w:gridCol w:w="109"/>
        <w:gridCol w:w="109"/>
        <w:gridCol w:w="1374"/>
        <w:gridCol w:w="1352"/>
        <w:gridCol w:w="1356"/>
        <w:gridCol w:w="109"/>
        <w:gridCol w:w="109"/>
        <w:gridCol w:w="109"/>
        <w:gridCol w:w="175"/>
        <w:gridCol w:w="175"/>
        <w:gridCol w:w="176"/>
        <w:gridCol w:w="109"/>
        <w:gridCol w:w="109"/>
        <w:gridCol w:w="109"/>
        <w:gridCol w:w="246"/>
        <w:gridCol w:w="225"/>
        <w:gridCol w:w="171"/>
        <w:gridCol w:w="109"/>
        <w:gridCol w:w="109"/>
        <w:gridCol w:w="109"/>
        <w:gridCol w:w="225"/>
        <w:gridCol w:w="225"/>
        <w:gridCol w:w="226"/>
        <w:gridCol w:w="109"/>
        <w:gridCol w:w="109"/>
        <w:gridCol w:w="109"/>
        <w:gridCol w:w="197"/>
        <w:gridCol w:w="197"/>
        <w:gridCol w:w="198"/>
        <w:gridCol w:w="109"/>
        <w:gridCol w:w="109"/>
        <w:gridCol w:w="109"/>
        <w:gridCol w:w="276"/>
        <w:gridCol w:w="276"/>
        <w:gridCol w:w="401"/>
      </w:tblGrid>
      <w:tr>
        <w:trPr/>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Filed/</w:t>
            </w:r>
          </w:p>
        </w:tc>
      </w:tr>
      <w:tr>
        <w:trPr/>
        <w:tc>
          <w:tcPr>
            <w:tcW w:w="7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0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Filing</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Furnished</w:t>
              <w:br/>
              <w:t>Herewith</w:t>
            </w:r>
          </w:p>
        </w:tc>
      </w:tr>
      <w:tr>
        <w:trPr/>
        <w:tc>
          <w:tcPr>
            <w:tcW w:w="7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2">
              <w:r>
                <w:rPr>
                  <w:rStyle w:val="InternetLink"/>
                  <w:rFonts w:ascii="Times New Roman;serif" w:hAnsi="Times New Roman;serif"/>
                  <w:b w:val="false"/>
                  <w:color w:val="0000FF"/>
                  <w:sz w:val="18"/>
                  <w:u w:val="single"/>
                </w:rPr>
                <w:t>Amended and Restated Certificate of Incorporation of EverCommerce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001-40575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7/9/2021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3">
              <w:r>
                <w:rPr>
                  <w:rStyle w:val="InternetLink"/>
                  <w:rFonts w:ascii="Times New Roman;serif" w:hAnsi="Times New Roman;serif"/>
                  <w:b w:val="false"/>
                  <w:color w:val="0000FF"/>
                  <w:sz w:val="18"/>
                  <w:u w:val="single"/>
                </w:rPr>
                <w:t>Amended and Restated Bylaws of EverCommerce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001-40575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7/9/2021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r>
      <w:tr>
        <w:trPr/>
        <w:tc>
          <w:tcPr>
            <w:tcW w:w="7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exhibit101-amendmenttoex.htm">
              <w:r>
                <w:rPr>
                  <w:rStyle w:val="InternetLink"/>
                  <w:rFonts w:ascii="Times New Roman;serif" w:hAnsi="Times New Roman;serif"/>
                  <w:b w:val="false"/>
                  <w:color w:val="000080"/>
                  <w:sz w:val="18"/>
                  <w:u w:val="single"/>
                </w:rPr>
                <w:t xml:space="preserve">Amendment to Executive Employment Agreement by and between </w:t>
              </w:r>
            </w:hyperlink>
            <w:hyperlink w:anchor="exhibit101-amendmenttoex.htm">
              <w:r>
                <w:rPr>
                  <w:rStyle w:val="InternetLink"/>
                  <w:rFonts w:ascii="Times New Roman;serif" w:hAnsi="Times New Roman;serif"/>
                  <w:b w:val="false"/>
                  <w:color w:val="000080"/>
                  <w:sz w:val="18"/>
                  <w:u w:val="single"/>
                </w:rPr>
                <w:t>Matth</w:t>
              </w:r>
            </w:hyperlink>
            <w:hyperlink w:anchor="exhibit101-amendmenttoex.htm">
              <w:r>
                <w:rPr>
                  <w:rStyle w:val="InternetLink"/>
                  <w:rFonts w:ascii="Times New Roman;serif" w:hAnsi="Times New Roman;serif"/>
                  <w:b w:val="false"/>
                  <w:color w:val="000080"/>
                  <w:sz w:val="18"/>
                  <w:u w:val="single"/>
                </w:rPr>
                <w:t>ew Feierstein</w:t>
              </w:r>
            </w:hyperlink>
            <w:hyperlink w:anchor="exhibit101-amendmenttoex.htm">
              <w:r>
                <w:rPr>
                  <w:rStyle w:val="InternetLink"/>
                  <w:rFonts w:ascii="Times New Roman;serif" w:hAnsi="Times New Roman;serif"/>
                  <w:b w:val="false"/>
                  <w:color w:val="000080"/>
                  <w:sz w:val="18"/>
                  <w:u w:val="single"/>
                </w:rPr>
                <w:t xml:space="preserve"> and EverCommerce Solutions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ex311-certificationofchief.htm">
              <w:r>
                <w:rPr>
                  <w:rStyle w:val="InternetLink"/>
                  <w:rFonts w:ascii="Times New Roman;serif" w:hAnsi="Times New Roman;serif"/>
                  <w:b w:val="false"/>
                  <w:color w:val="0000FF"/>
                  <w:sz w:val="18"/>
                  <w:u w:val="single"/>
                </w:rPr>
                <w:t>Certification of Chief Executive Officer pursuant to Rule 13a-14(a)/15d-14(a)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ex312-certificationofchief.htm">
              <w:r>
                <w:rPr>
                  <w:rStyle w:val="InternetLink"/>
                  <w:rFonts w:ascii="Times New Roman;serif" w:hAnsi="Times New Roman;serif"/>
                  <w:b w:val="false"/>
                  <w:color w:val="0000FF"/>
                  <w:sz w:val="18"/>
                  <w:u w:val="single"/>
                </w:rPr>
                <w:t>Certification of Chief Financial Officer pursuant to Rule 13a-14(a)/15d-14(a)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ex321-certificationofchief.htm">
              <w:r>
                <w:rPr>
                  <w:rStyle w:val="InternetLink"/>
                  <w:rFonts w:ascii="Times New Roman;serif" w:hAnsi="Times New Roman;serif"/>
                  <w:b w:val="false"/>
                  <w:color w:val="0000FF"/>
                  <w:sz w:val="18"/>
                  <w:u w:val="single"/>
                </w:rPr>
                <w:t>Certification of Chief Executive Officer pursuant to 18 U.S.C. Section 1350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ex322-certificationofchief.htm">
              <w:r>
                <w:rPr>
                  <w:rStyle w:val="InternetLink"/>
                  <w:rFonts w:ascii="Times New Roman;serif" w:hAnsi="Times New Roman;serif"/>
                  <w:b w:val="false"/>
                  <w:color w:val="0000FF"/>
                  <w:sz w:val="18"/>
                  <w:u w:val="single"/>
                </w:rPr>
                <w:t>Certification of Chief Financial Officer pursuant to 18 U.S.C. Section 1350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r>
    </w:p>
    <w:tbl>
      <w:tblPr>
        <w:tblW w:w="5740" w:type="dxa"/>
        <w:jc w:val="left"/>
        <w:tblInd w:w="0" w:type="dxa"/>
        <w:tblLayout w:type="fixed"/>
        <w:tblCellMar>
          <w:top w:w="28" w:type="dxa"/>
          <w:left w:w="28" w:type="dxa"/>
          <w:bottom w:w="28" w:type="dxa"/>
          <w:right w:w="28" w:type="dxa"/>
        </w:tblCellMar>
      </w:tblPr>
      <w:tblGrid>
        <w:gridCol w:w="674"/>
        <w:gridCol w:w="589"/>
        <w:gridCol w:w="596"/>
        <w:gridCol w:w="109"/>
        <w:gridCol w:w="109"/>
        <w:gridCol w:w="109"/>
        <w:gridCol w:w="345"/>
        <w:gridCol w:w="345"/>
        <w:gridCol w:w="345"/>
        <w:gridCol w:w="734"/>
        <w:gridCol w:w="734"/>
        <w:gridCol w:w="1051"/>
      </w:tblGrid>
      <w:tr>
        <w:trPr/>
        <w:tc>
          <w:tcPr>
            <w:tcW w:w="67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EVERCOMMERCE INC.</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Eric Remer</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Eric Remer</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Ryan H. Siurek</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Ryan H. Siurek</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20"/>
                <w:shd w:fill="FFFFFF" w:val="clear"/>
              </w:rPr>
              <w:t>(</w:t>
            </w:r>
            <w:r>
              <w:rPr>
                <w:rFonts w:ascii="Times New Roman;serif" w:hAnsi="Times New Roman;serif"/>
                <w:b w:val="false"/>
                <w:i/>
                <w:color w:val="000000"/>
                <w:sz w:val="20"/>
              </w:rPr>
              <w:t>Principal Financial Officer</w:t>
            </w:r>
            <w:r>
              <w:rPr>
                <w:rFonts w:ascii="Times New Roman;serif" w:hAnsi="Times New Roman;serif"/>
                <w:b w:val="false"/>
                <w:i/>
                <w:color w:val="000000"/>
                <w:sz w:val="20"/>
                <w:shd w:fill="FFFFFF" w:val="clear"/>
              </w:rPr>
              <w:t>)</w:t>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1" w:name="exhibit101-amendmenttoex.htm"/>
      <w:bookmarkStart w:id="2" w:name="ksexhibit101amendmenttoex"/>
      <w:bookmarkEnd w:id="1"/>
      <w:bookmarkEnd w:id="2"/>
      <w:r>
        <w:rPr/>
        <w:drawing>
          <wp:inline distT="0" distB="0" distL="0" distR="0">
            <wp:extent cx="10048875" cy="26003250"/>
            <wp:effectExtent l="0" t="0" r="0" b="0"/>
            <wp:docPr id="4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 descr=""/>
                    <pic:cNvPicPr>
                      <a:picLocks noChangeAspect="1" noChangeArrowheads="1"/>
                    </pic:cNvPicPr>
                  </pic:nvPicPr>
                  <pic:blipFill>
                    <a:blip r:embed="rId4"/>
                    <a:stretch>
                      <a:fillRect/>
                    </a:stretch>
                  </pic:blipFill>
                  <pic:spPr bwMode="auto">
                    <a:xfrm>
                      <a:off x="0" y="0"/>
                      <a:ext cx="10048875" cy="260032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jc w:val="center"/>
        <w:rPr>
          <w:color w:val="FFFFFF"/>
          <w:sz w:val="2"/>
        </w:rPr>
      </w:pPr>
      <w:r>
        <w:rPr>
          <w:color w:val="FFFFFF"/>
          <w:sz w:val="2"/>
        </w:rPr>
        <w:t xml:space="preserve">AMENDMENT TO EXECUTIVE EMPLOYMENT AGREEMENT This Amendment to Executive Employment Agreement (this “Amendment”) is made and entered into as of May 21, 2026 (the “Amendment Date”), by and between Matthew Feierstein (“Executive”) and EverCommerce Solutions Inc. (“ESI”, together with EverCommerce Inc. (“ECI”) and any subsidiaries or affiliates as may employ Executive from time to time, and any successor(s) thereto, the “Company”). W I T N E S E T H: WHEREAS, the Company and Executive are currently party to that certain Executive Employment Agreement, entered into on June 18, 2021 and effective as of the date of closing of the initial public offering of ECI (the “Employment Agreement”); and WHEREAS, the Company and Executive desire to amend the Employment Agreement on the terms set forth herein. NOW, THEREFORE, in consideration of the mutual covenants set forth in this Amendment, the Company and Executive hereby agree as follows, effective as of the Amendment Date: 1. The first sentence of Section 2.1 of the Employment Agreement is deleted in its entirety and replaced with the following: “Effective May 20, 2026, during the Employment Term, the Company shall pay Executive a salary of $475,000 per annum, less applicable taxes and withholdings (“Base Salary”), payable in accordance with the normal payroll practices and schedule of the Company.” 2. Affirmation. This Amendment is to be read and construed with the Employment Agreement as constituting one and the same agreement. Except as specifically modified by this Amendment, all remaining provisions, terms and conditions of the Employment Agreement shall remain in full force and effect. 3. Counterparts. This Amendment may be executed in one or more counterparts, each of which shall be deemed to be an original but all of which together shall constitute one and the same instrument. [signature page follows] Docusign Envelope ID: 77171D2E-4579-8AB6-819C-5DE8F5A3FA6F Signature Page to the Amendment IN WITNESS WHEREOF, the undersigned have executed this Amendment on the date and year first above written. EXECUTIVE Matthew Feierstein COMPANY EVERCOMMERCE INC. By: Name: Eric Remer Title: Chief Executive Officer EVERCOMMERCE SOLUTIONS INC. By: Name: Eric Remer Title: Chief Executive Officer Docusign Envelope ID: 77171D2E-4579-8AB6-819C-5DE8F5A3FA6F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I, Eric Remer, certify that:</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EverCommerce Inc.;</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2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left"/>
        <w:rPr/>
      </w:pPr>
      <w:r>
        <w:rPr/>
      </w:r>
    </w:p>
    <w:tbl>
      <w:tblPr>
        <w:tblW w:w="5830"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954"/>
        <w:gridCol w:w="954"/>
        <w:gridCol w:w="134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Eric Remer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Eric Remer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20"/>
              </w:rPr>
            </w:pPr>
            <w:r>
              <w:rPr>
                <w:rFonts w:ascii="Times New Roman;serif" w:hAnsi="Times New Roman;serif"/>
                <w:b/>
                <w:color w:val="000000"/>
                <w:sz w:val="20"/>
              </w:rPr>
              <w:t>Chief Executive Officer and Director</w:t>
            </w:r>
          </w:p>
          <w:p>
            <w:pPr>
              <w:pStyle w:val="TableContents"/>
              <w:bidi w:val="0"/>
              <w:spacing w:lineRule="auto" w:line="240" w:before="0" w:after="30"/>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I, Ryan H. Siurek, certify that:</w:t>
      </w:r>
    </w:p>
    <w:p>
      <w:pPr>
        <w:pStyle w:val="TextBody"/>
        <w:bidi w:val="0"/>
        <w:spacing w:lineRule="auto" w:line="240" w:before="2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EverCommerce Inc.;</w:t>
      </w:r>
    </w:p>
    <w:p>
      <w:pPr>
        <w:pStyle w:val="TextBody"/>
        <w:bidi w:val="0"/>
        <w:spacing w:lineRule="auto" w:line="240" w:before="2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2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2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2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both"/>
        <w:rPr/>
      </w:pPr>
      <w:r>
        <w:rPr/>
      </w:r>
    </w:p>
    <w:tbl>
      <w:tblPr>
        <w:tblW w:w="5140"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751"/>
        <w:gridCol w:w="751"/>
        <w:gridCol w:w="106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Ryan H. Siurek</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Ryan H. Siurek</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20"/>
              </w:rPr>
            </w:pPr>
            <w:r>
              <w:rPr>
                <w:rFonts w:ascii="Times New Roman;serif" w:hAnsi="Times New Roman;serif"/>
                <w:b/>
                <w:color w:val="000000"/>
                <w:sz w:val="20"/>
              </w:rPr>
              <w:t xml:space="preserve">Chief Financial Officer </w:t>
            </w:r>
          </w:p>
          <w:p>
            <w:pPr>
              <w:pStyle w:val="TableContents"/>
              <w:bidi w:val="0"/>
              <w:spacing w:lineRule="auto" w:line="240" w:before="0" w:after="30"/>
              <w:jc w:val="center"/>
              <w:rPr>
                <w:rFonts w:ascii="Times New Roman;serif" w:hAnsi="Times New Roman;serif"/>
                <w:b/>
                <w:color w:val="000000"/>
                <w:sz w:val="20"/>
              </w:rPr>
            </w:pPr>
            <w:r>
              <w:rPr>
                <w:rFonts w:ascii="Times New Roman;serif" w:hAnsi="Times New Roman;serif"/>
                <w:b/>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40" w:before="24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EverCommerce Inc. (the “Company”) for the period ended June 30, 2026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490"/>
        <w:jc w:val="both"/>
        <w:rPr/>
      </w:pPr>
      <w:r>
        <w:rPr/>
      </w:r>
    </w:p>
    <w:tbl>
      <w:tblPr>
        <w:tblW w:w="5830"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954"/>
        <w:gridCol w:w="954"/>
        <w:gridCol w:w="134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Eric Remer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Eric Remer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20"/>
              </w:rPr>
            </w:pPr>
            <w:r>
              <w:rPr>
                <w:rFonts w:ascii="Times New Roman;serif" w:hAnsi="Times New Roman;serif"/>
                <w:b/>
                <w:color w:val="000000"/>
                <w:sz w:val="20"/>
              </w:rPr>
              <w:t>Chief Executive Officer and Director</w:t>
            </w:r>
          </w:p>
          <w:p>
            <w:pPr>
              <w:pStyle w:val="TableContents"/>
              <w:bidi w:val="0"/>
              <w:spacing w:lineRule="auto" w:line="240" w:before="0" w:after="30"/>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40" w:before="24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EverCommerce Inc. (the “Company”) for the period ended June 30, 2026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490"/>
        <w:jc w:val="both"/>
        <w:rPr/>
      </w:pPr>
      <w:r>
        <w:rPr/>
      </w:r>
    </w:p>
    <w:tbl>
      <w:tblPr>
        <w:tblW w:w="5140"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751"/>
        <w:gridCol w:w="751"/>
        <w:gridCol w:w="106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Ryan H. Siurek</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Ryan H. Siurek</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20"/>
              </w:rPr>
            </w:pPr>
            <w:r>
              <w:rPr>
                <w:rFonts w:ascii="Times New Roman;serif" w:hAnsi="Times New Roman;serif"/>
                <w:b/>
                <w:color w:val="000000"/>
                <w:sz w:val="20"/>
              </w:rPr>
              <w:t xml:space="preserve">Chief Financial Officer </w:t>
            </w:r>
          </w:p>
          <w:p>
            <w:pPr>
              <w:pStyle w:val="TableContents"/>
              <w:bidi w:val="0"/>
              <w:spacing w:lineRule="auto" w:line="240" w:before="0" w:after="30"/>
              <w:jc w:val="center"/>
              <w:rPr>
                <w:rFonts w:ascii="Times New Roman;serif" w:hAnsi="Times New Roman;serif"/>
                <w:b/>
                <w:color w:val="000000"/>
                <w:sz w:val="20"/>
              </w:rPr>
            </w:pPr>
            <w:r>
              <w:rPr>
                <w:rFonts w:ascii="Times New Roman;serif" w:hAnsi="Times New Roman;serif"/>
                <w:b/>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53145/000114036121023912/nt10022251x16_ex3-1.htm" TargetMode="External"/><Relationship Id="rId3" Type="http://schemas.openxmlformats.org/officeDocument/2006/relationships/hyperlink" Target="https://www.sec.gov/Archives/edgar/data/0001853145/000114036121023912/nt10022251x16_ex3-2.htm" TargetMode="Externa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23480</Words>
  <Characters>131459</Characters>
  <CharactersWithSpaces>153237</CharactersWithSpaces>
  <Paragraphs>3020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exhibit101-amendmenttoex</dc:title>
</cp:coreProperties>
</file>