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20" w:hanging="594"/>
        <w:spacing w:after="0" w:line="182" w:lineRule="auto"/>
        <w:tabs>
          <w:tab w:leader="none" w:pos="62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0"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001-40575</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8" w:lineRule="exact"/>
        <w:rPr>
          <w:sz w:val="24"/>
          <w:szCs w:val="24"/>
          <w:color w:val="auto"/>
        </w:rPr>
      </w:pPr>
    </w:p>
    <w:tbl>
      <w:tblPr>
        <w:tblLayout w:type="fixed"/>
        <w:tblInd w:w="2660" w:type="dxa"/>
        <w:tblCellMar>
          <w:top w:w="0" w:type="dxa"/>
          <w:left w:w="0" w:type="dxa"/>
          <w:bottom w:w="0" w:type="dxa"/>
          <w:right w:w="0" w:type="dxa"/>
        </w:tblCellMar>
      </w:tblP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850"/>
              <w:spacing w:after="0"/>
              <w:rPr>
                <w:sz w:val="20"/>
                <w:szCs w:val="20"/>
                <w:color w:val="auto"/>
              </w:rPr>
            </w:pPr>
            <w:r>
              <w:rPr>
                <w:rFonts w:ascii="Arial" w:cs="Arial" w:eastAsia="Arial" w:hAnsi="Arial"/>
                <w:sz w:val="18"/>
                <w:szCs w:val="18"/>
                <w:b w:val="1"/>
                <w:bCs w:val="1"/>
                <w:color w:val="auto"/>
              </w:rPr>
              <w:t>81-4063248</w:t>
            </w:r>
          </w:p>
        </w:tc>
        <w:tc>
          <w:tcPr>
            <w:tcW w:w="0" w:type="dxa"/>
            <w:vAlign w:val="bottom"/>
          </w:tcPr>
          <w:p>
            <w:pPr>
              <w:spacing w:after="0"/>
              <w:rPr>
                <w:sz w:val="1"/>
                <w:szCs w:val="1"/>
                <w:color w:val="auto"/>
              </w:rPr>
            </w:pPr>
          </w:p>
        </w:tc>
      </w:tr>
      <w:tr>
        <w:trPr>
          <w:trHeight w:val="252"/>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(State or other jurisdiction of</w:t>
            </w:r>
          </w:p>
        </w:tc>
        <w:tc>
          <w:tcPr>
            <w:tcW w:w="3460" w:type="dxa"/>
            <w:vAlign w:val="bottom"/>
            <w:vMerge w:val="restart"/>
          </w:tcPr>
          <w:p>
            <w:pPr>
              <w:jc w:val="center"/>
              <w:ind w:left="610"/>
              <w:spacing w:after="0"/>
              <w:rPr>
                <w:sz w:val="20"/>
                <w:szCs w:val="20"/>
                <w:color w:val="auto"/>
              </w:rPr>
            </w:pPr>
            <w:r>
              <w:rPr>
                <w:rFonts w:ascii="Arial" w:cs="Arial" w:eastAsia="Arial" w:hAnsi="Arial"/>
                <w:sz w:val="18"/>
                <w:szCs w:val="18"/>
                <w:b w:val="1"/>
                <w:bCs w:val="1"/>
                <w:color w:val="auto"/>
                <w:w w:val="93"/>
              </w:rPr>
              <w:t>(I.R.S. Employer Identification No.)</w:t>
            </w:r>
          </w:p>
        </w:tc>
        <w:tc>
          <w:tcPr>
            <w:tcW w:w="0" w:type="dxa"/>
            <w:vAlign w:val="bottom"/>
          </w:tcPr>
          <w:p>
            <w:pPr>
              <w:spacing w:after="0"/>
              <w:rPr>
                <w:sz w:val="1"/>
                <w:szCs w:val="1"/>
                <w:color w:val="auto"/>
              </w:rPr>
            </w:pPr>
          </w:p>
        </w:tc>
      </w:tr>
      <w:tr>
        <w:trPr>
          <w:trHeight w:val="126"/>
        </w:trPr>
        <w:tc>
          <w:tcPr>
            <w:tcW w:w="3680" w:type="dxa"/>
            <w:vAlign w:val="bottom"/>
            <w:vMerge w:val="restart"/>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3601 Walnut Street, Suite 400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Denver, Colorado</w:t>
            </w:r>
          </w:p>
        </w:tc>
        <w:tc>
          <w:tcPr>
            <w:tcW w:w="3460" w:type="dxa"/>
            <w:vAlign w:val="bottom"/>
          </w:tcPr>
          <w:p>
            <w:pPr>
              <w:jc w:val="right"/>
              <w:ind w:right="1050"/>
              <w:spacing w:after="0"/>
              <w:rPr>
                <w:sz w:val="20"/>
                <w:szCs w:val="20"/>
                <w:color w:val="auto"/>
              </w:rPr>
            </w:pPr>
            <w:r>
              <w:rPr>
                <w:rFonts w:ascii="Arial" w:cs="Arial" w:eastAsia="Arial" w:hAnsi="Arial"/>
                <w:sz w:val="18"/>
                <w:szCs w:val="18"/>
                <w:b w:val="1"/>
                <w:bCs w:val="1"/>
                <w:color w:val="auto"/>
              </w:rPr>
              <w:t>80205</w:t>
            </w:r>
          </w:p>
        </w:tc>
        <w:tc>
          <w:tcPr>
            <w:tcW w:w="0" w:type="dxa"/>
            <w:vAlign w:val="bottom"/>
          </w:tcPr>
          <w:p>
            <w:pPr>
              <w:spacing w:after="0"/>
              <w:rPr>
                <w:sz w:val="1"/>
                <w:szCs w:val="1"/>
                <w:color w:val="auto"/>
              </w:rPr>
            </w:pPr>
          </w:p>
        </w:tc>
      </w:tr>
      <w:tr>
        <w:trPr>
          <w:trHeight w:val="270"/>
        </w:trPr>
        <w:tc>
          <w:tcPr>
            <w:tcW w:w="368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6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(720) 647-4948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3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1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August 3, 2022, there were 194,573,619 shares of the registrant’s common stock, par value $0.00001,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1160" w:type="dxa"/>
            <w:vAlign w:val="bottom"/>
          </w:tcPr>
          <w:p>
            <w:pPr>
              <w:ind w:left="400"/>
              <w:spacing w:after="0"/>
              <w:rPr>
                <w:sz w:val="20"/>
                <w:szCs w:val="20"/>
                <w:color w:val="auto"/>
              </w:rPr>
            </w:pPr>
            <w:r>
              <w:rPr>
                <w:rFonts w:ascii="Arial" w:cs="Arial" w:eastAsia="Arial" w:hAnsi="Arial"/>
                <w:sz w:val="18"/>
                <w:szCs w:val="18"/>
                <w:color w:val="auto"/>
              </w:rPr>
              <w:t>Page</w:t>
            </w:r>
          </w:p>
        </w:tc>
      </w:tr>
      <w:tr>
        <w:trPr>
          <w:trHeight w:val="27"/>
        </w:trPr>
        <w:tc>
          <w:tcPr>
            <w:tcW w:w="98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9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1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June 30, 2022 </w:t>
            </w:r>
            <w:hyperlink w:anchor="page6">
              <w:r>
                <w:rPr>
                  <w:rFonts w:ascii="Arial" w:cs="Arial" w:eastAsia="Arial" w:hAnsi="Arial"/>
                  <w:sz w:val="18"/>
                  <w:szCs w:val="18"/>
                  <w:color w:val="auto"/>
                </w:rPr>
                <w:t xml:space="preserve">(unaudited) and </w:t>
              </w:r>
            </w:hyperlink>
            <w:r>
              <w:rPr>
                <w:rFonts w:ascii="Arial" w:cs="Arial" w:eastAsia="Arial" w:hAnsi="Arial"/>
                <w:sz w:val="18"/>
                <w:szCs w:val="18"/>
                <w:color w:val="auto"/>
              </w:rPr>
              <w:t>December 31, 2021</w:t>
            </w:r>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r>
      <w:tr>
        <w:trPr>
          <w:trHeight w:val="229"/>
        </w:trPr>
        <w:tc>
          <w:tcPr>
            <w:tcW w:w="980" w:type="dxa"/>
            <w:vAlign w:val="bottom"/>
          </w:tcPr>
          <w:p>
            <w:pPr>
              <w:spacing w:after="0"/>
              <w:rPr>
                <w:sz w:val="19"/>
                <w:szCs w:val="19"/>
                <w:color w:val="auto"/>
              </w:rPr>
            </w:pPr>
          </w:p>
        </w:tc>
        <w:tc>
          <w:tcPr>
            <w:tcW w:w="9100" w:type="dxa"/>
            <w:vAlign w:val="bottom"/>
          </w:tcPr>
          <w:p>
            <w:pPr>
              <w:ind w:left="200"/>
              <w:spacing w:after="0"/>
              <w:rPr>
                <w:rFonts w:ascii="Arial" w:cs="Arial" w:eastAsia="Arial" w:hAnsi="Arial"/>
                <w:sz w:val="18"/>
                <w:szCs w:val="18"/>
                <w:color w:val="auto"/>
                <w:w w:val="94"/>
              </w:rPr>
            </w:pPr>
            <w:hyperlink w:anchor="page7">
              <w:r>
                <w:rPr>
                  <w:rFonts w:ascii="Arial" w:cs="Arial" w:eastAsia="Arial" w:hAnsi="Arial"/>
                  <w:sz w:val="18"/>
                  <w:szCs w:val="18"/>
                  <w:color w:val="auto"/>
                  <w:w w:val="94"/>
                </w:rPr>
                <w:t xml:space="preserve">Condensed Consolidated Statements of Operations and Comprehensive Loss (unaudited) for the </w:t>
              </w:r>
            </w:hyperlink>
            <w:r>
              <w:rPr>
                <w:rFonts w:ascii="Arial" w:cs="Arial" w:eastAsia="Arial" w:hAnsi="Arial"/>
                <w:sz w:val="18"/>
                <w:szCs w:val="18"/>
                <w:color w:val="auto"/>
                <w:w w:val="94"/>
              </w:rPr>
              <w:t>three and six months</w:t>
            </w:r>
          </w:p>
        </w:tc>
        <w:tc>
          <w:tcPr>
            <w:tcW w:w="116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9100" w:type="dxa"/>
            <w:vAlign w:val="bottom"/>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ended June 30, 2022 </w:t>
            </w:r>
            <w:hyperlink w:anchor="page7">
              <w:r>
                <w:rPr>
                  <w:rFonts w:ascii="Arial" w:cs="Arial" w:eastAsia="Arial" w:hAnsi="Arial"/>
                  <w:sz w:val="18"/>
                  <w:szCs w:val="18"/>
                  <w:color w:val="auto"/>
                </w:rPr>
                <w:t xml:space="preserve">and </w:t>
              </w:r>
            </w:hyperlink>
            <w:r>
              <w:rPr>
                <w:rFonts w:ascii="Arial" w:cs="Arial" w:eastAsia="Arial" w:hAnsi="Arial"/>
                <w:sz w:val="18"/>
                <w:szCs w:val="18"/>
                <w:color w:val="auto"/>
              </w:rPr>
              <w:t>2021</w:t>
            </w:r>
          </w:p>
        </w:tc>
        <w:tc>
          <w:tcPr>
            <w:tcW w:w="1160" w:type="dxa"/>
            <w:vAlign w:val="bottom"/>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980" w:type="dxa"/>
            <w:vAlign w:val="bottom"/>
            <w:shd w:val="clear" w:color="auto" w:fill="CCEEFF"/>
          </w:tcPr>
          <w:p>
            <w:pPr>
              <w:spacing w:after="0"/>
              <w:rPr>
                <w:sz w:val="19"/>
                <w:szCs w:val="19"/>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Condensed Consolidated Statements of Convertible Preferred Stock and Stockholders’ Equity (Deficit) (unaudited) for the</w:t>
            </w:r>
          </w:p>
        </w:tc>
        <w:tc>
          <w:tcPr>
            <w:tcW w:w="1160" w:type="dxa"/>
            <w:vAlign w:val="bottom"/>
            <w:shd w:val="clear" w:color="auto" w:fill="CCEEFF"/>
          </w:tcPr>
          <w:p>
            <w:pPr>
              <w:spacing w:after="0"/>
              <w:rPr>
                <w:sz w:val="19"/>
                <w:szCs w:val="19"/>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three and six months ended June 30, 2022 and 2021</w:t>
            </w:r>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r>
      <w:tr>
        <w:trPr>
          <w:trHeight w:val="243"/>
        </w:trPr>
        <w:tc>
          <w:tcPr>
            <w:tcW w:w="980" w:type="dxa"/>
            <w:vAlign w:val="bottom"/>
          </w:tcPr>
          <w:p>
            <w:pPr>
              <w:spacing w:after="0"/>
              <w:rPr>
                <w:sz w:val="21"/>
                <w:szCs w:val="21"/>
                <w:color w:val="auto"/>
              </w:rPr>
            </w:pPr>
          </w:p>
        </w:tc>
        <w:tc>
          <w:tcPr>
            <w:tcW w:w="9100" w:type="dxa"/>
            <w:vAlign w:val="bottom"/>
          </w:tcPr>
          <w:p>
            <w:pPr>
              <w:ind w:left="200"/>
              <w:spacing w:after="0"/>
              <w:rPr>
                <w:rFonts w:ascii="Arial" w:cs="Arial" w:eastAsia="Arial" w:hAnsi="Arial"/>
                <w:sz w:val="18"/>
                <w:szCs w:val="18"/>
                <w:color w:val="auto"/>
                <w:w w:val="97"/>
              </w:rPr>
            </w:pPr>
            <w:hyperlink w:anchor="page10">
              <w:r>
                <w:rPr>
                  <w:rFonts w:ascii="Arial" w:cs="Arial" w:eastAsia="Arial" w:hAnsi="Arial"/>
                  <w:sz w:val="18"/>
                  <w:szCs w:val="18"/>
                  <w:color w:val="auto"/>
                  <w:w w:val="97"/>
                </w:rPr>
                <w:t xml:space="preserve">Condensed Consolidated Statements of Cash Flows (unaudited) for the </w:t>
              </w:r>
            </w:hyperlink>
            <w:r>
              <w:rPr>
                <w:rFonts w:ascii="Arial" w:cs="Arial" w:eastAsia="Arial" w:hAnsi="Arial"/>
                <w:sz w:val="18"/>
                <w:szCs w:val="18"/>
                <w:color w:val="auto"/>
                <w:w w:val="97"/>
              </w:rPr>
              <w:t xml:space="preserve">six months ended June 30, 2022 </w:t>
            </w:r>
            <w:hyperlink w:anchor="page10">
              <w:r>
                <w:rPr>
                  <w:rFonts w:ascii="Arial" w:cs="Arial" w:eastAsia="Arial" w:hAnsi="Arial"/>
                  <w:sz w:val="18"/>
                  <w:szCs w:val="18"/>
                  <w:color w:val="auto"/>
                  <w:w w:val="97"/>
                </w:rPr>
                <w:t xml:space="preserve">and </w:t>
              </w:r>
            </w:hyperlink>
            <w:r>
              <w:rPr>
                <w:rFonts w:ascii="Arial" w:cs="Arial" w:eastAsia="Arial" w:hAnsi="Arial"/>
                <w:sz w:val="18"/>
                <w:szCs w:val="18"/>
                <w:color w:val="auto"/>
                <w:w w:val="97"/>
              </w:rPr>
              <w:t>2021</w:t>
            </w:r>
          </w:p>
        </w:tc>
        <w:tc>
          <w:tcPr>
            <w:tcW w:w="1160" w:type="dxa"/>
            <w:vAlign w:val="bottom"/>
          </w:tcPr>
          <w:p>
            <w:pPr>
              <w:jc w:val="cente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12">
              <w:r>
                <w:rPr>
                  <w:rFonts w:ascii="Arial" w:cs="Arial" w:eastAsia="Arial" w:hAnsi="Arial"/>
                  <w:sz w:val="18"/>
                  <w:szCs w:val="18"/>
                  <w:color w:val="auto"/>
                </w:rPr>
                <w:t>Notes to Condensed Consolidated Financial Statements (unaudited)</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8</w:t>
              </w:r>
            </w:hyperlink>
          </w:p>
        </w:tc>
      </w:tr>
      <w:tr>
        <w:trPr>
          <w:trHeight w:val="243"/>
        </w:trPr>
        <w:tc>
          <w:tcPr>
            <w:tcW w:w="980" w:type="dxa"/>
            <w:vAlign w:val="bottom"/>
          </w:tcPr>
          <w:p>
            <w:pPr>
              <w:ind w:left="14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9100" w:type="dxa"/>
            <w:vAlign w:val="bottom"/>
          </w:tcPr>
          <w:p>
            <w:pPr>
              <w:ind w:left="20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1160" w:type="dxa"/>
            <w:vAlign w:val="bottom"/>
          </w:tcPr>
          <w:p>
            <w:pPr>
              <w:jc w:val="cente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24</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46">
              <w:r>
                <w:rPr>
                  <w:rFonts w:ascii="Arial" w:cs="Arial" w:eastAsia="Arial" w:hAnsi="Arial"/>
                  <w:sz w:val="18"/>
                  <w:szCs w:val="18"/>
                  <w:color w:val="auto"/>
                </w:rPr>
                <w:t>Quantitative and Qualitative Disclosures About Market Risk</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41</w:t>
              </w:r>
            </w:hyperlink>
          </w:p>
        </w:tc>
      </w:tr>
      <w:tr>
        <w:trPr>
          <w:trHeight w:val="243"/>
        </w:trPr>
        <w:tc>
          <w:tcPr>
            <w:tcW w:w="9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4.</w:t>
              </w:r>
            </w:hyperlink>
          </w:p>
        </w:tc>
        <w:tc>
          <w:tcPr>
            <w:tcW w:w="9100" w:type="dxa"/>
            <w:vAlign w:val="bottom"/>
          </w:tcPr>
          <w:p>
            <w:pPr>
              <w:ind w:left="200"/>
              <w:spacing w:after="0"/>
              <w:rPr>
                <w:rFonts w:ascii="Arial" w:cs="Arial" w:eastAsia="Arial" w:hAnsi="Arial"/>
                <w:sz w:val="18"/>
                <w:szCs w:val="18"/>
                <w:color w:val="auto"/>
              </w:rPr>
            </w:pPr>
            <w:hyperlink w:anchor="page46">
              <w:r>
                <w:rPr>
                  <w:rFonts w:ascii="Arial" w:cs="Arial" w:eastAsia="Arial" w:hAnsi="Arial"/>
                  <w:sz w:val="18"/>
                  <w:szCs w:val="18"/>
                  <w:color w:val="auto"/>
                </w:rPr>
                <w:t>Controls and Procedures</w:t>
              </w:r>
            </w:hyperlink>
          </w:p>
        </w:tc>
        <w:tc>
          <w:tcPr>
            <w:tcW w:w="1160" w:type="dxa"/>
            <w:vAlign w:val="bottom"/>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42</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80" w:type="dxa"/>
            <w:vAlign w:val="bottom"/>
            <w:shd w:val="clear" w:color="auto" w:fill="CCEEFF"/>
          </w:tcPr>
          <w:p>
            <w:pPr>
              <w:spacing w:after="0"/>
              <w:rPr>
                <w:sz w:val="23"/>
                <w:szCs w:val="23"/>
                <w:color w:val="auto"/>
              </w:rPr>
            </w:pPr>
          </w:p>
        </w:tc>
        <w:tc>
          <w:tcPr>
            <w:tcW w:w="9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980" w:type="dxa"/>
            <w:vAlign w:val="bottom"/>
          </w:tcPr>
          <w:p>
            <w:pPr>
              <w:ind w:left="2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PART II</w:t>
              </w:r>
            </w:hyperlink>
          </w:p>
        </w:tc>
        <w:tc>
          <w:tcPr>
            <w:tcW w:w="9100" w:type="dxa"/>
            <w:vAlign w:val="bottom"/>
          </w:tcPr>
          <w:p>
            <w:pPr>
              <w:ind w:left="200"/>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OTHER INFORMATION</w:t>
              </w:r>
            </w:hyperlink>
          </w:p>
        </w:tc>
        <w:tc>
          <w:tcPr>
            <w:tcW w:w="11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1.</w:t>
              </w:r>
            </w:hyperlink>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48">
              <w:r>
                <w:rPr>
                  <w:rFonts w:ascii="Arial" w:cs="Arial" w:eastAsia="Arial" w:hAnsi="Arial"/>
                  <w:sz w:val="18"/>
                  <w:szCs w:val="18"/>
                  <w:color w:val="auto"/>
                </w:rPr>
                <w:t>Legal Proceedings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43</w:t>
              </w:r>
            </w:hyperlink>
          </w:p>
        </w:tc>
      </w:tr>
      <w:tr>
        <w:trPr>
          <w:trHeight w:val="243"/>
        </w:trPr>
        <w:tc>
          <w:tcPr>
            <w:tcW w:w="98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1A.</w:t>
              </w:r>
            </w:hyperlink>
          </w:p>
        </w:tc>
        <w:tc>
          <w:tcPr>
            <w:tcW w:w="9100" w:type="dxa"/>
            <w:vAlign w:val="bottom"/>
          </w:tcPr>
          <w:p>
            <w:pPr>
              <w:ind w:left="200"/>
              <w:spacing w:after="0"/>
              <w:rPr>
                <w:rFonts w:ascii="Arial" w:cs="Arial" w:eastAsia="Arial" w:hAnsi="Arial"/>
                <w:sz w:val="18"/>
                <w:szCs w:val="18"/>
                <w:color w:val="auto"/>
              </w:rPr>
            </w:pPr>
            <w:hyperlink w:anchor="page48">
              <w:r>
                <w:rPr>
                  <w:rFonts w:ascii="Arial" w:cs="Arial" w:eastAsia="Arial" w:hAnsi="Arial"/>
                  <w:sz w:val="18"/>
                  <w:szCs w:val="18"/>
                  <w:color w:val="auto"/>
                </w:rPr>
                <w:t>Risk Factors</w:t>
              </w:r>
            </w:hyperlink>
          </w:p>
        </w:tc>
        <w:tc>
          <w:tcPr>
            <w:tcW w:w="1160" w:type="dxa"/>
            <w:vAlign w:val="bottom"/>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43</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2.</w:t>
              </w:r>
            </w:hyperlink>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48">
              <w:r>
                <w:rPr>
                  <w:rFonts w:ascii="Arial" w:cs="Arial" w:eastAsia="Arial" w:hAnsi="Arial"/>
                  <w:sz w:val="18"/>
                  <w:szCs w:val="18"/>
                  <w:color w:val="auto"/>
                </w:rPr>
                <w:t>Unregistered Sales of Equity Securities and Use of Proceeds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43</w:t>
              </w:r>
            </w:hyperlink>
          </w:p>
        </w:tc>
      </w:tr>
      <w:tr>
        <w:trPr>
          <w:trHeight w:val="243"/>
        </w:trPr>
        <w:tc>
          <w:tcPr>
            <w:tcW w:w="98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3.</w:t>
              </w:r>
            </w:hyperlink>
          </w:p>
        </w:tc>
        <w:tc>
          <w:tcPr>
            <w:tcW w:w="9100" w:type="dxa"/>
            <w:vAlign w:val="bottom"/>
          </w:tcPr>
          <w:p>
            <w:pPr>
              <w:ind w:left="200"/>
              <w:spacing w:after="0"/>
              <w:rPr>
                <w:rFonts w:ascii="Arial" w:cs="Arial" w:eastAsia="Arial" w:hAnsi="Arial"/>
                <w:sz w:val="18"/>
                <w:szCs w:val="18"/>
                <w:color w:val="auto"/>
              </w:rPr>
            </w:pPr>
            <w:hyperlink w:anchor="page48">
              <w:r>
                <w:rPr>
                  <w:rFonts w:ascii="Arial" w:cs="Arial" w:eastAsia="Arial" w:hAnsi="Arial"/>
                  <w:sz w:val="18"/>
                  <w:szCs w:val="18"/>
                  <w:color w:val="auto"/>
                </w:rPr>
                <w:t>Defaults Upon Senior Securities</w:t>
              </w:r>
            </w:hyperlink>
          </w:p>
        </w:tc>
        <w:tc>
          <w:tcPr>
            <w:tcW w:w="1160" w:type="dxa"/>
            <w:vAlign w:val="bottom"/>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43</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4.</w:t>
              </w:r>
            </w:hyperlink>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48">
              <w:r>
                <w:rPr>
                  <w:rFonts w:ascii="Arial" w:cs="Arial" w:eastAsia="Arial" w:hAnsi="Arial"/>
                  <w:sz w:val="18"/>
                  <w:szCs w:val="18"/>
                  <w:color w:val="auto"/>
                </w:rPr>
                <w:t>Mine Safety Disclosures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43</w:t>
              </w:r>
            </w:hyperlink>
          </w:p>
        </w:tc>
      </w:tr>
      <w:tr>
        <w:trPr>
          <w:trHeight w:val="243"/>
        </w:trPr>
        <w:tc>
          <w:tcPr>
            <w:tcW w:w="98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5.</w:t>
              </w:r>
            </w:hyperlink>
          </w:p>
        </w:tc>
        <w:tc>
          <w:tcPr>
            <w:tcW w:w="9100" w:type="dxa"/>
            <w:vAlign w:val="bottom"/>
          </w:tcPr>
          <w:p>
            <w:pPr>
              <w:ind w:left="200"/>
              <w:spacing w:after="0"/>
              <w:rPr>
                <w:rFonts w:ascii="Arial" w:cs="Arial" w:eastAsia="Arial" w:hAnsi="Arial"/>
                <w:sz w:val="18"/>
                <w:szCs w:val="18"/>
                <w:color w:val="auto"/>
              </w:rPr>
            </w:pPr>
            <w:hyperlink w:anchor="page49">
              <w:r>
                <w:rPr>
                  <w:rFonts w:ascii="Arial" w:cs="Arial" w:eastAsia="Arial" w:hAnsi="Arial"/>
                  <w:sz w:val="18"/>
                  <w:szCs w:val="18"/>
                  <w:color w:val="auto"/>
                </w:rPr>
                <w:t>Other Information</w:t>
              </w:r>
            </w:hyperlink>
          </w:p>
        </w:tc>
        <w:tc>
          <w:tcPr>
            <w:tcW w:w="1160" w:type="dxa"/>
            <w:vAlign w:val="bottom"/>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44</w:t>
              </w:r>
            </w:hyperlink>
          </w:p>
        </w:tc>
      </w:tr>
      <w:tr>
        <w:trPr>
          <w:trHeight w:val="27"/>
        </w:trPr>
        <w:tc>
          <w:tcPr>
            <w:tcW w:w="9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6.</w:t>
              </w:r>
            </w:hyperlink>
          </w:p>
        </w:tc>
        <w:tc>
          <w:tcPr>
            <w:tcW w:w="9100" w:type="dxa"/>
            <w:vAlign w:val="bottom"/>
            <w:tcBorders>
              <w:bottom w:val="single" w:sz="8" w:color="CCEEFF"/>
            </w:tcBorders>
            <w:shd w:val="clear" w:color="auto" w:fill="CCEEFF"/>
          </w:tcPr>
          <w:p>
            <w:pPr>
              <w:ind w:left="200"/>
              <w:spacing w:after="0"/>
              <w:rPr>
                <w:rFonts w:ascii="Arial" w:cs="Arial" w:eastAsia="Arial" w:hAnsi="Arial"/>
                <w:sz w:val="18"/>
                <w:szCs w:val="18"/>
                <w:color w:val="auto"/>
              </w:rPr>
            </w:pPr>
            <w:hyperlink w:anchor="page49">
              <w:r>
                <w:rPr>
                  <w:rFonts w:ascii="Arial" w:cs="Arial" w:eastAsia="Arial" w:hAnsi="Arial"/>
                  <w:sz w:val="18"/>
                  <w:szCs w:val="18"/>
                  <w:color w:val="auto"/>
                </w:rPr>
                <w:t>Exhibits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44</w:t>
              </w:r>
            </w:hyperlink>
          </w:p>
        </w:tc>
      </w:tr>
      <w:tr>
        <w:trPr>
          <w:trHeight w:val="243"/>
        </w:trPr>
        <w:tc>
          <w:tcPr>
            <w:tcW w:w="9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Signatures</w:t>
              </w:r>
            </w:hyperlink>
          </w:p>
        </w:tc>
        <w:tc>
          <w:tcPr>
            <w:tcW w:w="9100" w:type="dxa"/>
            <w:vAlign w:val="bottom"/>
          </w:tcPr>
          <w:p>
            <w:pPr>
              <w:spacing w:after="0"/>
              <w:rPr>
                <w:sz w:val="21"/>
                <w:szCs w:val="21"/>
                <w:color w:val="auto"/>
              </w:rPr>
            </w:pPr>
          </w:p>
        </w:tc>
        <w:tc>
          <w:tcPr>
            <w:tcW w:w="1160" w:type="dxa"/>
            <w:vAlign w:val="bottom"/>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46</w:t>
              </w:r>
            </w:hyperlink>
          </w:p>
        </w:tc>
      </w:tr>
      <w:tr>
        <w:trPr>
          <w:trHeight w:val="1533"/>
        </w:trPr>
        <w:tc>
          <w:tcPr>
            <w:tcW w:w="98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and our objectives for future operations.</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SMBs is relatively immature and unproven;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risks related to the COVID-19 pandemic;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2021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our statements should not be read to indicate that we have conducted an exhaustive inquiry into, or review of, all potentially available relevant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EverCommerce Inc.</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88"/>
              </w:rPr>
              <w:t>(in thousands, except per share and share amounts)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Accounts receivable, net of allowance for doubtful accounts of $2.3 million and $1.9 million at June 30,</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2022 and December 31, 2021,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199,796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171,617</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13,509</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24,296</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914,024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921,416</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1,433,491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1,491,756</w:t>
            </w:r>
          </w:p>
        </w:tc>
      </w:tr>
      <w:tr>
        <w:trPr>
          <w:trHeight w:val="263"/>
        </w:trPr>
        <w:tc>
          <w:tcPr>
            <w:tcW w:w="78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1,633,287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17"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54,506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49,340</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108,358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103,428</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Deferred tax liability, net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17,862</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533,062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535,184</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b w:val="1"/>
                <w:bCs w:val="1"/>
                <w:color w:val="auto"/>
              </w:rPr>
              <w:t>Total non-current liabilities</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561,418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574,297</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669,776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677,725</w:t>
            </w:r>
          </w:p>
        </w:tc>
      </w:tr>
      <w:tr>
        <w:trPr>
          <w:trHeight w:val="34"/>
        </w:trPr>
        <w:tc>
          <w:tcPr>
            <w:tcW w:w="78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54"/>
        </w:trPr>
        <w:tc>
          <w:tcPr>
            <w:tcW w:w="7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tcPr>
          <w:p>
            <w:pPr>
              <w:ind w:left="100"/>
              <w:spacing w:after="0"/>
              <w:rPr>
                <w:sz w:val="20"/>
                <w:szCs w:val="20"/>
                <w:color w:val="auto"/>
              </w:rPr>
            </w:pPr>
            <w:r>
              <w:rPr>
                <w:rFonts w:ascii="Arial" w:cs="Arial" w:eastAsia="Arial" w:hAnsi="Arial"/>
                <w:sz w:val="18"/>
                <w:szCs w:val="18"/>
                <w:color w:val="auto"/>
                <w:w w:val="89"/>
              </w:rPr>
              <w:t>Preferred stock, $0.00001 par value, 50,000,000 shares authorized and no shares issued or outstanding as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of June 30, 2022 and December 31, 2021</w:t>
            </w:r>
          </w:p>
        </w:tc>
        <w:tc>
          <w:tcPr>
            <w:tcW w:w="3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Common stock, $0.00001 par value, 2,000,000,000 shares authorized and 195,528,413 and 195,384,291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at June 30, 2022 and December 31, 2021,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1,500,643</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(539,420)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(513,230)</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963,511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985,648</w:t>
            </w:r>
          </w:p>
        </w:tc>
      </w:tr>
      <w:tr>
        <w:trPr>
          <w:trHeight w:val="263"/>
        </w:trPr>
        <w:tc>
          <w:tcPr>
            <w:tcW w:w="78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convertible preferred stock and stockholders’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1,633,287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7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115,648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85,136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223,649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160,331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225,956</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revenues (exclusive of depreciation and amortization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76,530</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42,491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54,017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47,921</w:t>
            </w:r>
          </w:p>
        </w:tc>
        <w:tc>
          <w:tcPr>
            <w:tcW w:w="0" w:type="dxa"/>
            <w:vAlign w:val="bottom"/>
          </w:tcPr>
          <w:p>
            <w:pPr>
              <w:spacing w:after="0"/>
              <w:rPr>
                <w:sz w:val="1"/>
                <w:szCs w:val="1"/>
                <w:color w:val="auto"/>
              </w:rPr>
            </w:pPr>
          </w:p>
        </w:tc>
      </w:tr>
      <w:tr>
        <w:trPr>
          <w:trHeight w:val="237"/>
        </w:trPr>
        <w:tc>
          <w:tcPr>
            <w:tcW w:w="496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131,852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243,331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(26,114)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loss before income tax benefit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(43,489)</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64"/>
        </w:trPr>
        <w:tc>
          <w:tcPr>
            <w:tcW w:w="4960" w:type="dxa"/>
            <w:vAlign w:val="bottom"/>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Adjustments to net loss (see Note 12)</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weighted-average shares of common stock</w:t>
            </w:r>
          </w:p>
        </w:tc>
        <w:tc>
          <w:tcPr>
            <w:tcW w:w="3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195,650,334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43,732,225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195,541,998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43,483,144</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used in computing net loss per share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Preferred Stock</w:t>
            </w:r>
          </w:p>
        </w:tc>
        <w:tc>
          <w:tcPr>
            <w:tcW w:w="14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4"/>
                <w:szCs w:val="14"/>
                <w:color w:val="auto"/>
              </w:rPr>
            </w:pPr>
          </w:p>
        </w:tc>
        <w:tc>
          <w:tcPr>
            <w:tcW w:w="114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4"/>
                <w:szCs w:val="14"/>
                <w:color w:val="auto"/>
              </w:rPr>
            </w:pPr>
          </w:p>
        </w:tc>
        <w:tc>
          <w:tcPr>
            <w:tcW w:w="118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16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Paid-In Capital</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195,384</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985,648</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(13,309)</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(13,309)</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195,510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1,507,501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(526,539)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978,533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Issuance of common stock for Employee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Purchase Plan</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6,508</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exercises</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3"/>
        </w:trPr>
        <w:tc>
          <w:tcPr>
            <w:tcW w:w="3160" w:type="dxa"/>
            <w:vAlign w:val="bottom"/>
          </w:tcPr>
          <w:p>
            <w:pPr>
              <w:ind w:left="100"/>
              <w:spacing w:after="0"/>
              <w:rPr>
                <w:sz w:val="20"/>
                <w:szCs w:val="20"/>
                <w:color w:val="auto"/>
              </w:rPr>
            </w:pPr>
            <w:r>
              <w:rPr>
                <w:rFonts w:ascii="Arial" w:cs="Arial" w:eastAsia="Arial" w:hAnsi="Arial"/>
                <w:sz w:val="16"/>
                <w:szCs w:val="16"/>
                <w:color w:val="auto"/>
                <w:w w:val="95"/>
              </w:rPr>
              <w:t>Repurchase and retirement of common stock</w:t>
            </w: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53"/>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losses, net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(12,881)</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(12,881)</w:t>
            </w:r>
          </w:p>
        </w:tc>
        <w:tc>
          <w:tcPr>
            <w:tcW w:w="0" w:type="dxa"/>
            <w:vAlign w:val="bottom"/>
          </w:tcPr>
          <w:p>
            <w:pPr>
              <w:spacing w:after="0"/>
              <w:rPr>
                <w:sz w:val="1"/>
                <w:szCs w:val="1"/>
                <w:color w:val="auto"/>
              </w:rPr>
            </w:pPr>
          </w:p>
        </w:tc>
      </w:tr>
      <w:tr>
        <w:trPr>
          <w:trHeight w:val="26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195,528</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1,513,529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963,511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Series B</w:t>
            </w:r>
          </w:p>
        </w:tc>
        <w:tc>
          <w:tcPr>
            <w:tcW w:w="120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Series C</w:t>
            </w:r>
          </w:p>
        </w:tc>
        <w:tc>
          <w:tcPr>
            <w:tcW w:w="12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Series A</w:t>
            </w:r>
          </w:p>
        </w:tc>
        <w:tc>
          <w:tcPr>
            <w:tcW w:w="100" w:type="dxa"/>
            <w:vAlign w:val="bottom"/>
          </w:tcPr>
          <w:p>
            <w:pPr>
              <w:spacing w:after="0"/>
              <w:rPr>
                <w:sz w:val="16"/>
                <w:szCs w:val="16"/>
                <w:color w:val="auto"/>
              </w:rPr>
            </w:pPr>
          </w:p>
        </w:tc>
        <w:tc>
          <w:tcPr>
            <w:tcW w:w="760" w:type="dxa"/>
            <w:vAlign w:val="bottom"/>
            <w:tcBorders>
              <w:right w:val="single" w:sz="8" w:color="auto"/>
            </w:tcBorders>
            <w:vMerge w:val="restart"/>
          </w:tcPr>
          <w:p>
            <w:pPr>
              <w:jc w:val="center"/>
              <w:ind w:right="46"/>
              <w:spacing w:after="0"/>
              <w:rPr>
                <w:sz w:val="20"/>
                <w:szCs w:val="20"/>
                <w:color w:val="auto"/>
              </w:rPr>
            </w:pPr>
            <w:r>
              <w:rPr>
                <w:rFonts w:ascii="Arial" w:cs="Arial" w:eastAsia="Arial" w:hAnsi="Arial"/>
                <w:sz w:val="15"/>
                <w:szCs w:val="15"/>
                <w:b w:val="1"/>
                <w:bCs w:val="1"/>
                <w:color w:val="auto"/>
                <w:w w:val="89"/>
              </w:rPr>
              <w:t>Total</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4"/>
              </w:rPr>
              <w:t>Convertible</w:t>
            </w:r>
          </w:p>
        </w:tc>
        <w:tc>
          <w:tcPr>
            <w:tcW w:w="120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4"/>
              </w:rPr>
              <w:t>Convertible</w:t>
            </w:r>
          </w:p>
        </w:tc>
        <w:tc>
          <w:tcPr>
            <w:tcW w:w="12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4"/>
              </w:rPr>
              <w:t>Convertible</w:t>
            </w:r>
          </w:p>
        </w:tc>
        <w:tc>
          <w:tcPr>
            <w:tcW w:w="10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w w:val="92"/>
              </w:rPr>
              <w:t>Convertible</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8"/>
              </w:rPr>
              <w:t>Additional</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Other</w:t>
            </w:r>
          </w:p>
        </w:tc>
        <w:tc>
          <w:tcPr>
            <w:tcW w:w="220" w:type="dxa"/>
            <w:vAlign w:val="bottom"/>
          </w:tcPr>
          <w:p>
            <w:pPr>
              <w:spacing w:after="0"/>
              <w:rPr>
                <w:sz w:val="9"/>
                <w:szCs w:val="9"/>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18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w w:val="91"/>
              </w:rPr>
              <w:t>Preferred Stock</w:t>
            </w:r>
          </w:p>
        </w:tc>
        <w:tc>
          <w:tcPr>
            <w:tcW w:w="1200" w:type="dxa"/>
            <w:vAlign w:val="bottom"/>
            <w:gridSpan w:val="3"/>
          </w:tcPr>
          <w:p>
            <w:pPr>
              <w:jc w:val="center"/>
              <w:spacing w:after="0" w:line="152" w:lineRule="exact"/>
              <w:rPr>
                <w:sz w:val="20"/>
                <w:szCs w:val="20"/>
                <w:color w:val="auto"/>
              </w:rPr>
            </w:pPr>
            <w:r>
              <w:rPr>
                <w:rFonts w:ascii="Arial" w:cs="Arial" w:eastAsia="Arial" w:hAnsi="Arial"/>
                <w:sz w:val="15"/>
                <w:szCs w:val="15"/>
                <w:b w:val="1"/>
                <w:bCs w:val="1"/>
                <w:color w:val="auto"/>
                <w:w w:val="93"/>
              </w:rPr>
              <w:t>Preferred Stock</w:t>
            </w:r>
          </w:p>
        </w:tc>
        <w:tc>
          <w:tcPr>
            <w:tcW w:w="122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w w:val="93"/>
              </w:rPr>
              <w:t>Preferred Stock</w:t>
            </w:r>
          </w:p>
        </w:tc>
        <w:tc>
          <w:tcPr>
            <w:tcW w:w="860" w:type="dxa"/>
            <w:vAlign w:val="bottom"/>
            <w:tcBorders>
              <w:right w:val="single" w:sz="8" w:color="auto"/>
            </w:tcBorders>
            <w:gridSpan w:val="2"/>
            <w:vMerge w:val="continue"/>
          </w:tcPr>
          <w:p>
            <w:pPr>
              <w:spacing w:after="0"/>
              <w:rPr>
                <w:sz w:val="13"/>
                <w:szCs w:val="13"/>
                <w:color w:val="auto"/>
              </w:rPr>
            </w:pPr>
          </w:p>
        </w:tc>
        <w:tc>
          <w:tcPr>
            <w:tcW w:w="1140" w:type="dxa"/>
            <w:vAlign w:val="bottom"/>
            <w:gridSpan w:val="3"/>
          </w:tcPr>
          <w:p>
            <w:pPr>
              <w:jc w:val="right"/>
              <w:ind w:right="4"/>
              <w:spacing w:after="0" w:line="152" w:lineRule="exact"/>
              <w:rPr>
                <w:sz w:val="20"/>
                <w:szCs w:val="20"/>
                <w:color w:val="auto"/>
              </w:rPr>
            </w:pPr>
            <w:r>
              <w:rPr>
                <w:rFonts w:ascii="Arial" w:cs="Arial" w:eastAsia="Arial" w:hAnsi="Arial"/>
                <w:sz w:val="15"/>
                <w:szCs w:val="15"/>
                <w:b w:val="1"/>
                <w:bCs w:val="1"/>
                <w:color w:val="auto"/>
                <w:w w:val="94"/>
              </w:rPr>
              <w:t>Common Stock</w:t>
            </w: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right w:val="single" w:sz="8" w:color="auto"/>
            </w:tcBorders>
          </w:tcPr>
          <w:p>
            <w:pPr>
              <w:jc w:val="center"/>
              <w:ind w:right="46"/>
              <w:spacing w:after="0" w:line="48" w:lineRule="exact"/>
              <w:rPr>
                <w:sz w:val="20"/>
                <w:szCs w:val="20"/>
                <w:color w:val="auto"/>
              </w:rPr>
            </w:pPr>
            <w:r>
              <w:rPr>
                <w:rFonts w:ascii="Arial" w:cs="Arial" w:eastAsia="Arial" w:hAnsi="Arial"/>
                <w:sz w:val="5"/>
                <w:szCs w:val="5"/>
                <w:b w:val="1"/>
                <w:bCs w:val="1"/>
                <w:color w:val="auto"/>
              </w:rPr>
              <w:t>Preferred</w:t>
            </w: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right"/>
              <w:ind w:right="66"/>
              <w:spacing w:after="0" w:line="48" w:lineRule="exact"/>
              <w:rPr>
                <w:sz w:val="20"/>
                <w:szCs w:val="20"/>
                <w:color w:val="auto"/>
              </w:rPr>
            </w:pPr>
            <w:r>
              <w:rPr>
                <w:rFonts w:ascii="Arial" w:cs="Arial" w:eastAsia="Arial" w:hAnsi="Arial"/>
                <w:sz w:val="5"/>
                <w:szCs w:val="5"/>
                <w:b w:val="1"/>
                <w:bCs w:val="1"/>
                <w:color w:val="auto"/>
              </w:rPr>
              <w:t>Paid-In</w:t>
            </w:r>
          </w:p>
        </w:tc>
        <w:tc>
          <w:tcPr>
            <w:tcW w:w="3000" w:type="dxa"/>
            <w:vAlign w:val="bottom"/>
            <w:gridSpan w:val="6"/>
          </w:tcPr>
          <w:p>
            <w:pPr>
              <w:jc w:val="center"/>
              <w:spacing w:after="0" w:line="48" w:lineRule="exact"/>
              <w:rPr>
                <w:sz w:val="20"/>
                <w:szCs w:val="20"/>
                <w:color w:val="auto"/>
              </w:rPr>
            </w:pPr>
            <w:r>
              <w:rPr>
                <w:rFonts w:ascii="Arial" w:cs="Arial" w:eastAsia="Arial" w:hAnsi="Arial"/>
                <w:sz w:val="5"/>
                <w:szCs w:val="5"/>
                <w:b w:val="1"/>
                <w:bCs w:val="1"/>
                <w:color w:val="auto"/>
              </w:rPr>
              <w:t>Accumulated Comprehensive Stockholders’</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Shares  Amount</w:t>
            </w:r>
          </w:p>
        </w:tc>
        <w:tc>
          <w:tcPr>
            <w:tcW w:w="12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3"/>
              </w:rPr>
              <w:t>Shares  Amount</w:t>
            </w:r>
          </w:p>
        </w:tc>
        <w:tc>
          <w:tcPr>
            <w:tcW w:w="12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Shares  Amount</w:t>
            </w:r>
          </w:p>
        </w:tc>
        <w:tc>
          <w:tcPr>
            <w:tcW w:w="100" w:type="dxa"/>
            <w:vAlign w:val="bottom"/>
          </w:tcPr>
          <w:p>
            <w:pPr>
              <w:spacing w:after="0"/>
              <w:rPr>
                <w:sz w:val="17"/>
                <w:szCs w:val="17"/>
                <w:color w:val="auto"/>
              </w:rPr>
            </w:pPr>
          </w:p>
        </w:tc>
        <w:tc>
          <w:tcPr>
            <w:tcW w:w="760" w:type="dxa"/>
            <w:vAlign w:val="bottom"/>
            <w:tcBorders>
              <w:right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8"/>
              </w:rPr>
              <w:t>Stock</w:t>
            </w:r>
          </w:p>
        </w:tc>
        <w:tc>
          <w:tcPr>
            <w:tcW w:w="1140" w:type="dxa"/>
            <w:vAlign w:val="bottom"/>
            <w:gridSpan w:val="3"/>
          </w:tcPr>
          <w:p>
            <w:pPr>
              <w:jc w:val="right"/>
              <w:spacing w:after="0"/>
              <w:rPr>
                <w:sz w:val="20"/>
                <w:szCs w:val="20"/>
                <w:color w:val="auto"/>
              </w:rPr>
            </w:pPr>
            <w:r>
              <w:rPr>
                <w:rFonts w:ascii="Arial" w:cs="Arial" w:eastAsia="Arial" w:hAnsi="Arial"/>
                <w:sz w:val="15"/>
                <w:szCs w:val="15"/>
                <w:b w:val="1"/>
                <w:bCs w:val="1"/>
                <w:color w:val="auto"/>
                <w:w w:val="97"/>
              </w:rPr>
              <w:t>Shares Amount</w:t>
            </w:r>
          </w:p>
        </w:tc>
        <w:tc>
          <w:tcPr>
            <w:tcW w:w="100" w:type="dxa"/>
            <w:vAlign w:val="bottom"/>
          </w:tcPr>
          <w:p>
            <w:pPr>
              <w:spacing w:after="0"/>
              <w:rPr>
                <w:sz w:val="17"/>
                <w:szCs w:val="17"/>
                <w:color w:val="auto"/>
              </w:rPr>
            </w:pPr>
          </w:p>
        </w:tc>
        <w:tc>
          <w:tcPr>
            <w:tcW w:w="660" w:type="dxa"/>
            <w:vAlign w:val="bottom"/>
          </w:tcPr>
          <w:p>
            <w:pPr>
              <w:jc w:val="right"/>
              <w:ind w:right="66"/>
              <w:spacing w:after="0"/>
              <w:rPr>
                <w:sz w:val="20"/>
                <w:szCs w:val="20"/>
                <w:color w:val="auto"/>
              </w:rPr>
            </w:pPr>
            <w:r>
              <w:rPr>
                <w:rFonts w:ascii="Arial" w:cs="Arial" w:eastAsia="Arial" w:hAnsi="Arial"/>
                <w:sz w:val="15"/>
                <w:szCs w:val="15"/>
                <w:b w:val="1"/>
                <w:bCs w:val="1"/>
                <w:color w:val="auto"/>
                <w:w w:val="99"/>
              </w:rPr>
              <w:t>Capital</w:t>
            </w:r>
          </w:p>
        </w:tc>
        <w:tc>
          <w:tcPr>
            <w:tcW w:w="180" w:type="dxa"/>
            <w:vAlign w:val="bottom"/>
          </w:tcPr>
          <w:p>
            <w:pPr>
              <w:spacing w:after="0"/>
              <w:rPr>
                <w:sz w:val="17"/>
                <w:szCs w:val="17"/>
                <w:color w:val="auto"/>
              </w:rPr>
            </w:pPr>
          </w:p>
        </w:tc>
        <w:tc>
          <w:tcPr>
            <w:tcW w:w="760" w:type="dxa"/>
            <w:vAlign w:val="bottom"/>
          </w:tcPr>
          <w:p>
            <w:pPr>
              <w:jc w:val="right"/>
              <w:ind w:right="164"/>
              <w:spacing w:after="0"/>
              <w:rPr>
                <w:sz w:val="20"/>
                <w:szCs w:val="20"/>
                <w:color w:val="auto"/>
              </w:rPr>
            </w:pPr>
            <w:r>
              <w:rPr>
                <w:rFonts w:ascii="Arial" w:cs="Arial" w:eastAsia="Arial" w:hAnsi="Arial"/>
                <w:sz w:val="15"/>
                <w:szCs w:val="15"/>
                <w:b w:val="1"/>
                <w:bCs w:val="1"/>
                <w:color w:val="auto"/>
              </w:rPr>
              <w:t>Deficit</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5"/>
              </w:rPr>
              <w:t>Income</w:t>
            </w:r>
          </w:p>
        </w:tc>
        <w:tc>
          <w:tcPr>
            <w:tcW w:w="220" w:type="dxa"/>
            <w:vAlign w:val="bottom"/>
          </w:tcPr>
          <w:p>
            <w:pPr>
              <w:spacing w:after="0"/>
              <w:rPr>
                <w:sz w:val="17"/>
                <w:szCs w:val="17"/>
                <w:color w:val="auto"/>
              </w:rPr>
            </w:pPr>
          </w:p>
        </w:tc>
        <w:tc>
          <w:tcPr>
            <w:tcW w:w="780" w:type="dxa"/>
            <w:vAlign w:val="bottom"/>
          </w:tcPr>
          <w:p>
            <w:pPr>
              <w:jc w:val="right"/>
              <w:ind w:right="184"/>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72,226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$ 745,046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44,958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$ 163,264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908,310</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43,074</w:t>
            </w:r>
          </w:p>
        </w:tc>
        <w:tc>
          <w:tcPr>
            <w:tcW w:w="2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40,564</w:t>
            </w:r>
          </w:p>
        </w:tc>
        <w:tc>
          <w:tcPr>
            <w:tcW w:w="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(431,264)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1,546</w:t>
            </w: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(389,154)</w:t>
            </w: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Arial" w:cs="Arial" w:eastAsia="Arial" w:hAnsi="Arial"/>
                <w:sz w:val="15"/>
                <w:szCs w:val="15"/>
                <w:color w:val="auto"/>
              </w:rPr>
              <w:t>Rollover equity in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180"/>
              <w:spacing w:after="0"/>
              <w:rPr>
                <w:sz w:val="20"/>
                <w:szCs w:val="20"/>
                <w:color w:val="auto"/>
              </w:rPr>
            </w:pPr>
            <w:r>
              <w:rPr>
                <w:rFonts w:ascii="Arial" w:cs="Arial" w:eastAsia="Arial" w:hAnsi="Arial"/>
                <w:sz w:val="15"/>
                <w:szCs w:val="15"/>
                <w:color w:val="auto"/>
                <w:w w:val="94"/>
              </w:rPr>
              <w:t>consideration of net assets</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180"/>
              <w:spacing w:after="0"/>
              <w:rPr>
                <w:sz w:val="20"/>
                <w:szCs w:val="20"/>
                <w:color w:val="auto"/>
              </w:rPr>
            </w:pPr>
            <w:r>
              <w:rPr>
                <w:rFonts w:ascii="Arial" w:cs="Arial" w:eastAsia="Arial" w:hAnsi="Arial"/>
                <w:sz w:val="15"/>
                <w:szCs w:val="15"/>
                <w:color w:val="auto"/>
              </w:rPr>
              <w:t>acquired</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w:t>
            </w:r>
          </w:p>
        </w:tc>
        <w:tc>
          <w:tcPr>
            <w:tcW w:w="280" w:type="dxa"/>
            <w:vAlign w:val="bottom"/>
          </w:tcPr>
          <w:p>
            <w:pPr>
              <w:spacing w:after="0"/>
              <w:rPr>
                <w:sz w:val="16"/>
                <w:szCs w:val="16"/>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416</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97"/>
              </w:rPr>
              <w:t>Stock-based compensation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0" w:type="dxa"/>
            <w:vAlign w:val="bottom"/>
          </w:tcPr>
          <w:p>
            <w:pPr>
              <w:spacing w:after="0"/>
              <w:rPr>
                <w:sz w:val="1"/>
                <w:szCs w:val="1"/>
                <w:color w:val="auto"/>
              </w:rPr>
            </w:pPr>
          </w:p>
        </w:tc>
      </w:tr>
      <w:tr>
        <w:trPr>
          <w:trHeight w:val="208"/>
        </w:trPr>
        <w:tc>
          <w:tcPr>
            <w:tcW w:w="1880" w:type="dxa"/>
            <w:vAlign w:val="bottom"/>
          </w:tcPr>
          <w:p>
            <w:pPr>
              <w:ind w:left="100"/>
              <w:spacing w:after="0"/>
              <w:rPr>
                <w:sz w:val="20"/>
                <w:szCs w:val="20"/>
                <w:color w:val="auto"/>
              </w:rPr>
            </w:pPr>
            <w:r>
              <w:rPr>
                <w:rFonts w:ascii="Arial" w:cs="Arial" w:eastAsia="Arial" w:hAnsi="Arial"/>
                <w:sz w:val="15"/>
                <w:szCs w:val="15"/>
                <w:color w:val="auto"/>
              </w:rPr>
              <w:t>Stock option exercises</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223</w:t>
            </w:r>
          </w:p>
        </w:tc>
        <w:tc>
          <w:tcPr>
            <w:tcW w:w="28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735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735</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4"/>
              </w:rPr>
              <w:t>Foreign currency translation</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gains, net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Arial" w:cs="Arial" w:eastAsia="Arial" w:hAnsi="Arial"/>
                <w:sz w:val="15"/>
                <w:szCs w:val="15"/>
                <w:color w:val="auto"/>
              </w:rPr>
              <w:t>Accretion of Series B</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180"/>
              <w:spacing w:after="0"/>
              <w:rPr>
                <w:sz w:val="20"/>
                <w:szCs w:val="20"/>
                <w:color w:val="auto"/>
              </w:rPr>
            </w:pPr>
            <w:r>
              <w:rPr>
                <w:rFonts w:ascii="Arial" w:cs="Arial" w:eastAsia="Arial" w:hAnsi="Arial"/>
                <w:sz w:val="15"/>
                <w:szCs w:val="15"/>
                <w:color w:val="auto"/>
                <w:w w:val="95"/>
              </w:rPr>
              <w:t>convertible preferred stock</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180"/>
              <w:spacing w:after="0"/>
              <w:rPr>
                <w:sz w:val="20"/>
                <w:szCs w:val="20"/>
                <w:color w:val="auto"/>
              </w:rPr>
            </w:pPr>
            <w:r>
              <w:rPr>
                <w:rFonts w:ascii="Arial" w:cs="Arial" w:eastAsia="Arial" w:hAnsi="Arial"/>
                <w:sz w:val="15"/>
                <w:szCs w:val="15"/>
                <w:color w:val="auto"/>
              </w:rPr>
              <w:t>to redemption value</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15,105</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15,105</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(15,105)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(15,105)</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loss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(15,995)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(15,995)</w:t>
            </w:r>
          </w:p>
        </w:tc>
        <w:tc>
          <w:tcPr>
            <w:tcW w:w="0" w:type="dxa"/>
            <w:vAlign w:val="bottom"/>
          </w:tcPr>
          <w:p>
            <w:pPr>
              <w:spacing w:after="0"/>
              <w:rPr>
                <w:sz w:val="1"/>
                <w:szCs w:val="1"/>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5"/>
                <w:szCs w:val="15"/>
                <w:b w:val="1"/>
                <w:bCs w:val="1"/>
                <w:color w:val="auto"/>
              </w:rPr>
              <w:t>Balance at March 31, 2021</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72,226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760,151</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44,958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163,264</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jc w:val="right"/>
              <w:ind w:right="6"/>
              <w:spacing w:after="0"/>
              <w:rPr>
                <w:sz w:val="20"/>
                <w:szCs w:val="20"/>
                <w:color w:val="auto"/>
              </w:rPr>
            </w:pPr>
            <w:r>
              <w:rPr>
                <w:rFonts w:ascii="Arial" w:cs="Arial" w:eastAsia="Arial" w:hAnsi="Arial"/>
                <w:sz w:val="15"/>
                <w:szCs w:val="15"/>
                <w:color w:val="auto"/>
              </w:rPr>
              <w:t>923,415</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1"/>
              </w:rPr>
              <w:t>43,342</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27,513</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(447,259)</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2,089</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(417,657)</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Issuance of convertible</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preferred stock, net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7,857</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109,782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109,782</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Arial" w:cs="Arial" w:eastAsia="Arial" w:hAnsi="Arial"/>
                <w:sz w:val="15"/>
                <w:szCs w:val="15"/>
                <w:color w:val="auto"/>
              </w:rPr>
              <w:t>Measurement period</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180"/>
              <w:spacing w:after="0"/>
              <w:rPr>
                <w:sz w:val="20"/>
                <w:szCs w:val="20"/>
                <w:color w:val="auto"/>
              </w:rPr>
            </w:pPr>
            <w:r>
              <w:rPr>
                <w:rFonts w:ascii="Arial" w:cs="Arial" w:eastAsia="Arial" w:hAnsi="Arial"/>
                <w:sz w:val="15"/>
                <w:szCs w:val="15"/>
                <w:color w:val="auto"/>
              </w:rPr>
              <w:t>adjustment to update fair</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180"/>
              <w:spacing w:after="0"/>
              <w:rPr>
                <w:sz w:val="20"/>
                <w:szCs w:val="20"/>
                <w:color w:val="auto"/>
              </w:rPr>
            </w:pPr>
            <w:r>
              <w:rPr>
                <w:rFonts w:ascii="Arial" w:cs="Arial" w:eastAsia="Arial" w:hAnsi="Arial"/>
                <w:sz w:val="15"/>
                <w:szCs w:val="15"/>
                <w:color w:val="auto"/>
              </w:rPr>
              <w:t>value of rollover equity</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97"/>
              </w:rPr>
              <w:t>Stock-based compensation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11,201</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11,201</w:t>
            </w:r>
          </w:p>
        </w:tc>
        <w:tc>
          <w:tcPr>
            <w:tcW w:w="0" w:type="dxa"/>
            <w:vAlign w:val="bottom"/>
          </w:tcPr>
          <w:p>
            <w:pPr>
              <w:spacing w:after="0"/>
              <w:rPr>
                <w:sz w:val="1"/>
                <w:szCs w:val="1"/>
                <w:color w:val="auto"/>
              </w:rPr>
            </w:pPr>
          </w:p>
        </w:tc>
      </w:tr>
      <w:tr>
        <w:trPr>
          <w:trHeight w:val="208"/>
        </w:trPr>
        <w:tc>
          <w:tcPr>
            <w:tcW w:w="1880" w:type="dxa"/>
            <w:vAlign w:val="bottom"/>
          </w:tcPr>
          <w:p>
            <w:pPr>
              <w:ind w:left="100"/>
              <w:spacing w:after="0"/>
              <w:rPr>
                <w:sz w:val="20"/>
                <w:szCs w:val="20"/>
                <w:color w:val="auto"/>
              </w:rPr>
            </w:pPr>
            <w:r>
              <w:rPr>
                <w:rFonts w:ascii="Arial" w:cs="Arial" w:eastAsia="Arial" w:hAnsi="Arial"/>
                <w:sz w:val="15"/>
                <w:szCs w:val="15"/>
                <w:color w:val="auto"/>
              </w:rPr>
              <w:t>Stock option exercises</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84</w:t>
            </w:r>
          </w:p>
        </w:tc>
        <w:tc>
          <w:tcPr>
            <w:tcW w:w="28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2"/>
        </w:trPr>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4"/>
              </w:rPr>
              <w:t>Foreign currency translation</w:t>
            </w: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gains, net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8"/>
        </w:trPr>
        <w:tc>
          <w:tcPr>
            <w:tcW w:w="1880" w:type="dxa"/>
            <w:vAlign w:val="bottom"/>
          </w:tcPr>
          <w:p>
            <w:pPr>
              <w:ind w:left="100"/>
              <w:spacing w:after="0"/>
              <w:rPr>
                <w:sz w:val="20"/>
                <w:szCs w:val="20"/>
                <w:color w:val="auto"/>
              </w:rPr>
            </w:pPr>
            <w:r>
              <w:rPr>
                <w:rFonts w:ascii="Arial" w:cs="Arial" w:eastAsia="Arial" w:hAnsi="Arial"/>
                <w:sz w:val="15"/>
                <w:szCs w:val="15"/>
                <w:color w:val="auto"/>
              </w:rPr>
              <w:t>Net loss</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(24,334)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(24,334)</w:t>
            </w:r>
          </w:p>
        </w:tc>
        <w:tc>
          <w:tcPr>
            <w:tcW w:w="0" w:type="dxa"/>
            <w:vAlign w:val="bottom"/>
          </w:tcPr>
          <w:p>
            <w:pPr>
              <w:spacing w:after="0"/>
              <w:rPr>
                <w:sz w:val="1"/>
                <w:szCs w:val="1"/>
                <w:color w:val="auto"/>
              </w:rPr>
            </w:pPr>
          </w:p>
        </w:tc>
      </w:tr>
      <w:tr>
        <w:trPr>
          <w:trHeight w:val="22"/>
        </w:trPr>
        <w:tc>
          <w:tcPr>
            <w:tcW w:w="1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72,226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$ 760,151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7,857</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109,782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44,958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$ 163,264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8"/>
              </w:rPr>
              <w:t>1,033,197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43,997</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39,305</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(471,593)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2,458</w:t>
            </w: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(429,830)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(26,190)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(40,329)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54,911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47,921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 software abandonment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discount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on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costs and fees on credit facility commitments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Paid-in-kind interest on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12,643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(13,482)</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Accrued expenses and other</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Other long-term liabilities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r>
      <w:tr>
        <w:trPr>
          <w:trHeight w:val="270"/>
        </w:trPr>
        <w:tc>
          <w:tcPr>
            <w:tcW w:w="7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 of software costs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Acquisition of companies, net of cash acquired</w:t>
            </w:r>
          </w:p>
        </w:tc>
        <w:tc>
          <w:tcPr>
            <w:tcW w:w="10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(69,017)</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(75,825)</w:t>
            </w:r>
          </w:p>
        </w:tc>
      </w:tr>
      <w:tr>
        <w:trPr>
          <w:trHeight w:val="27"/>
        </w:trPr>
        <w:tc>
          <w:tcPr>
            <w:tcW w:w="7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Payments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69,216</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preferred stock issuance, net</w:t>
            </w: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109,782</w:t>
            </w: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Proceeds from common stock issuance for Employee Stock Purchase Plan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175,999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7800" w:type="dxa"/>
            <w:vAlign w:val="bottom"/>
          </w:tcPr>
          <w:p>
            <w:pPr>
              <w:ind w:left="320"/>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104,243</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97,559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98,338</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End of period</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109,147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202,581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780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Rollover equity in consideration of net assets acquired</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of Series B convertible preferred stock to redemption value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EverCommerce Inc. and subsidiaries (the “Company” or “EverCommerce”) is a leading provider of integrated software-as-a-service (“SaaS”) solutions or services for service-based small- and medium-sized businesses (“SMBs”). Our platform spans across the full lifecycle of interactions between consumers and service professionals with vertical-specific applications. Today, the Company serves over 600,000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was incorporated in Delaware on September 29, 2016, and began operations on October 17, 2016 (Inception). The Company is headquartered in Denver, Colorado, and has operations across the United States, Canada, Jordan, United Kingdom, Australia and New Zealand. The Company changed its name from PaySimple Holdings, Inc. to EverCommerce Inc. as of December 14,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2021 and the related notes (“Annual Report on Form 10-K”). The December 31, 2021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six months ended June 30, 2022 from those disclosed in the annual consolidated financial statements for the year ended December 31, 2021 and the related notes.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for the three and six months ended June 30, 2022 are not necessarily indicative of the results expected for the full year ending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 calculation of stock-based compensation, valuation of intangible assets and goodwill and useful lives of tangible and intangible assets,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intended to improve financial reporting about leasing transactions. The ASU affects all companies that lease assets such as real estate and equipment for a period for more than 12 months, and will require organizations that lease assets to recognize on the balance sheet the assets and liabilities for the rights and obligations created by those leases. The updated standard will be effective for annual reporting periods beginning after December 15, 2021 and interim periods the following year. The Company will adopt this standard in the fourth quarter of 2022. Based on management’s current assessment, the impact of adoption will result in an additional right-of-use asset and corresponding lease liability presented on the consolidated balance sheet, largely comprised of its future real estate lease obligations along with any embedded leases in service contracts. Based on our assessment through June 30, 2022, we expect no material impact to the consolidated statements of operations and comprehensive loss; however, management’s analysis of the impact of adoption is not complete.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the measurement and recognition of expected credit losses for financial assets held at amortized cost, which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accounts receivable and contract assets. This updated standard will be effective for annual reporting periods beginning after December 15, 2022. The Company is currently evaluating the impact the adoption of this standard will have on its financial statements.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will be effective for annual reporting periods beginning after December 15, 2022. Early adoption is permitted. The Company is currently evaluating whether it will early adopt this standard. The impact of adoption is unknown as it will be based on any potential acquisitions consummated in the year of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and in the six months ended June 30, 2021, the Company completed five and two business acquisitions, respectively,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condensed consolidated statements of operations and comprehensive loss include $8.4 million of acquisition related transaction costs in general and administrative for acquisitions consummated in 2021, with $2.7 million incurred in the six months ended June 30, 2021.</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consideration related to certain 2021 acquisitions is considered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Briostack</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PulseM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MDTech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Timely</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DrChrono</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24"/>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5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3"/>
        </w:trPr>
        <w:tc>
          <w:tcPr>
            <w:tcW w:w="4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366,361</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Rollover equity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6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367,087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trade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3,362</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Deposits and other long-term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Intangible—developed technology</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20,874</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Intangible—customer relationships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105,946</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Intangible—trade name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Intangible—non-compete agreements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255,723</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Deferred tax asset, net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(2,784)</w:t>
            </w: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Deferred tax liability, net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(24,741)</w:t>
            </w:r>
          </w:p>
        </w:tc>
      </w:tr>
      <w:tr>
        <w:trPr>
          <w:trHeight w:val="246"/>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43"/>
        </w:trPr>
        <w:tc>
          <w:tcPr>
            <w:tcW w:w="4080" w:type="dxa"/>
            <w:vAlign w:val="bottom"/>
          </w:tcPr>
          <w:p>
            <w:pPr>
              <w:ind w:left="240"/>
              <w:spacing w:after="0"/>
              <w:rPr>
                <w:sz w:val="20"/>
                <w:szCs w:val="20"/>
                <w:color w:val="auto"/>
              </w:rPr>
            </w:pPr>
            <w:r>
              <w:rPr>
                <w:rFonts w:ascii="Arial" w:cs="Arial" w:eastAsia="Arial" w:hAnsi="Arial"/>
                <w:sz w:val="16"/>
                <w:szCs w:val="16"/>
                <w:color w:val="auto"/>
              </w:rPr>
              <w:t>Total 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181,919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367,087</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Briostack</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finalized the fair value of the shares at $0.7 million in the quarter ended June 30, 2021 by applying a market approach. The fair value of the rollover equity is reflected in the total consideration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PulseM</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2021, the Company acquired 100% of the interest of Speetra, Inc. dba PulseM (“PulseM”), a provider of enterprise-level reputation management software for small businesses, for $34.4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MDTech</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2021, the Company acquired 100% of the interest of PM Ventures, LLC dba MDTech (“MDTech”), a provider of electronic charge capture solutions to physicians via its SaaS-based MD Coder application and suite of add-ons, for $15.8 million.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8, 2021, the Company acquired 100% of the interest of Timely Ltd. (“Timely”), a booking and business management software company, for $99.8 million. Timely is based in New Zealand and has operations in the United Kingdom and Australia, as well.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DrChrono</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18, 2021, the Company acquired 100% of the interest of DrChrono Inc. (“DrChrono”), an electronic health record and practice management provider, for $181.9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Acquisitions (unaudited)</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presents unaudited pro forma consolidated results of operations for the three and six months ended June 30, 2022 and 2021, as if the aforementioned 2021 acquisitions had occurred as of January 1, 2021. The Company did not consummate any transactions during the three and six months ended June 30, 2022; accordingly, no adjustments have been made to the results reported for that period. The pro forma information includes the business combination accounting effects resulting from these acquisitions, including interest expense of $3.7 million and $6.8 million for the three and six months ended June 30, 2021, respectively, to account for funds borrowed earlier, issuance of our common stock at earlier dates which impacts the calculation of basic and diluted net loss per share, removal of transaction costs of nil and $2.7 million for the three and six months ended June 30, 2021, respectively, and additional amortization expense of $3.0 million and $6.6 million for the three and six months ended June 30, 2021, respectively, resulting from the amortization of intangible assets beginning as of January 1, 2021. We prepared the pro forma financial information for the combined entities for comparative purposes only, and the information is not indicative of what actual results would have been if the acquisitions had occurred at the beginning of the periods presented, nor is the information intended to represent or be indicative of future 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27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2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28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6"/>
          </w:tcPr>
          <w:p>
            <w:pPr>
              <w:spacing w:after="0"/>
              <w:rPr>
                <w:sz w:val="20"/>
                <w:szCs w:val="20"/>
                <w:color w:val="auto"/>
              </w:rPr>
            </w:pPr>
            <w:r>
              <w:rPr>
                <w:rFonts w:ascii="Arial" w:cs="Arial" w:eastAsia="Arial" w:hAnsi="Arial"/>
                <w:sz w:val="18"/>
                <w:szCs w:val="18"/>
                <w:i w:val="1"/>
                <w:iCs w:val="1"/>
                <w:color w:val="auto"/>
                <w:w w:val="92"/>
              </w:rPr>
              <w:t>(in thousands, except per share amounts)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gridSpan w:val="5"/>
          </w:tcPr>
          <w:p>
            <w:pPr>
              <w:ind w:left="780"/>
              <w:spacing w:after="0"/>
              <w:rPr>
                <w:sz w:val="20"/>
                <w:szCs w:val="20"/>
                <w:color w:val="auto"/>
              </w:rPr>
            </w:pPr>
            <w:r>
              <w:rPr>
                <w:rFonts w:ascii="Arial" w:cs="Arial" w:eastAsia="Arial" w:hAnsi="Arial"/>
                <w:sz w:val="18"/>
                <w:szCs w:val="18"/>
                <w:i w:val="1"/>
                <w:iCs w:val="1"/>
                <w:color w:val="auto"/>
              </w:rPr>
              <w:t>(unaudited)</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254,911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(53,228)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per share (see Note 10)</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(68,333)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5"/>
        </w:trPr>
        <w:tc>
          <w:tcPr>
            <w:tcW w:w="518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5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pattern of recognition (timing of transfer of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12,328</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23,581</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202,375</w:t>
            </w: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121,050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225,956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141,732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112,773</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272,018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206,458</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19,498</w:t>
            </w:r>
          </w:p>
        </w:tc>
      </w:tr>
      <w:tr>
        <w:trPr>
          <w:trHeight w:val="263"/>
        </w:trPr>
        <w:tc>
          <w:tcPr>
            <w:tcW w:w="518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121,050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225,956</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Supplemental balance sheet information related to contracts from customers as of:</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3"/>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15,417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9,362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9,828</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r>
      <w:tr>
        <w:trPr>
          <w:trHeight w:val="27"/>
        </w:trPr>
        <w:tc>
          <w:tcPr>
            <w:tcW w:w="7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rights to consideration in exchange for products or services that have been transferred by 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unconditional and only the passage of time is required before payment is due.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Contract liabilities</w:t>
      </w:r>
      <w:r>
        <w:rPr>
          <w:rFonts w:ascii="Arial" w:cs="Arial" w:eastAsia="Arial" w:hAnsi="Arial"/>
          <w:sz w:val="17"/>
          <w:szCs w:val="17"/>
          <w:color w:val="auto"/>
        </w:rPr>
        <w:t>: Contract liabilities represent our obligation to transfer products or services to a customer for which consideration has been received in</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of the satisfaction of performance obligations. Short-term contract liabilities are included within deferred revenue on the consolidated balance sheets. Long-term contract liabilities are included within long-term deferred revenue on the consolidated balance sheets. Revenue recognized from the contract liability balance at December 31, 2021 was $18.5 million for the six months ended June 30,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June 30, 2022, was $23.1 million, which is comprised of contracts where the contract term under ASC 606 is in excess of one year. The Company expects to recognize approximately 57% of its remaining performance obligations as revenue within the next year, 27% of its remaining performance obligations as revenue the subsequent year, 11% of its remaining performance obligations as revenue in the third year, and the remainder during the two year period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5 years, which corresponds with the useful life of the related capitalized software. Short-term assets were $5.7 million and $4.8 million at June 30, 2022 and December 31, 2021, respectively, and long-term assets were $13.4 million and $11.9 million at June 30, 2022 and December 31, 2021, respectively. The Company recorded amortization expense within sales and marketing expense on the condensed consolidated statements of operations and comprehensive loss of $1.1 million and $0.7 million for the three months ended June 30, 2022 and 2021, respectively, and $2.0 million and $1.3 million for the six months ended June 30, 2022 and 2021, respectively. The Company recorded amortization expense within cost of revenues on the condensed consolidated statements of operations and comprehensive loss of $0.4 million and $0.2 million for the three months ended June 30, 2022 and 2021, respectively, and $0.8 million and $0.4 million for the six months ended June 30, 2022 and 2021, respectively.</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Arial" w:cs="Arial" w:eastAsia="Arial" w:hAnsi="Arial"/>
          <w:sz w:val="18"/>
          <w:szCs w:val="18"/>
          <w:i w:val="1"/>
          <w:iCs w:val="1"/>
          <w:color w:val="auto"/>
        </w:rPr>
        <w:t>Accounting for Other Assets and Deferred Costs</w:t>
      </w:r>
      <w:r>
        <w:rPr>
          <w:rFonts w:ascii="Arial" w:cs="Arial" w:eastAsia="Arial" w:hAnsi="Arial"/>
          <w:sz w:val="18"/>
          <w:szCs w:val="18"/>
          <w:color w:val="auto"/>
        </w:rPr>
        <w:t xml:space="preserve"> (“ASC 340-40”). The Company has elected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 for shipping and handling activities as fulfillment activities and recognize the associated expense when the transfer of control of the product has occurred, as permitted under the shipping and handling activities practical expedient.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560" w:type="dxa"/>
            <w:vAlign w:val="bottom"/>
          </w:tcPr>
          <w:p>
            <w:pPr>
              <w:spacing w:after="0"/>
              <w:rPr>
                <w:sz w:val="20"/>
                <w:szCs w:val="20"/>
                <w:color w:val="auto"/>
              </w:rPr>
            </w:pPr>
            <w:r>
              <w:rPr>
                <w:rFonts w:ascii="Arial" w:cs="Arial" w:eastAsia="Arial" w:hAnsi="Arial"/>
                <w:sz w:val="18"/>
                <w:szCs w:val="18"/>
                <w:color w:val="auto"/>
              </w:rPr>
              <w:t>Goodwill activity consisted of the following for the six months ended June 30, 2022 (in thousands):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9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921,416</w:t>
            </w:r>
          </w:p>
        </w:tc>
      </w:tr>
      <w:tr>
        <w:trPr>
          <w:trHeight w:val="270"/>
        </w:trPr>
        <w:tc>
          <w:tcPr>
            <w:tcW w:w="9560" w:type="dxa"/>
            <w:vAlign w:val="bottom"/>
          </w:tcPr>
          <w:p>
            <w:pPr>
              <w:ind w:left="140"/>
              <w:spacing w:after="0"/>
              <w:rPr>
                <w:sz w:val="20"/>
                <w:szCs w:val="20"/>
                <w:color w:val="auto"/>
              </w:rPr>
            </w:pPr>
            <w:r>
              <w:rPr>
                <w:rFonts w:ascii="Arial" w:cs="Arial" w:eastAsia="Arial" w:hAnsi="Arial"/>
                <w:sz w:val="18"/>
                <w:szCs w:val="18"/>
                <w:color w:val="auto"/>
              </w:rPr>
              <w:t>Measurement period adjustments</w:t>
            </w:r>
            <w:r>
              <w:rPr>
                <w:rFonts w:ascii="Arial" w:cs="Arial" w:eastAsia="Arial" w:hAnsi="Arial"/>
                <w:sz w:val="23"/>
                <w:szCs w:val="23"/>
                <w:color w:val="auto"/>
                <w:vertAlign w:val="superscript"/>
              </w:rPr>
              <w:t>(1)</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63"/>
        </w:trPr>
        <w:tc>
          <w:tcPr>
            <w:tcW w:w="95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914,024</w:t>
            </w:r>
          </w:p>
        </w:tc>
      </w:tr>
      <w:tr>
        <w:trPr>
          <w:trHeight w:val="21"/>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The $0.1 million of measurement period adjustments relates to acquisitions consummated during the year ended December 31,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Note 6. Intangible Assets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4280" w:type="dxa"/>
            <w:vAlign w:val="bottom"/>
          </w:tcPr>
          <w:p>
            <w:pPr>
              <w:spacing w:after="0"/>
              <w:rPr>
                <w:sz w:val="20"/>
                <w:szCs w:val="20"/>
                <w:color w:val="auto"/>
              </w:rPr>
            </w:pPr>
            <w:r>
              <w:rPr>
                <w:rFonts w:ascii="Arial" w:cs="Arial" w:eastAsia="Arial" w:hAnsi="Arial"/>
                <w:sz w:val="18"/>
                <w:szCs w:val="18"/>
                <w:color w:val="auto"/>
              </w:rPr>
              <w:t>Intangible assets consisted of the following as of:</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June 30, 2022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r>
      <w:tr>
        <w:trPr>
          <w:trHeight w:val="234"/>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379,676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50,708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55,111</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456,364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Net Book</w:t>
            </w:r>
          </w:p>
        </w:tc>
      </w:tr>
      <w:tr>
        <w:trPr>
          <w:trHeight w:val="234"/>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420,069</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40" w:type="dxa"/>
            <w:vAlign w:val="bottom"/>
          </w:tcPr>
          <w:p>
            <w:pPr>
              <w:jc w:val="center"/>
              <w:ind w:right="10"/>
              <w:spacing w:after="0"/>
              <w:rPr>
                <w:sz w:val="20"/>
                <w:szCs w:val="20"/>
                <w:color w:val="auto"/>
              </w:rPr>
            </w:pPr>
            <w:r>
              <w:rPr>
                <w:rFonts w:ascii="Arial" w:cs="Arial" w:eastAsia="Arial" w:hAnsi="Arial"/>
                <w:sz w:val="18"/>
                <w:szCs w:val="18"/>
                <w:color w:val="auto"/>
                <w:w w:val="89"/>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42,215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63,947</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245,879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$25.3 million and $22.5 million for the three months ended June 30, 2022 and 2021, respectively, and $50.5 million and $44.5 million for the six months ended June 30, 2022 and 2021,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Note 7. Property and Equipment</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780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23,890</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63"/>
        </w:trPr>
        <w:tc>
          <w:tcPr>
            <w:tcW w:w="78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13,509</w:t>
            </w:r>
          </w:p>
        </w:tc>
      </w:tr>
      <w:tr>
        <w:trPr>
          <w:trHeight w:val="21"/>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$1.1 million and $0.9 million for the three months ended June 30, 2022 and 2021, respectively, and $2.1 million and $1.8 million for the six months ended June 30, 2022 and 2021, respectively.</w:t>
      </w:r>
    </w:p>
    <w:p>
      <w:pPr>
        <w:sectPr>
          <w:pgSz w:w="11900" w:h="16838" w:orient="portrait"/>
          <w:cols w:equalWidth="0" w:num="1">
            <w:col w:w="11240"/>
          </w:cols>
          <w:pgMar w:left="320" w:top="175"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2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3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3120" w:type="dxa"/>
            <w:vAlign w:val="bottom"/>
            <w:gridSpan w:val="4"/>
          </w:tcPr>
          <w:p>
            <w:pPr>
              <w:ind w:left="880"/>
              <w:spacing w:after="0"/>
              <w:rPr>
                <w:sz w:val="20"/>
                <w:szCs w:val="20"/>
                <w:color w:val="auto"/>
              </w:rPr>
            </w:pPr>
            <w:r>
              <w:rPr>
                <w:rFonts w:ascii="Arial" w:cs="Arial" w:eastAsia="Arial" w:hAnsi="Arial"/>
                <w:sz w:val="18"/>
                <w:szCs w:val="18"/>
                <w:i w:val="1"/>
                <w:iCs w:val="1"/>
                <w:color w:val="auto"/>
              </w:rPr>
              <w:t>(in thousands)</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610"/>
              <w:spacing w:after="0"/>
              <w:rPr>
                <w:sz w:val="20"/>
                <w:szCs w:val="20"/>
                <w:color w:val="auto"/>
              </w:rPr>
            </w:pPr>
            <w:r>
              <w:rPr>
                <w:rFonts w:ascii="Arial" w:cs="Arial" w:eastAsia="Arial" w:hAnsi="Arial"/>
                <w:sz w:val="18"/>
                <w:szCs w:val="18"/>
                <w:color w:val="auto"/>
                <w:w w:val="90"/>
              </w:rPr>
              <w:t>38,903</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900"/>
              <w:spacing w:after="0"/>
              <w:rPr>
                <w:sz w:val="20"/>
                <w:szCs w:val="20"/>
                <w:color w:val="auto"/>
              </w:rPr>
            </w:pPr>
            <w:r>
              <w:rPr>
                <w:rFonts w:ascii="Arial" w:cs="Arial" w:eastAsia="Arial" w:hAnsi="Arial"/>
                <w:sz w:val="18"/>
                <w:szCs w:val="18"/>
                <w:color w:val="auto"/>
                <w:w w:val="98"/>
              </w:rPr>
              <w:t>31,960</w:t>
            </w:r>
          </w:p>
        </w:tc>
      </w:tr>
      <w:tr>
        <w:trPr>
          <w:trHeight w:val="270"/>
        </w:trPr>
        <w:tc>
          <w:tcPr>
            <w:tcW w:w="320" w:type="dxa"/>
            <w:vAlign w:val="bottom"/>
          </w:tcPr>
          <w:p>
            <w:pPr>
              <w:spacing w:after="0"/>
              <w:rPr>
                <w:sz w:val="23"/>
                <w:szCs w:val="23"/>
                <w:color w:val="auto"/>
              </w:rPr>
            </w:pPr>
          </w:p>
        </w:tc>
        <w:tc>
          <w:tcPr>
            <w:tcW w:w="1360" w:type="dxa"/>
            <w:vAlign w:val="bottom"/>
          </w:tcPr>
          <w:p>
            <w:pPr>
              <w:jc w:val="center"/>
              <w:ind w:left="590"/>
              <w:spacing w:after="0"/>
              <w:rPr>
                <w:sz w:val="20"/>
                <w:szCs w:val="20"/>
                <w:color w:val="auto"/>
              </w:rPr>
            </w:pPr>
            <w:r>
              <w:rPr>
                <w:rFonts w:ascii="Arial" w:cs="Arial" w:eastAsia="Arial" w:hAnsi="Arial"/>
                <w:sz w:val="18"/>
                <w:szCs w:val="18"/>
                <w:color w:val="auto"/>
                <w:w w:val="89"/>
              </w:rPr>
              <w:t>(10,300)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w w:val="94"/>
              </w:rPr>
              <w:t>(7,960)</w:t>
            </w:r>
          </w:p>
        </w:tc>
      </w:tr>
      <w:tr>
        <w:trPr>
          <w:trHeight w:val="27"/>
        </w:trPr>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610"/>
              <w:spacing w:after="0"/>
              <w:rPr>
                <w:sz w:val="20"/>
                <w:szCs w:val="20"/>
                <w:color w:val="auto"/>
              </w:rPr>
            </w:pPr>
            <w:r>
              <w:rPr>
                <w:rFonts w:ascii="Arial" w:cs="Arial" w:eastAsia="Arial" w:hAnsi="Arial"/>
                <w:sz w:val="18"/>
                <w:szCs w:val="18"/>
                <w:color w:val="auto"/>
                <w:w w:val="90"/>
              </w:rPr>
              <w:t>28,603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900"/>
              <w:spacing w:after="0"/>
              <w:rPr>
                <w:sz w:val="20"/>
                <w:szCs w:val="20"/>
                <w:color w:val="auto"/>
              </w:rPr>
            </w:pPr>
            <w:r>
              <w:rPr>
                <w:rFonts w:ascii="Arial" w:cs="Arial" w:eastAsia="Arial" w:hAnsi="Arial"/>
                <w:sz w:val="18"/>
                <w:szCs w:val="18"/>
                <w:color w:val="auto"/>
                <w:w w:val="98"/>
              </w:rPr>
              <w:t>24,000</w:t>
            </w:r>
          </w:p>
        </w:tc>
      </w:tr>
      <w:tr>
        <w:trPr>
          <w:trHeight w:val="27"/>
        </w:trPr>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440"/>
          </w:cols>
          <w:pgMar w:left="320" w:top="175" w:right="339" w:bottom="1440" w:gutter="0" w:footer="0" w:header="0"/>
          <w:type w:val="continuous"/>
        </w:sectPr>
      </w:pP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was $1.1 million and $0.8 million for the three months ended June 30, 2022 and 2021, respectively, and $2.3 million and $1.6 million for the six months ended June 30, 2022 and 2021, respectively. During the six months ended June 30, 2022 the Company recorded a charge to general and administrative on the accompanying condensed consolidated statements of operations and comprehensive loss for $0.5 million related to capitalized features no longer expected to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Note 9. Long-Term Debt</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 as of:</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6"/>
        </w:trPr>
        <w:tc>
          <w:tcPr>
            <w:tcW w:w="32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0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3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32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4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Term notes with interest payable monthly, interest rate at Adjusted LIBOR or Alternative Base Rate, plus</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03"/>
        </w:trPr>
        <w:tc>
          <w:tcPr>
            <w:tcW w:w="3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 xml:space="preserve">an applicable margin </w:t>
            </w:r>
            <w:r>
              <w:rPr>
                <w:rFonts w:ascii="Arial" w:cs="Arial" w:eastAsia="Arial" w:hAnsi="Arial"/>
                <w:sz w:val="18"/>
                <w:szCs w:val="18"/>
                <w:color w:val="auto"/>
                <w:w w:val="92"/>
                <w:shd w:val="clear" w:color="auto" w:fill="CCEEFF"/>
              </w:rPr>
              <w:t>of 3.25% (4.31% at</w:t>
            </w: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30, 2022) quarterly principal payments of 0.25% of</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7"/>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original principal balance with balloon payment due July 2028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545,875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548,625</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w w:val="92"/>
              </w:rPr>
              <w:t>Revolver with interest payable monthly, interest rate at Adjusted LIBOR or Alternative Base Rate, plus an</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applicable margin of 3.25% (4.92% at June 30, 2022), and outstanding balance due July 2026</w:t>
            </w:r>
          </w:p>
        </w:tc>
        <w:tc>
          <w:tcPr>
            <w:tcW w:w="3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Subordinated unsecured promissory note related to acquisition of Service Nation, Inc., interest paid-in-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kind, interest rate at 8.5% with balloon payment due September 2022</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w w:val="92"/>
              </w:rPr>
              <w:t>Subordinated unsecured promissory note related to acquisition of Technique Fitness, Inc. D/B/A Club OS,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interest paid-in-kind, interest rate at 7% with balloon payment due December 2022</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32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Principal debt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554,146</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(5,826)</w:t>
            </w:r>
          </w:p>
        </w:tc>
      </w:tr>
      <w:tr>
        <w:trPr>
          <w:trHeight w:val="27"/>
        </w:trPr>
        <w:tc>
          <w:tcPr>
            <w:tcW w:w="3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on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r>
      <w:tr>
        <w:trPr>
          <w:trHeight w:val="237"/>
        </w:trPr>
        <w:tc>
          <w:tcPr>
            <w:tcW w:w="7800" w:type="dxa"/>
            <w:vAlign w:val="bottom"/>
            <w:gridSpan w:val="2"/>
          </w:tcPr>
          <w:p>
            <w:pPr>
              <w:ind w:left="5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544,262</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546,127</w:t>
            </w:r>
          </w:p>
        </w:tc>
      </w:tr>
      <w:tr>
        <w:trPr>
          <w:trHeight w:val="27"/>
        </w:trPr>
        <w:tc>
          <w:tcPr>
            <w:tcW w:w="3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63"/>
        </w:trPr>
        <w:tc>
          <w:tcPr>
            <w:tcW w:w="7800" w:type="dxa"/>
            <w:vAlign w:val="bottom"/>
            <w:gridSpan w:val="2"/>
          </w:tcPr>
          <w:p>
            <w:pPr>
              <w:ind w:left="560"/>
              <w:spacing w:after="0"/>
              <w:rPr>
                <w:sz w:val="20"/>
                <w:szCs w:val="20"/>
                <w:color w:val="auto"/>
              </w:rPr>
            </w:pPr>
            <w:r>
              <w:rPr>
                <w:rFonts w:ascii="Arial" w:cs="Arial" w:eastAsia="Arial" w:hAnsi="Arial"/>
                <w:sz w:val="18"/>
                <w:szCs w:val="18"/>
                <w:color w:val="auto"/>
              </w:rPr>
              <w:t>Long-term portion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533,062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535,184</w:t>
            </w:r>
          </w:p>
        </w:tc>
      </w:tr>
      <w:tr>
        <w:trPr>
          <w:trHeight w:val="20"/>
        </w:trPr>
        <w:tc>
          <w:tcPr>
            <w:tcW w:w="3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2021, the Company entered into a credit facility (“Credit Agreement”) that includes term loans in an aggregate principal amount of $350.0 million (“Initial Term Loans”), a revolver with a capacity of $190.0 million (“Revolver”) and a sub-limit of the Revolver available for letters of credit up to an aggregate face amount of $20.0 million. The Initial Term Loans were used to retire the Company’s debt arrangements that were outstanding prior to the Initial Public Offering (“IPO”).</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2021, the Company had $35.0 million outstanding under the Revolver, and borrowed the remaining capacity of the Revolver to fund the acquisition of DrChrono. Subsequently in the same month, the Company received additional term loans in an aggregate principal amount of $200.0 million (together with the Initial Term Loans, the “Term Loans”), the proceeds of which were used to repay the outstanding principal balance of the Revolver of $190.0 million and for general corporate purposes. The Initial Term Loans, Revolver and Additional Term Loans are collectively referred to herein as the (“Credit Facilities”).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June 30, 2022,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$521.6 million and $552.8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1, 2021, the Company also had outstanding subordinated promissory notes (“Legacy Subordinated Notes”) that included paid-in-kind (“PIK”) interest. The interest on the Legacy Subordinated Notes is all PIK and is due upon maturity. Total PIK interest was $0.1 million for each of the three months ended June 30, 2022 and 2021, and $0.2 million for each of the six months ended June 30, 2022 and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Credit Facilities are subject to certain financial and nonfinancial covenants and is secured by substantially all assets of the Company. As of June 30, 2022, the Company was in compliance with all of its covenants.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w w:val="92"/>
              </w:rPr>
              <w:t>Aggregate maturities of the Company’s debt for the years ending December 31 are as follows as of June 30, 2022 (in thousands):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956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2022 (remaining six months)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5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521,125</w:t>
            </w:r>
          </w:p>
        </w:tc>
      </w:tr>
      <w:tr>
        <w:trPr>
          <w:trHeight w:val="27"/>
        </w:trPr>
        <w:tc>
          <w:tcPr>
            <w:tcW w:w="9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551,748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Included in aggregate maturities is future paid-in-kind interest totaling $0.1 million that will accrue over the term of the related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5, 2021, the Company amended its Certificate of Incorporation (“Third Amended and Restated Certificate of Incorporation”) to increase the number of authorized shares of Preferred Stock from 125,000,000 shares to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 In May 2021, the Company issued 7.9 million shares of Series C for proceeds of $109.8 million net of issuance costs.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2026.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 of $15.1 million for the six months ended June 30, 2021.</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of the IPO, the Company filed an Amended and Restated Certificate of Incorporation on July 6, 2021 with the Secretary of State of the State of Delaware to authorize the issuance up to 2,050,000,000 shares, par value $0.00001 per share, consisting of 2,000,000,000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50,000,000 shares of preferred stock. 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14, 2022, our Board of Directors approved a stock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The Company repurchased and retired 296,046 shares of common stock for $2.7 million during the three and six months ended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2021, as of January 1, 2022 the number of shares reserved for issuance under the 2021 Plan increased by 5.9 million.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board of directors adopted the 2021 Employee Stock Purchase Plan (the “ESPP”). For more information on the ESPP, refer to Note 11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stock unit (“RSU”) and stock option activity for the six months ended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120" w:type="dxa"/>
            <w:vAlign w:val="bottom"/>
          </w:tcPr>
          <w:p>
            <w:pPr>
              <w:ind w:left="620"/>
              <w:spacing w:after="0"/>
              <w:rPr>
                <w:sz w:val="20"/>
                <w:szCs w:val="20"/>
                <w:color w:val="auto"/>
              </w:rPr>
            </w:pPr>
            <w:r>
              <w:rPr>
                <w:rFonts w:ascii="Arial" w:cs="Arial" w:eastAsia="Arial" w:hAnsi="Arial"/>
                <w:sz w:val="18"/>
                <w:szCs w:val="18"/>
                <w:b w:val="1"/>
                <w:bCs w:val="1"/>
                <w:color w:val="auto"/>
                <w:w w:val="99"/>
              </w:rPr>
              <w:t>RSUs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w w:val="91"/>
              </w:rPr>
              <w:t>Options</w:t>
            </w:r>
          </w:p>
        </w:tc>
      </w:tr>
      <w:tr>
        <w:trPr>
          <w:trHeight w:val="27"/>
        </w:trPr>
        <w:tc>
          <w:tcPr>
            <w:tcW w:w="78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i w:val="1"/>
                <w:iCs w:val="1"/>
                <w:color w:val="auto"/>
                <w:w w:val="91"/>
              </w:rPr>
              <w:t>(in thousands)</w:t>
            </w:r>
          </w:p>
        </w:tc>
        <w:tc>
          <w:tcPr>
            <w:tcW w:w="118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50"/>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11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17,638</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11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92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total unrecognized compensation expense was $23.6 million and $34.2 million related to outstanding restricted stock units and outstanding stock options,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classified in the unaudited condensed consolidated statements of operations and comprehensive loss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60" w:type="dxa"/>
            <w:vAlign w:val="bottom"/>
            <w:gridSpan w:val="6"/>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11,819</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6,508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w w:val="90"/>
              </w:rPr>
              <w:t>Note 12. Net Loss Per Share Attributable to Common Stockholders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00" w:type="dxa"/>
            <w:vAlign w:val="bottom"/>
            <w:gridSpan w:val="10"/>
          </w:tcPr>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 as of:</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7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9"/>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9"/>
          </w:tcPr>
          <w:p>
            <w:pPr>
              <w:jc w:val="right"/>
              <w:ind w:right="7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Accretion of Series B to redemption value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0" w:type="dxa"/>
            <w:vAlign w:val="bottom"/>
          </w:tcPr>
          <w:p>
            <w:pPr>
              <w:spacing w:after="0"/>
              <w:rPr>
                <w:sz w:val="1"/>
                <w:szCs w:val="1"/>
                <w:color w:val="auto"/>
              </w:rPr>
            </w:pPr>
          </w:p>
        </w:tc>
      </w:tr>
      <w:tr>
        <w:trPr>
          <w:trHeight w:val="209"/>
        </w:trPr>
        <w:tc>
          <w:tcPr>
            <w:tcW w:w="5180" w:type="dxa"/>
            <w:vAlign w:val="bottom"/>
          </w:tcPr>
          <w:p>
            <w:pPr>
              <w:ind w:left="180"/>
              <w:spacing w:after="0"/>
              <w:rPr>
                <w:sz w:val="20"/>
                <w:szCs w:val="20"/>
                <w:color w:val="auto"/>
              </w:rPr>
            </w:pPr>
            <w:r>
              <w:rPr>
                <w:rFonts w:ascii="Arial" w:cs="Arial" w:eastAsia="Arial" w:hAnsi="Arial"/>
                <w:sz w:val="18"/>
                <w:szCs w:val="18"/>
                <w:color w:val="auto"/>
              </w:rPr>
              <w:t>Numerator for basic and diluted EPS – net loss attributable to</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(55,434)</w:t>
            </w:r>
          </w:p>
        </w:tc>
        <w:tc>
          <w:tcPr>
            <w:tcW w:w="0" w:type="dxa"/>
            <w:vAlign w:val="bottom"/>
          </w:tcPr>
          <w:p>
            <w:pPr>
              <w:spacing w:after="0"/>
              <w:rPr>
                <w:sz w:val="1"/>
                <w:szCs w:val="1"/>
                <w:color w:val="auto"/>
              </w:rPr>
            </w:pPr>
          </w:p>
        </w:tc>
      </w:tr>
      <w:tr>
        <w:trPr>
          <w:trHeight w:val="235"/>
        </w:trPr>
        <w:tc>
          <w:tcPr>
            <w:tcW w:w="5180" w:type="dxa"/>
            <w:vAlign w:val="bottom"/>
          </w:tcPr>
          <w:p>
            <w:pPr>
              <w:ind w:left="360"/>
              <w:spacing w:after="0"/>
              <w:rPr>
                <w:sz w:val="20"/>
                <w:szCs w:val="20"/>
                <w:color w:val="auto"/>
              </w:rPr>
            </w:pPr>
            <w:r>
              <w:rPr>
                <w:rFonts w:ascii="Arial" w:cs="Arial" w:eastAsia="Arial" w:hAnsi="Arial"/>
                <w:sz w:val="18"/>
                <w:szCs w:val="18"/>
                <w:color w:val="auto"/>
              </w:rPr>
              <w:t>common stockholders</w:t>
            </w: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Denominator for basic and diluted EPS – weighted-average shares of</w:t>
            </w: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195,650,334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43,732,225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195,541,998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43,483,144</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5"/>
              </w:rPr>
              <w:t>common stock outstanding used in computing net loss per share</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attributable to common</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240" w:type="dxa"/>
            <w:vAlign w:val="bottom"/>
            <w:gridSpan w:val="3"/>
          </w:tcPr>
          <w:p>
            <w:pPr>
              <w:ind w:left="140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 and unvested RSUs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19,378,792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14,893,093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Outstanding convertible preferred stock (Series A and B)</w:t>
            </w:r>
          </w:p>
        </w:tc>
        <w:tc>
          <w:tcPr>
            <w:tcW w:w="22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125,040,682</w:t>
            </w:r>
          </w:p>
        </w:tc>
      </w:tr>
      <w:tr>
        <w:trPr>
          <w:trHeight w:val="27"/>
        </w:trPr>
        <w:tc>
          <w:tcPr>
            <w:tcW w:w="78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19,378,792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139,933,775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3"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hanging="328"/>
        <w:spacing w:after="0" w:line="293"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Valuations based on quoted prices for similar assets or liabilities, quoted prices for identical assets or liabilities in markets that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or other inputs that are observable or can be corroborated by observable data for substantially the full term of the assets or liabilities.</w:t>
      </w:r>
    </w:p>
    <w:p>
      <w:pPr>
        <w:spacing w:after="0" w:line="1" w:lineRule="exact"/>
        <w:rPr>
          <w:rFonts w:ascii="Arial" w:cs="Arial" w:eastAsia="Arial" w:hAnsi="Arial"/>
          <w:sz w:val="16"/>
          <w:szCs w:val="16"/>
          <w:color w:val="auto"/>
        </w:rPr>
      </w:pPr>
    </w:p>
    <w:p>
      <w:pPr>
        <w:ind w:left="660" w:hanging="328"/>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Liabilities historically valued with Level 3 inputs on a recurring basis are contingent consideration.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contract liabilities and accounts payable approximate their fair value because of the short-term nature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three and six months ended June 30, 2022 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June 30, 2022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w w:val="92"/>
              </w:rPr>
              <w:t>Balance Sheet Classification</w:t>
            </w: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ind w:left="820"/>
              <w:spacing w:after="0"/>
              <w:rPr>
                <w:sz w:val="20"/>
                <w:szCs w:val="20"/>
                <w:color w:val="auto"/>
              </w:rPr>
            </w:pPr>
            <w:r>
              <w:rPr>
                <w:rFonts w:ascii="Arial" w:cs="Arial" w:eastAsia="Arial" w:hAnsi="Arial"/>
                <w:sz w:val="18"/>
                <w:szCs w:val="18"/>
                <w:color w:val="auto"/>
              </w:rPr>
              <w:t>—  $</w:t>
            </w:r>
          </w:p>
        </w:tc>
        <w:tc>
          <w:tcPr>
            <w:tcW w:w="1440" w:type="dxa"/>
            <w:vAlign w:val="bottom"/>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14,373</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Cash equivalents</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w w:val="92"/>
              </w:rPr>
              <w:t>Balance Sheet Classification</w:t>
            </w: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77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Cash equivalents</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current liabilities</w:t>
            </w: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opening and closing balance for contingent consideration measured at fair value on a recurring basis using significant unobservable inputs (Level 3) during the six months ended June 30,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Amounts settled through payment</w:t>
            </w:r>
          </w:p>
        </w:tc>
        <w:tc>
          <w:tcPr>
            <w:tcW w:w="9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9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900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provision for income taxes in interim periods is based on our estimated annual effective tax rate. We record cumulative adjustments in the quarter in which a change in the estimated annual effective rate is determined.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(expense) was ($0.1 million) and ($0.4 million) for the three months ended June 30, 2022</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2021, respectively, and $5.7 million and $3.2 million for the six months ended June 30, 2022 and 2021, respectively. Our effective income tax rate was (0.6%) and (1.5%) for the three months ended June 30, 2022 and 2021, respectively, and 17.8% and 7.3% for the six months ended June 30, 2022 and 2021,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difference in the effective income tax rate was primarily driven by discrete items, including a California law change and an intercompany intellectual property sale in the six months ended June 30, 2022 and acquisition accounting and a United Kingdom corporate income tax rate change in the three and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long-lived assets by geographic area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28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7"/>
        </w:trPr>
        <w:tc>
          <w:tcPr>
            <w:tcW w:w="72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40" w:type="dxa"/>
            <w:vAlign w:val="bottom"/>
            <w:gridSpan w:val="3"/>
          </w:tcPr>
          <w:p>
            <w:pPr>
              <w:jc w:val="right"/>
              <w:ind w:right="1370"/>
              <w:spacing w:after="0"/>
              <w:rPr>
                <w:sz w:val="20"/>
                <w:szCs w:val="20"/>
                <w:color w:val="auto"/>
              </w:rPr>
            </w:pPr>
            <w:r>
              <w:rPr>
                <w:rFonts w:ascii="Arial" w:cs="Arial" w:eastAsia="Arial" w:hAnsi="Arial"/>
                <w:sz w:val="18"/>
                <w:szCs w:val="18"/>
                <w:i w:val="1"/>
                <w:iCs w:val="1"/>
                <w:color w:val="auto"/>
              </w:rPr>
              <w:t>(in thousands)</w:t>
            </w:r>
          </w:p>
        </w:tc>
      </w:tr>
      <w:tr>
        <w:trPr>
          <w:trHeight w:val="81"/>
        </w:trPr>
        <w:tc>
          <w:tcPr>
            <w:tcW w:w="7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39,036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2,548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2021 (the “Annual Report on Form 10-K”). Additionally, our historical results are not necessarily indicative of the results that may be expected for any period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over 600,000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14" w:lineRule="exact"/>
        <w:rPr>
          <w:sz w:val="20"/>
          <w:szCs w:val="20"/>
          <w:color w:val="auto"/>
        </w:rPr>
      </w:pPr>
    </w:p>
    <w:p>
      <w:pPr>
        <w:jc w:val="both"/>
        <w:ind w:left="500" w:hanging="168"/>
        <w:spacing w:after="0" w:line="301" w:lineRule="auto"/>
        <w:tabs>
          <w:tab w:leader="none" w:pos="49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4" w:lineRule="exact"/>
        <w:rPr>
          <w:rFonts w:ascii="Arial" w:cs="Arial" w:eastAsia="Arial" w:hAnsi="Arial"/>
          <w:sz w:val="16"/>
          <w:szCs w:val="16"/>
          <w:color w:val="auto"/>
        </w:rPr>
      </w:pPr>
    </w:p>
    <w:p>
      <w:pPr>
        <w:jc w:val="both"/>
        <w:ind w:left="500" w:hanging="168"/>
        <w:spacing w:after="0" w:line="255" w:lineRule="auto"/>
        <w:tabs>
          <w:tab w:leader="none" w:pos="49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19" w:lineRule="exact"/>
        <w:rPr>
          <w:rFonts w:ascii="Arial" w:cs="Arial" w:eastAsia="Arial" w:hAnsi="Arial"/>
          <w:sz w:val="18"/>
          <w:szCs w:val="18"/>
          <w:b w:val="1"/>
          <w:bCs w:val="1"/>
          <w:color w:val="auto"/>
        </w:rPr>
      </w:pPr>
    </w:p>
    <w:p>
      <w:pPr>
        <w:jc w:val="both"/>
        <w:ind w:left="500" w:hanging="168"/>
        <w:spacing w:after="0" w:line="25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Solutions: </w:t>
      </w:r>
      <w:r>
        <w:rPr>
          <w:rFonts w:ascii="Arial" w:cs="Arial" w:eastAsia="Arial" w:hAnsi="Arial"/>
          <w:sz w:val="18"/>
          <w:szCs w:val="18"/>
          <w:color w:val="auto"/>
        </w:rPr>
        <w:t>Our Customer Experience Solutions modernize how businesses engage and interact with customers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NPS-based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11" w:lineRule="exact"/>
        <w:rPr>
          <w:sz w:val="20"/>
          <w:szCs w:val="20"/>
          <w:color w:val="auto"/>
        </w:rPr>
      </w:pPr>
    </w:p>
    <w:p>
      <w:pPr>
        <w:jc w:val="both"/>
        <w:ind w:left="500" w:hanging="168"/>
        <w:spacing w:after="0" w:line="273" w:lineRule="auto"/>
        <w:tabs>
          <w:tab w:leader="none" w:pos="49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Experience Solutions to help customers build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benefits from attractive unit economics. Approximately 95% of our revenue in the six months ended June 30, 2022 and 2021 was recurring or re-occurring, and we maintained an annualized net revenue retention rate of more than 100% for the quarter ended June 30, 2022.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calculation of net pro forma revenue retention rate remains consistent with prior periods. 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acquire companies to deepen our competitive moats in existing verticals, and enter new verticals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caused economies, businesses, markets and communities around the globe to be disrupted, and in many cases, shut-down. In the interest of public health, many governments closed physical stores and business locations deemed to be non-essential, which caused increased unemployment levels and businesses to permanently close. Many SMBs have been adversely impacted by the COVID-19 pandemic, and as a result, certain of our business operations were negatively impacted, while others have benefited from customers shifting to technology-focused, digital-first business models. A McKinsey survey from October 2020 revealed that global business executives have accelerated the digitization of their customer and supply-chain interactions by as much as three to four years. Although we cannot predict the COVID-19 pandemic’s future impacts on the global economy, we believe that our business is well positioned to be a partner-of-choice for new customers, to capitalize on the growing trend of digital transformation and to benefit from the revival of the SMB economy.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Given that the COVID-19 pandemic continues to evolve, the extent to which it may further impact our financial condition, results of operations, or liquidity continues to be uncertain and difficult to predict. Any further impact is likely to vary by specific verticals, solutions and geographies, with the diversity of our customer base potentially moderating the overall effect. For more information regarding the potential impact of the COVID-19 pandemic on our business, refer to Part II. Item 1A. </w:t>
      </w:r>
      <w:r>
        <w:rPr>
          <w:rFonts w:ascii="Arial" w:cs="Arial" w:eastAsia="Arial" w:hAnsi="Arial"/>
          <w:sz w:val="17"/>
          <w:szCs w:val="17"/>
          <w:i w:val="1"/>
          <w:iCs w:val="1"/>
          <w:color w:val="auto"/>
        </w:rPr>
        <w:t>“Risk Factors—Risks Related to our Business—The outbreak of the novel strain of coronavirus disease has impacted,</w:t>
      </w:r>
      <w:r>
        <w:rPr>
          <w:rFonts w:ascii="Arial" w:cs="Arial" w:eastAsia="Arial" w:hAnsi="Arial"/>
          <w:sz w:val="17"/>
          <w:szCs w:val="17"/>
          <w:color w:val="auto"/>
        </w:rPr>
        <w:t xml:space="preserve"> </w:t>
      </w:r>
      <w:r>
        <w:rPr>
          <w:rFonts w:ascii="Arial" w:cs="Arial" w:eastAsia="Arial" w:hAnsi="Arial"/>
          <w:sz w:val="17"/>
          <w:szCs w:val="17"/>
          <w:i w:val="1"/>
          <w:iCs w:val="1"/>
          <w:color w:val="auto"/>
        </w:rPr>
        <w:t>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performance and future success depends on a number of factors that present significant opportunities for us but also pose risks and challenges. For discussion of these factors, please see “Key Factors Affecting Our Performance” in the Management’s Discussion and Analysis section of our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results and measures of performance determined in accordance with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 Forma Revenue Growth rate was 16.1% and 18.0% for the three and six months ended June 30, 2022, respectively, reflective of the underlying growth in our business including new customers and providing more solutions to existing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81"/>
        </w:trPr>
        <w:tc>
          <w:tcPr>
            <w:tcW w:w="3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96,542</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(2)</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75,521</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183,820</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(4)</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140,166</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5,601</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4,673</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11,154</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9,260</w:t>
            </w:r>
          </w:p>
        </w:tc>
        <w:tc>
          <w:tcPr>
            <w:tcW w:w="360" w:type="dxa"/>
            <w:vAlign w:val="bottom"/>
          </w:tcPr>
          <w:p>
            <w:pPr>
              <w:spacing w:after="0"/>
              <w:rPr>
                <w:sz w:val="21"/>
                <w:szCs w:val="2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9"/>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102,143</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80,194</w:t>
            </w: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194,974</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149,426</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right="20" w:hanging="328"/>
        <w:spacing w:after="0" w:line="255"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June 30, 2022, gross profit represents total revenues of $157.2 million less cost of revenues (exclusive of depreciation and amortization) of $55.1 million, amortization of developed technology of $4.1 million, amortization of capitalized software of $1.2 million and depreciation expense (allocated to cost of revenues) of $0.3 million.</w:t>
      </w:r>
    </w:p>
    <w:p>
      <w:pPr>
        <w:spacing w:after="0" w:line="2" w:lineRule="exact"/>
        <w:rPr>
          <w:rFonts w:ascii="Arial" w:cs="Arial" w:eastAsia="Arial" w:hAnsi="Arial"/>
          <w:sz w:val="18"/>
          <w:szCs w:val="18"/>
          <w:color w:val="auto"/>
        </w:rPr>
      </w:pPr>
    </w:p>
    <w:p>
      <w:pPr>
        <w:jc w:val="both"/>
        <w:ind w:left="660" w:right="20" w:hanging="328"/>
        <w:spacing w:after="0" w:line="250"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June 30, 2021, gross profit represents total revenues of $121.1 million less cost of revenues (exclusive of depreciation and amortization) of $40.9 million, amortization of developed technology of $3.5 million, amortization of capitalized software of $0.8 million and depreciation expense (allocated to cost of revenues) of $0.4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six months ended June 30, 2022, gross profit represents total revenues of $300.8 million less cost of revenues (exclusive of depreciation and amortization) of $105.8 million, amortization of developed technology of $8.3 million, amortization of capitalized software of $2.3 million and depreciation expense (allocated to cost of revenues) of $0.6 million.</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six months ended June 30, 2021, gross profit represents total revenues of $226.0 million less cost of revenues (exclusive of depreciation and amortization) of $76.5 million, amortization of developed technology of $6.9 million, amortization of capitalized software of $1.6 million and depreciation expense (allocated to cost of revenues) of $0.8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calculate Adjusted EBITDA as net loss adjusted to exclude interest and other expense, net, income tax (benefit) expense,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Six months ended</w:t>
            </w:r>
          </w:p>
        </w:tc>
        <w:tc>
          <w:tcPr>
            <w:tcW w:w="1020" w:type="dxa"/>
            <w:vAlign w:val="bottom"/>
          </w:tcPr>
          <w:p>
            <w:pPr>
              <w:spacing w:after="0"/>
              <w:rPr>
                <w:sz w:val="18"/>
                <w:szCs w:val="18"/>
                <w:color w:val="auto"/>
              </w:rPr>
            </w:pPr>
          </w:p>
        </w:tc>
      </w:tr>
      <w:tr>
        <w:trPr>
          <w:trHeight w:val="234"/>
        </w:trPr>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b w:val="1"/>
                <w:bCs w:val="1"/>
                <w:color w:val="auto"/>
                <w:w w:val="84"/>
              </w:rPr>
              <w:t>2021</w:t>
            </w:r>
          </w:p>
        </w:tc>
      </w:tr>
      <w:tr>
        <w:trPr>
          <w:trHeight w:val="27"/>
        </w:trPr>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4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3"/>
          </w:tcPr>
          <w:p>
            <w:pPr>
              <w:jc w:val="right"/>
              <w:ind w:right="230"/>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1"/>
        </w:trPr>
        <w:tc>
          <w:tcPr>
            <w:tcW w:w="4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(26,190)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26,114</w:t>
            </w: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(5,662)</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47,921</w:t>
            </w: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Other amortization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Acquisition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43"/>
        </w:trPr>
        <w:tc>
          <w:tcPr>
            <w:tcW w:w="472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12,643</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12,104</w:t>
            </w:r>
          </w:p>
        </w:tc>
      </w:tr>
      <w:tr>
        <w:trPr>
          <w:trHeight w:val="27"/>
        </w:trPr>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non-recurring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63"/>
        </w:trPr>
        <w:tc>
          <w:tcPr>
            <w:tcW w:w="47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53,711</w:t>
            </w:r>
          </w:p>
        </w:tc>
        <w:tc>
          <w:tcPr>
            <w:tcW w:w="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48,883</w:t>
            </w: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Significant Judgments and Estimates.”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management and blog automation and (ii) re-occurring fees paid by service professionals for consumer leads generated by our various platforms.</w:t>
      </w: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and six months ended June 30, 2022, revenue from Subscription and Transaction Fees increased 35.8% and 39.5% compared to the three and six months ended June 30, 2021, respectively, whereas Marketing Technology Solutions revenue increased 10.0% and 13.4%, respectively.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and marketing expense consist primarily of employee costs for our sales and marketing personnel, including salaries, benefits, bonuses, stock 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on an absolute dollar basis for the foreseeable future as we continue to increase investments to support our growth. We also anticipate that sales and marketing expenses will increase as a percentage of revenue in the near and medium-term.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included in our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comparability of our operating results is impacted by our business combinations and acquisitions. In our discussion of changes in our results of operations for the three and six months ended June 30, 2022 compared to the three and six months ended June 30, 2021,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115,648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85,136</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223,649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160,331</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57,364</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8,261</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225,956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20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76,530</w:t>
            </w:r>
          </w:p>
        </w:tc>
      </w:tr>
      <w:tr>
        <w:trPr>
          <w:trHeight w:val="270"/>
        </w:trPr>
        <w:tc>
          <w:tcPr>
            <w:tcW w:w="5200" w:type="dxa"/>
            <w:vAlign w:val="bottom"/>
          </w:tcPr>
          <w:p>
            <w:pPr>
              <w:ind w:left="1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42,491</w:t>
            </w:r>
          </w:p>
        </w:tc>
      </w:tr>
      <w:tr>
        <w:trPr>
          <w:trHeight w:val="27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r>
      <w:tr>
        <w:trPr>
          <w:trHeight w:val="270"/>
        </w:trPr>
        <w:tc>
          <w:tcPr>
            <w:tcW w:w="5200" w:type="dxa"/>
            <w:vAlign w:val="bottom"/>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54,017</w:t>
            </w:r>
          </w:p>
        </w:tc>
      </w:tr>
      <w:tr>
        <w:trPr>
          <w:trHeight w:val="27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47,921</w:t>
            </w:r>
          </w:p>
        </w:tc>
      </w:tr>
      <w:tr>
        <w:trPr>
          <w:trHeight w:val="237"/>
        </w:trPr>
        <w:tc>
          <w:tcPr>
            <w:tcW w:w="52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243,331</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(26,114)</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 before income tax benefit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(43,489)</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8"/>
              </w:rPr>
              <w:t>(1) Includes stock-based compensation expense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27"/>
        </w:trPr>
        <w:tc>
          <w:tcPr>
            <w:tcW w:w="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r>
      <w:tr>
        <w:trPr>
          <w:trHeight w:val="27"/>
        </w:trPr>
        <w:tc>
          <w:tcPr>
            <w:tcW w:w="3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7"/>
        </w:trPr>
        <w:tc>
          <w:tcPr>
            <w:tcW w:w="3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
        </w:trPr>
        <w:tc>
          <w:tcPr>
            <w:tcW w:w="3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3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3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3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11,819</w:t>
            </w:r>
          </w:p>
        </w:tc>
      </w:tr>
      <w:tr>
        <w:trPr>
          <w:trHeight w:val="27"/>
        </w:trPr>
        <w:tc>
          <w:tcPr>
            <w:tcW w:w="32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20" w:type="dxa"/>
            <w:vAlign w:val="bottom"/>
          </w:tcPr>
          <w:p>
            <w:pPr>
              <w:spacing w:after="0"/>
              <w:rPr>
                <w:sz w:val="24"/>
                <w:szCs w:val="24"/>
                <w:color w:val="auto"/>
              </w:rPr>
            </w:pPr>
          </w:p>
        </w:tc>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12,104</w:t>
            </w:r>
          </w:p>
        </w:tc>
      </w:tr>
      <w:tr>
        <w:trPr>
          <w:trHeight w:val="20"/>
        </w:trPr>
        <w:tc>
          <w:tcPr>
            <w:tcW w:w="3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2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60" w:type="dxa"/>
            <w:vAlign w:val="bottom"/>
            <w:gridSpan w:val="6"/>
          </w:tcPr>
          <w:p>
            <w:pPr>
              <w:ind w:left="36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81"/>
        </w:trPr>
        <w:tc>
          <w:tcPr>
            <w:tcW w:w="5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115,648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85,136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30,512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63.5 %</w:t>
            </w:r>
          </w:p>
        </w:tc>
      </w:tr>
      <w:tr>
        <w:trPr>
          <w:trHeight w:val="27"/>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157,246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96"/>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60" w:type="dxa"/>
            <w:vAlign w:val="bottom"/>
            <w:gridSpan w:val="6"/>
          </w:tcPr>
          <w:p>
            <w:pPr>
              <w:ind w:left="36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81"/>
        </w:trPr>
        <w:tc>
          <w:tcPr>
            <w:tcW w:w="5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223,649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160,331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39.5 %</w:t>
            </w: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46.6 %</w:t>
            </w:r>
          </w:p>
        </w:tc>
      </w:tr>
      <w:tr>
        <w:trPr>
          <w:trHeight w:val="27"/>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225,956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increased $36.2 million or 29.9% and $74.9 million or 33.1% for the three and six months ended June 30, 2022, respectively, as compared to the corresponding periods in 2021. These increases were primarily driven b</w:t>
      </w:r>
      <w:r>
        <w:rPr>
          <w:rFonts w:ascii="Arial" w:cs="Arial" w:eastAsia="Arial" w:hAnsi="Arial"/>
          <w:sz w:val="17"/>
          <w:szCs w:val="17"/>
          <w:b w:val="1"/>
          <w:bCs w:val="1"/>
          <w:color w:val="auto"/>
        </w:rPr>
        <w:t>y</w:t>
      </w:r>
      <w:r>
        <w:rPr>
          <w:rFonts w:ascii="Arial" w:cs="Arial" w:eastAsia="Arial" w:hAnsi="Arial"/>
          <w:sz w:val="17"/>
          <w:szCs w:val="17"/>
          <w:color w:val="auto"/>
        </w:rPr>
        <w:t xml:space="preserve"> increases in Subscription and Transaction Fees of $30.5 million and $63.3 million, respectively, and Marketing Technology Solutions of $3.2 million and $7.7 million, respectively. The increases in Subscription and Transaction Fees related to growth in our customer base, higher transaction volumes processed through our payments platform and revenue earned from acquisitions completed in 2021. The increases in Marketing Technology Solutions related to growth in customers using our digital marketing applications and an increase in consumer leads generated by our platforms. Included in revenues for the three and six months ended June 30, 2022 is $17.7 million and $34.8 million, respectively, of revenue from acquisitions closed subsequent to June 30,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55,103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40,856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14,247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49"/>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105,848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76,530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29,318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r>
      <w:tr>
        <w:trPr>
          <w:trHeight w:val="243"/>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-2048510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-2048510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-676910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-676910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revenues increased by $14.2 million or 34.9% and $29.3 million or 38.3% for the three and six months ended June 30, 2022, respectively, as compared to the corresponding periods in 2021. These increases are primarily comprised of an additional $3.9 million and $8.1 million of media spend, respectively, $2.0 million and $4.9 million of personnel and compensation expense, respectively, $2.2 million and $4.9 million of outsourced services, respectively, and $2.3 million and $3.8 million of application programming interface fees, respectively. As a percentage of revenue, cost of revenues was 35.0% and 33.8% for the three months ended June 30, 2022 and 2021, respectively, and 35.2% and 33.9% for the six months ended June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29,946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7,144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60,091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17,600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$7.1 million or 31.3% and $17.6 million or 41.4% for the three and six months ended June 30, 2022, respectively, as compared to the corresponding periods in 2021. These increases were primarily driven by an additional $3.3 million and $9.4 million of personnel and compensation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respectively, $1.2 million and $3.0 million of advertising spend, respectively, and $1.0 million and $1.6 million of conference expense, respectively, due to the continued investment in growth through personnel and various marketing channels. As a percentage of revenue, sales and marketing was 19.0% and 18.8% for the three months ended June 30, 2022 and 2021, respectively, and 20.0% and 18.8% for the six months ended June 30, 2022 and 2021,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17,423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5,376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35,060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22,372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12,688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expenses increased by $5.4 million or 44.6% and $12.7 million or 56.7% for the three and six months ended June 30, 2022, respectively, as compared to the corresponding periods in 2021. These increases were primarily driven by additional product development-related personnel expenses of $3.4 million and $9.6 million, respectively, as a result of investments in our technology teams to support our various solutions as well as centralized security operations, information technology and cloud engineering. As a percentage of revenue, product development expenses were 11.1% and 10.0% for the three months ended June 30, 2022 and 2021, respectively, and 11.7% and 9.9% for the six months ended June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33,358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1,435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64,584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54,017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10,567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21.5 %</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increased by $1.4 million or 4.5% and $10.6 million or 19.6% for the three and six months ended June 30, 2022, respectively, as compared to the corresponding periods in 2021. These increases were primarily driven by an additional $2.2 million and $4.2 million of personnel and compensation expense, respectively, $0.9 million and $1.9 million of insurance expense, respectively, $0.8 million and $1.2 million of travel expense, respectively, and other miscellaneous expenses, including but not limited to, software subscription costs and professional fees. These costs increased due to the continued investment in infrastructure required to support our rapid growth, scalable operations and being a public company. These increases were partially offset by decreases of $5.5 million and $1.0 million of stock-based compensation expense. As a percentage of revenue, general and administrative expenses were 21.2% and 26.4% for the three months ended June 30, 2022 and 2021, respectively, and 21.5% and 23.9% for the six months ended June 30, 2022 and 2021,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27,520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3,296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54,911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6,990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increased by $3.3 million or 13.6% and $7.0 million or 14.6% for the three and six months ended June 30, 2022, respectively, as compared to the corresponding periods in 2021. These increases were primarily driven by an additional $2.8 million and $6.0 million, respectively, in intangible assets’ amortization as a result of intangible asset additions from our 2021 acquisitions. As a percentage of revenue, depreciation and amortization expenses were 17.5% and 20.0% for the three months ended June 30, 2022 and 2021, respectively, and 18.3% and 21.2%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6,702</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(6,463)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49"/>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12,180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(13,934)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and other expense, net, decreased by $6.5 million or 49.1% and $13.9 million or 53.4% for the three and six months ended June 30, 2022, respectively, as compared to the corresponding periods in 2021. These decreases were primarily due to an overall lower outstanding debt balance in 2022 compared to 2021, as well as a lower effective interest rate. As a percentage of revenue, interest and other expense were 4.3% and 10.9% for the three months ended June 30, 2022 and 2021, respectively, and 4.0% and 11.6% for the six months ended June 30, 2022 and 2021,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 (Expense)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(292)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5,662</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2,502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1.9 %</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decreased by $0.3 million or 79.6% for the three months ended June 30, 2022 and the income tax benefit increased by $2.5 million or 79.2% for the six months ended June 30, 2022 as compared to the corresponding periods in 2021. The increase for the six months ended June 30, 2022 was primarily driven by discrete items, including a California law change and an intercompany intellectual property sale.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our primary sources of liquidity have been net cash provided by operating activities, proceeds from equity issuances and proceeds from long-term debt.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 of liquidity has been acquisitions of businesses. For a description of our recent acquisitions, see Note 3 in the notes to the unaudited condensed consolidated financial statements included in this Quarterly Report on Form 10-Q. Absent significant deterioration of market conditions, we expect that working capital requirements, capital expenditures, acquisitions, the Company’s stock repurchase program (discussed below), debt servicing and lease obligations will be our principal needs for liquidity going forward. During the year ended December 31, 2021, we completed five acquisitions for total consideration of $367.1 million.</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2022, we had cash, cash equivalents and restricted cash of $109.1 million, $190.0 million of available borrowing capacity under our Revolver (as defined below) and $545.9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Market and macroeconomic conditions may, from time to time, impact our ability to raise capital. If we are unable to raise additional funds when desired, our business, financial condition and results of operations could be adversely affected. See Part II, Item 1A.“</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flow data for the periods indicated therein:</w:t>
      </w:r>
    </w:p>
    <w:p>
      <w:pPr>
        <w:spacing w:after="0" w:line="235"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24,002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(9,057)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(75,825)</w:t>
            </w:r>
          </w:p>
        </w:tc>
      </w:tr>
      <w:tr>
        <w:trPr>
          <w:trHeight w:val="27"/>
        </w:trPr>
        <w:tc>
          <w:tcPr>
            <w:tcW w:w="7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(2,507)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175,999</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7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11,588</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six months ended June 30, 2022, net cash provided by operating activities consisted of net loss of $26.2 million, offset by net non-cash adjustments to net loss of $63.9 million and net changes in operating assets and liabilities of $13.7 million. Non-cash adjustments primarily consisted of depreciation and amortization of $54.9 million and stock-based compensation expense of $12.6 million, partially offset by deferred taxes of $6.2 million. Changes in working capital during the six months ended June 30, 2022 were primarily driven by accounts receivable, net of $9.5 million and prepaid expenses and other current assets of $8.3 million, partially offset by accrued expenses and other of $5.2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2021, net cash provided by operating activities consisted of net loss of $40.3 million, offset by net non-cash adjustments to net loss of $61.6 million, and net changes in operating assets and liabilities of $17.5 million. Non-cash adjustments primarily consisted of depreciation and amortization of $47.9 million and stock-based compensation of $12.1 million. Changes in working capital during the six months ended June 30, 2021 were primarily driven by prepaid expenses and other current assets of $13.5 million and accounts receivable, net of $7.1 million, partially offset by deferred revenue of $7.2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2022, net cash used in investing activities was $9.1 million. The cash used was driven primarily by costs to develop software of $7.5 million. The remainder was used for purchases of property and equipment.</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six months ended June 30, 2021, net cash used in investing activities was $75.8 million. The cash used was driven primarily by acquisition of companies, net of cash acquired, of $69.0 million. The remainder was used for costs to develop software and purchases of property and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2022, net cash used in financing activities was $2.5 million. The cash used was primarily driven by payments on long-term debt of $2.8 million and the repurchase and retirement of shares of our common stock of $2.7 million, partially offset by proceeds from common stock issuance, net of $1.8 million and exercise of stock options of $1.1 million. For additional information regarding our repurchase and retirement of shares of our common stock, refer to Note 10 in the notes to the unaudited condensed consolidated financial statements included in this Quarterly Report on Form 10-Q.</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net cash provided by financing activities was $176.0 million. The cash provided was driven primarily by net proceeds from preferred stock issuance of $109.8 million and proceeds from long-term debt of $69.2 million. The net proceeds from these financings were primarily used for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Prior to our Initial Public Offering (the “IPO”), subsidiaries of the Company were party to a credit facility that provided for (i) a term loan in an aggregate principal amount of $415.0 million (the “Legacy Term Loan”), (ii) commitments for delayed draw term loans up to an aggregate principal amount of $385.0 million (the “Legacy Delayed Draw Term Loans”), (iii) commitments for revolving loans up to an aggregate principal amount of $50.0 million (the “Legacy Revolver”) and (iv) a sub-limit of the Revolver available for letters of credit up to an aggregate face amount of $10.0 million, or the letters of credit (the Legacy Term Loan, Legacy Delayed Draw Term Loans and Legacy Revolver are referred to herein as the “Legacy Credit Facilities”).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IPO, on July 6, 2021 we refinanced our Legacy Credit Facilities and EverCommerce Solutions Inc., as borrower, and EverCommerce Intermediate Inc. entered into a new credit agreement (the “Credit Agreement”) in an aggregate principal amount of $540.0 million, consisting of (i) an aggregate principal amount of $350.0 million (the “Initial Term Loans”), (ii) a revolver with a capacity of $190.0 million (the “Revolver”) and (iii) a sub-limit of the Revolver available for letters of credit up to an aggregate face amount of $20.0 million. We used the net proceeds of the Initial Term Loans and a portion of the funds available under our Revolver, together with the net proceeds from the IPO, to repay all amounts outstanding under our Legacy Credit Facilities. In November 2021, the Company drew an additional $155.0 million on the Revolver to fund an acquisition. Subsequently, in November 2021, the Company drew an additional $200.0 million (the “Additional Term Loans,” and collectively with the Initial Term Loans, the “Term Loans”) as permitted by the Credit Agreement. The Company used the proceeds of the Additional Term Loans to repay all amounts outstanding on the Revolver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Initial Term Loans, Revolver and Additional Term Loans are collectively referred to herein as the “Credit Facilities.”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Term Loans and the New Revolver loans is 3% for Eurocurrency borrowings and 2% for ABR Borrowings, in each case subject to change based on our first lien net leverage ratio.</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2022, there was $545.9 million outstanding under our Credit Facilities, all of which was related to the Term Loans as no amounts were outstanding under the Revolver. The effective interest rate on the Term Loans was approximately 4.3% for the three months ended June 30,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were in compliance with the covenants under the Credit Facilities.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2022, our Board of Directors approved a stock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Directors. The Company expects to fund repurchases with existing cash on hand. The Company repurchased and retired 296,046 shares of common stock for $2.7 million during the three and six months ended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our contractual obligations as of June 30, 2022 from those disclosed in our Annual Report on Form 10-K.</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9 in the unaudited condensed consolidated financial statements included in this Quarterly Report on Form 10-Q and notes thereto for a discussion of our debt. Refer to Note 16 in the Financial Statements and Supplementary Data section of our Annual Report on Form 10-K for a discussion of our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are described in Part II Item 7, “Management’s Discussion and Analysis of Financial Condition and Results of Operations —Critical Accounting Policies” in our Annual Report on Form 10-K. During the six months ended June 30, 2022, there were no material changes to our critical accounting policies from those discussed in our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have been no material changes to our disclosures regarding market risk as described in our Annual Report on Form 10-K under the heading Part II. Item 7A. </w:t>
      </w:r>
      <w:r>
        <w:rPr>
          <w:rFonts w:ascii="Arial" w:cs="Arial" w:eastAsia="Arial" w:hAnsi="Arial"/>
          <w:sz w:val="18"/>
          <w:szCs w:val="18"/>
          <w:i w:val="1"/>
          <w:iCs w:val="1"/>
          <w:color w:val="auto"/>
        </w:rPr>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2022, our disclosure controls and procedures were effective at the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information set forth in this Quarterly Report on Form 10-Q, you should carefully consider the risk factors disclosed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There have been no material changes to our risk factors from those included in our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2022, we repurchased $2.7 million of shares of our common stock under our stock repurchase program. The stock repurchase activity under our stock repurchase program during the three months ended June 30, 2022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Total number of shares purchased</w:t>
            </w:r>
          </w:p>
        </w:tc>
        <w:tc>
          <w:tcPr>
            <w:tcW w:w="220" w:type="dxa"/>
            <w:vAlign w:val="bottom"/>
          </w:tcPr>
          <w:p>
            <w:pPr>
              <w:spacing w:after="0"/>
              <w:rPr>
                <w:sz w:val="18"/>
                <w:szCs w:val="18"/>
                <w:color w:val="auto"/>
              </w:rPr>
            </w:pP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93"/>
              </w:rPr>
              <w:t>Approximate dollar value of</w:t>
            </w:r>
          </w:p>
        </w:tc>
      </w:tr>
      <w:tr>
        <w:trPr>
          <w:trHeight w:val="216"/>
        </w:trPr>
        <w:tc>
          <w:tcPr>
            <w:tcW w:w="30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3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92"/>
              </w:rPr>
              <w:t>price paid</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as part of publicly announced</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87"/>
              </w:rPr>
              <w:t>shares that may yet be purchased</w:t>
            </w:r>
          </w:p>
        </w:tc>
      </w:tr>
      <w:tr>
        <w:trPr>
          <w:trHeight w:val="257"/>
        </w:trPr>
        <w:tc>
          <w:tcPr>
            <w:tcW w:w="300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shares purchased</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per share</w:t>
            </w:r>
          </w:p>
        </w:tc>
        <w:tc>
          <w:tcPr>
            <w:tcW w:w="26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 xml:space="preserve">plans or programs </w:t>
            </w:r>
            <w:r>
              <w:rPr>
                <w:rFonts w:ascii="Arial" w:cs="Arial" w:eastAsia="Arial" w:hAnsi="Arial"/>
                <w:sz w:val="23"/>
                <w:szCs w:val="23"/>
                <w:color w:val="auto"/>
                <w:w w:val="87"/>
                <w:vertAlign w:val="superscript"/>
              </w:rPr>
              <w:t>(1)</w:t>
            </w: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under the plans or programs</w:t>
            </w:r>
          </w:p>
        </w:tc>
      </w:tr>
      <w:tr>
        <w:trPr>
          <w:trHeight w:val="237"/>
        </w:trPr>
        <w:tc>
          <w:tcPr>
            <w:tcW w:w="3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80" w:type="dxa"/>
            <w:vAlign w:val="bottom"/>
            <w:gridSpan w:val="4"/>
          </w:tcPr>
          <w:p>
            <w:pPr>
              <w:jc w:val="right"/>
              <w:ind w:right="2170"/>
              <w:spacing w:after="0"/>
              <w:rPr>
                <w:sz w:val="20"/>
                <w:szCs w:val="20"/>
                <w:color w:val="auto"/>
              </w:rPr>
            </w:pPr>
            <w:r>
              <w:rPr>
                <w:rFonts w:ascii="Arial" w:cs="Arial" w:eastAsia="Arial" w:hAnsi="Arial"/>
                <w:sz w:val="18"/>
                <w:szCs w:val="18"/>
                <w:i w:val="1"/>
                <w:iCs w:val="1"/>
                <w:color w:val="auto"/>
                <w:w w:val="98"/>
              </w:rPr>
              <w:t>(in thousands, except per share and share amounts)</w:t>
            </w:r>
          </w:p>
        </w:tc>
      </w:tr>
      <w:tr>
        <w:trPr>
          <w:trHeight w:val="81"/>
        </w:trPr>
        <w:tc>
          <w:tcPr>
            <w:tcW w:w="30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2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296,046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47,341</w:t>
            </w:r>
          </w:p>
        </w:tc>
      </w:tr>
      <w:tr>
        <w:trPr>
          <w:trHeight w:val="27"/>
        </w:trPr>
        <w:tc>
          <w:tcPr>
            <w:tcW w:w="3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left="660" w:hanging="328"/>
        <w:spacing w:after="0" w:line="290" w:lineRule="auto"/>
        <w:tabs>
          <w:tab w:leader="none" w:pos="654"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14, 2022, the Board of Directors of the Company approved a stock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This program does not obligate the Company to acquire any particular amount of common stock and may be modified, suspended or terminated at any time at the discretion of its board of directors. The Company expects to fund repurchases with existing cash on hand.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w w:val="93"/>
              </w:rPr>
              <w:t>Incorporated by Reference</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c>
          <w:tcPr>
            <w:tcW w:w="0" w:type="dxa"/>
            <w:vAlign w:val="bottom"/>
          </w:tcPr>
          <w:p>
            <w:pPr>
              <w:spacing w:after="0"/>
              <w:rPr>
                <w:sz w:val="1"/>
                <w:szCs w:val="1"/>
                <w:color w:val="auto"/>
              </w:rPr>
            </w:pPr>
          </w:p>
        </w:tc>
      </w:tr>
      <w:tr>
        <w:trPr>
          <w:trHeight w:val="202"/>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Filing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23"/>
        </w:trPr>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5020" w:type="dxa"/>
            <w:vAlign w:val="bottom"/>
            <w:gridSpan w:val="12"/>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740" w:type="dxa"/>
            <w:vAlign w:val="bottom"/>
            <w:gridSpan w:val="2"/>
          </w:tcPr>
          <w:p>
            <w:pPr>
              <w:ind w:left="140"/>
              <w:spacing w:after="0"/>
              <w:rPr>
                <w:sz w:val="20"/>
                <w:szCs w:val="20"/>
                <w:color w:val="auto"/>
              </w:rPr>
            </w:pPr>
            <w:r>
              <w:rPr>
                <w:rFonts w:ascii="Arial" w:cs="Arial" w:eastAsia="Arial" w:hAnsi="Arial"/>
                <w:sz w:val="16"/>
                <w:szCs w:val="16"/>
                <w:b w:val="1"/>
                <w:bCs w:val="1"/>
                <w:color w:val="auto"/>
              </w:rPr>
              <w:t>Form</w:t>
            </w:r>
          </w:p>
        </w:tc>
        <w:tc>
          <w:tcPr>
            <w:tcW w:w="1300" w:type="dxa"/>
            <w:vAlign w:val="bottom"/>
            <w:gridSpan w:val="2"/>
          </w:tcPr>
          <w:p>
            <w:pPr>
              <w:ind w:left="340"/>
              <w:spacing w:after="0"/>
              <w:rPr>
                <w:sz w:val="20"/>
                <w:szCs w:val="20"/>
                <w:color w:val="auto"/>
              </w:rPr>
            </w:pPr>
            <w:r>
              <w:rPr>
                <w:rFonts w:ascii="Arial" w:cs="Arial" w:eastAsia="Arial" w:hAnsi="Arial"/>
                <w:sz w:val="16"/>
                <w:szCs w:val="16"/>
                <w:b w:val="1"/>
                <w:bCs w:val="1"/>
                <w:color w:val="auto"/>
              </w:rPr>
              <w:t>File No.</w:t>
            </w: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256"/>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rFonts w:ascii="Arial" w:cs="Arial" w:eastAsia="Arial" w:hAnsi="Arial"/>
                <w:sz w:val="16"/>
                <w:szCs w:val="16"/>
                <w:color w:val="0000FF"/>
                <w:w w:val="95"/>
              </w:rPr>
            </w:pPr>
            <w:hyperlink r:id="rId83">
              <w:r>
                <w:rPr>
                  <w:rFonts w:ascii="Arial" w:cs="Arial" w:eastAsia="Arial" w:hAnsi="Arial"/>
                  <w:sz w:val="16"/>
                  <w:szCs w:val="16"/>
                  <w:color w:val="0000FF"/>
                  <w:w w:val="95"/>
                </w:rPr>
                <w:t>Amended and Restated Certificate of Incorporation of EverCommerce Inc</w:t>
              </w:r>
            </w:hyperlink>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91"/>
              </w:rPr>
              <w:t>001-40575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c>
          <w:tcPr>
            <w:tcW w:w="5020" w:type="dxa"/>
            <w:vAlign w:val="bottom"/>
            <w:gridSpan w:val="12"/>
          </w:tcPr>
          <w:p>
            <w:pPr>
              <w:ind w:left="20"/>
              <w:spacing w:after="0"/>
              <w:rPr>
                <w:rFonts w:ascii="Arial" w:cs="Arial" w:eastAsia="Arial" w:hAnsi="Arial"/>
                <w:sz w:val="16"/>
                <w:szCs w:val="16"/>
                <w:color w:val="0000FF"/>
              </w:rPr>
            </w:pPr>
            <w:hyperlink r:id="rId84">
              <w:r>
                <w:rPr>
                  <w:rFonts w:ascii="Arial" w:cs="Arial" w:eastAsia="Arial" w:hAnsi="Arial"/>
                  <w:sz w:val="16"/>
                  <w:szCs w:val="16"/>
                  <w:color w:val="0000FF"/>
                </w:rPr>
                <w:t>Amended and Restated Bylaws of EverCommerce Inc</w:t>
              </w:r>
            </w:hyperlink>
          </w:p>
        </w:tc>
        <w:tc>
          <w:tcPr>
            <w:tcW w:w="740" w:type="dxa"/>
            <w:vAlign w:val="bottom"/>
            <w:gridSpan w:val="2"/>
          </w:tcPr>
          <w:p>
            <w:pPr>
              <w:ind w:left="20"/>
              <w:spacing w:after="0"/>
              <w:rPr>
                <w:sz w:val="20"/>
                <w:szCs w:val="20"/>
                <w:color w:val="auto"/>
              </w:rPr>
            </w:pPr>
            <w:r>
              <w:rPr>
                <w:rFonts w:ascii="Arial" w:cs="Arial" w:eastAsia="Arial" w:hAnsi="Arial"/>
                <w:sz w:val="16"/>
                <w:szCs w:val="16"/>
                <w:color w:val="auto"/>
              </w:rPr>
              <w:t>8-K</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w w:val="91"/>
              </w:rPr>
              <w:t>001-40575</w:t>
            </w:r>
          </w:p>
        </w:tc>
        <w:tc>
          <w:tcPr>
            <w:tcW w:w="100" w:type="dxa"/>
            <w:vAlign w:val="bottom"/>
          </w:tcPr>
          <w:p>
            <w:pPr>
              <w:spacing w:after="0"/>
              <w:rPr>
                <w:sz w:val="16"/>
                <w:szCs w:val="16"/>
                <w:color w:val="auto"/>
              </w:rPr>
            </w:pPr>
          </w:p>
        </w:tc>
        <w:tc>
          <w:tcPr>
            <w:tcW w:w="860" w:type="dxa"/>
            <w:vAlign w:val="bottom"/>
          </w:tcPr>
          <w:p>
            <w:pPr>
              <w:jc w:val="right"/>
              <w:ind w:right="559"/>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w w:val="93"/>
              </w:rPr>
              <w:t>7/9/2021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rFonts w:ascii="Arial" w:cs="Arial" w:eastAsia="Arial" w:hAnsi="Arial"/>
                <w:sz w:val="16"/>
                <w:szCs w:val="16"/>
                <w:color w:val="0000FF"/>
                <w:w w:val="99"/>
              </w:rPr>
            </w:pPr>
            <w:hyperlink w:anchor="page52">
              <w:r>
                <w:rPr>
                  <w:rFonts w:ascii="Arial" w:cs="Arial" w:eastAsia="Arial" w:hAnsi="Arial"/>
                  <w:sz w:val="16"/>
                  <w:szCs w:val="16"/>
                  <w:color w:val="0000FF"/>
                  <w:w w:val="99"/>
                </w:rPr>
                <w:t>Certification of Chief Executive Officer pursuant to Rule 13a-14(a)/15d-</w:t>
              </w:r>
            </w:hyperlink>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92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540" w:type="dxa"/>
            <w:vAlign w:val="bottom"/>
            <w:tcBorders>
              <w:top w:val="single" w:sz="8" w:color="0000FF"/>
            </w:tcBorders>
            <w:gridSpan w:val="6"/>
            <w:shd w:val="clear" w:color="auto" w:fill="CCEEFF"/>
          </w:tcPr>
          <w:p>
            <w:pPr>
              <w:spacing w:after="0" w:line="169" w:lineRule="exact"/>
              <w:rPr>
                <w:rFonts w:ascii="Arial" w:cs="Arial" w:eastAsia="Arial" w:hAnsi="Arial"/>
                <w:sz w:val="16"/>
                <w:szCs w:val="16"/>
                <w:color w:val="0000FF"/>
              </w:rPr>
            </w:pPr>
            <w:hyperlink w:anchor="page52">
              <w:r>
                <w:rPr>
                  <w:rFonts w:ascii="Arial" w:cs="Arial" w:eastAsia="Arial" w:hAnsi="Arial"/>
                  <w:sz w:val="16"/>
                  <w:szCs w:val="16"/>
                  <w:color w:val="0000FF"/>
                </w:rPr>
                <w:t>14(a)</w:t>
              </w:r>
            </w:hyperlink>
          </w:p>
        </w:tc>
        <w:tc>
          <w:tcPr>
            <w:tcW w:w="300" w:type="dxa"/>
            <w:vAlign w:val="bottom"/>
            <w:tcBorders>
              <w:top w:val="single" w:sz="8" w:color="CCEEFF"/>
            </w:tcBorders>
            <w:gridSpan w:val="4"/>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6"/>
                <w:szCs w:val="16"/>
                <w:color w:val="auto"/>
              </w:rPr>
            </w:pPr>
          </w:p>
        </w:tc>
        <w:tc>
          <w:tcPr>
            <w:tcW w:w="5020" w:type="dxa"/>
            <w:vAlign w:val="bottom"/>
            <w:gridSpan w:val="12"/>
          </w:tcPr>
          <w:p>
            <w:pPr>
              <w:ind w:left="20"/>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Chief Financial Officer pursuant to Rule 13a-14(a)/15d-</w:t>
              </w:r>
            </w:hyperlink>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6"/>
          </w:tcPr>
          <w:p>
            <w:pPr>
              <w:ind w:left="160"/>
              <w:spacing w:after="0" w:line="169" w:lineRule="exact"/>
              <w:rPr>
                <w:rFonts w:ascii="Arial" w:cs="Arial" w:eastAsia="Arial" w:hAnsi="Arial"/>
                <w:sz w:val="16"/>
                <w:szCs w:val="16"/>
                <w:color w:val="0000FF"/>
              </w:rPr>
            </w:pPr>
            <w:hyperlink w:anchor="page53">
              <w:r>
                <w:rPr>
                  <w:rFonts w:ascii="Arial" w:cs="Arial" w:eastAsia="Arial" w:hAnsi="Arial"/>
                  <w:sz w:val="16"/>
                  <w:szCs w:val="16"/>
                  <w:color w:val="0000FF"/>
                </w:rPr>
                <w:t>14(a)</w:t>
              </w:r>
            </w:hyperlink>
          </w:p>
        </w:tc>
        <w:tc>
          <w:tcPr>
            <w:tcW w:w="34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Chief Executive Officer pursuant to 18 U.S.C. Section</w:t>
              </w:r>
            </w:hyperlink>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0000FF"/>
            </w:tcBorders>
            <w:shd w:val="clear" w:color="auto" w:fill="CCEEFF"/>
          </w:tcPr>
          <w:p>
            <w:pPr>
              <w:spacing w:after="0" w:line="169" w:lineRule="exact"/>
              <w:rPr>
                <w:rFonts w:ascii="Arial" w:cs="Arial" w:eastAsia="Arial" w:hAnsi="Arial"/>
                <w:sz w:val="16"/>
                <w:szCs w:val="16"/>
                <w:color w:val="0000FF"/>
                <w:w w:val="84"/>
              </w:rPr>
            </w:pPr>
            <w:hyperlink w:anchor="page54">
              <w:r>
                <w:rPr>
                  <w:rFonts w:ascii="Arial" w:cs="Arial" w:eastAsia="Arial" w:hAnsi="Arial"/>
                  <w:sz w:val="16"/>
                  <w:szCs w:val="16"/>
                  <w:color w:val="0000FF"/>
                  <w:w w:val="84"/>
                </w:rPr>
                <w:t>1350</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000" w:type="dxa"/>
            <w:vAlign w:val="bottom"/>
            <w:tcBorders>
              <w:top w:val="single" w:sz="8" w:color="0000FF"/>
              <w:bottom w:val="single" w:sz="8" w:color="CCEEFF"/>
            </w:tcBorders>
            <w:shd w:val="clear" w:color="auto" w:fill="CCEEFF"/>
          </w:tcPr>
          <w:p>
            <w:pPr>
              <w:spacing w:after="0"/>
              <w:rPr>
                <w:sz w:val="17"/>
                <w:szCs w:val="17"/>
                <w:color w:val="auto"/>
              </w:rPr>
            </w:pPr>
          </w:p>
        </w:tc>
        <w:tc>
          <w:tcPr>
            <w:tcW w:w="106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6"/>
                <w:szCs w:val="16"/>
                <w:color w:val="auto"/>
              </w:rPr>
            </w:pPr>
          </w:p>
        </w:tc>
        <w:tc>
          <w:tcPr>
            <w:tcW w:w="5020" w:type="dxa"/>
            <w:vAlign w:val="bottom"/>
            <w:gridSpan w:val="12"/>
          </w:tcPr>
          <w:p>
            <w:pPr>
              <w:ind w:left="20"/>
              <w:spacing w:after="0"/>
              <w:rPr>
                <w:rFonts w:ascii="Arial" w:cs="Arial" w:eastAsia="Arial" w:hAnsi="Arial"/>
                <w:sz w:val="16"/>
                <w:szCs w:val="16"/>
                <w:color w:val="0000FF"/>
                <w:w w:val="95"/>
              </w:rPr>
            </w:pPr>
            <w:hyperlink w:anchor="page55">
              <w:r>
                <w:rPr>
                  <w:rFonts w:ascii="Arial" w:cs="Arial" w:eastAsia="Arial" w:hAnsi="Arial"/>
                  <w:sz w:val="16"/>
                  <w:szCs w:val="16"/>
                  <w:color w:val="0000FF"/>
                  <w:w w:val="95"/>
                </w:rPr>
                <w:t>Certification of Chief Financial Officer pursuant to 18 U.S.C. Section 1350</w:t>
              </w:r>
            </w:hyperlink>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4"/>
              </w:rPr>
              <w:t>Inline XBRL Instance Document – the instance document does not appear</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w w:val="95"/>
              </w:rPr>
              <w:t>in the Interactive Data File because its XBRL tags are embedded within</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101.INS</w:t>
            </w:r>
          </w:p>
        </w:tc>
        <w:tc>
          <w:tcPr>
            <w:tcW w:w="20" w:type="dxa"/>
            <w:vAlign w:val="bottom"/>
            <w:shd w:val="clear" w:color="auto" w:fill="CCEEFF"/>
          </w:tcPr>
          <w:p>
            <w:pPr>
              <w:spacing w:after="0"/>
              <w:rPr>
                <w:sz w:val="19"/>
                <w:szCs w:val="19"/>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rPr>
              <w:t>the Inline XBRL document.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02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020" w:type="dxa"/>
            <w:vAlign w:val="bottom"/>
            <w:gridSpan w:val="12"/>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2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Cover Page Interactive Data File (formatted as Inline XBRL and contained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0" w:type="dxa"/>
            <w:vAlign w:val="bottom"/>
            <w:gridSpan w:val="11"/>
            <w:shd w:val="clear" w:color="auto" w:fill="CCEEFF"/>
          </w:tcPr>
          <w:p>
            <w:pPr>
              <w:ind w:left="160"/>
              <w:spacing w:after="0"/>
              <w:rPr>
                <w:sz w:val="20"/>
                <w:szCs w:val="20"/>
                <w:color w:val="auto"/>
              </w:rPr>
            </w:pPr>
            <w:r>
              <w:rPr>
                <w:rFonts w:ascii="Arial" w:cs="Arial" w:eastAsia="Arial" w:hAnsi="Arial"/>
                <w:sz w:val="16"/>
                <w:szCs w:val="16"/>
                <w:color w:val="auto"/>
              </w:rPr>
              <w:t>in Exhibit 101)</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EVERCOMMERCE INC.</w:t>
      </w:r>
    </w:p>
    <w:p>
      <w:pPr>
        <w:spacing w:after="0" w:line="329" w:lineRule="exact"/>
        <w:rPr>
          <w:sz w:val="20"/>
          <w:szCs w:val="20"/>
          <w:color w:val="auto"/>
        </w:rPr>
      </w:pPr>
    </w:p>
    <w:p>
      <w:pPr>
        <w:ind w:left="20"/>
        <w:spacing w:after="0"/>
        <w:tabs>
          <w:tab w:leader="none" w:pos="5640" w:val="left"/>
          <w:tab w:leader="none" w:pos="8200" w:val="left"/>
        </w:tabs>
        <w:rPr>
          <w:sz w:val="20"/>
          <w:szCs w:val="20"/>
          <w:color w:val="auto"/>
        </w:rPr>
      </w:pPr>
      <w:r>
        <w:rPr>
          <w:rFonts w:ascii="Arial" w:cs="Arial" w:eastAsia="Arial" w:hAnsi="Arial"/>
          <w:sz w:val="18"/>
          <w:szCs w:val="18"/>
          <w:b w:val="1"/>
          <w:bCs w:val="1"/>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8"/>
          <w:szCs w:val="18"/>
          <w:b w:val="1"/>
          <w:bCs w:val="1"/>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85"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40" w:hanging="432"/>
        <w:spacing w:after="0" w:line="224"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40" w:hanging="391"/>
        <w:spacing w:after="0"/>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500" w:val="left"/>
          <w:tab w:leader="none" w:pos="60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07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ind w:left="75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8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40" w:hanging="391"/>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420" w:hanging="412"/>
        <w:spacing w:after="0" w:line="25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460" w:val="left"/>
          <w:tab w:leader="none" w:pos="602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07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53"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Marc Thompson</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ind w:left="75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 connection with the Quarterly Report on Form 10-Q of EverCommerce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840" w:hanging="39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00" w:right="20" w:hanging="451"/>
        <w:spacing w:after="0" w:line="235" w:lineRule="auto"/>
        <w:tabs>
          <w:tab w:leader="none" w:pos="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tabs>
          <w:tab w:leader="none" w:pos="5620" w:val="left"/>
          <w:tab w:leader="none" w:pos="60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ind w:left="75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 connection with the Quarterly Report on Form 10-Q of EverCommerce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840" w:hanging="391"/>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00" w:right="20" w:hanging="451"/>
        <w:spacing w:after="0" w:line="235" w:lineRule="auto"/>
        <w:tabs>
          <w:tab w:leader="none" w:pos="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tabs>
          <w:tab w:leader="none" w:pos="5620" w:val="left"/>
          <w:tab w:leader="none" w:pos="60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 Thompson</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3" Type="http://schemas.openxmlformats.org/officeDocument/2006/relationships/hyperlink" Target="http://www.sec.gov/Archives/edgar/data/0001853145/000114036121023912/nt10022251x16_ex3-1.htm" TargetMode="External"/><Relationship Id="rId84" Type="http://schemas.openxmlformats.org/officeDocument/2006/relationships/hyperlink" Target="http://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2022-08-09T05:18:08Z</dcterms:created>
  <dcterms:modified xsi:type="dcterms:W3CDTF">2022-08-09T05:18:08Z</dcterms:modified>
</cp:coreProperties>
</file>