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9"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001-40575</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9" w:lineRule="exact"/>
        <w:rPr>
          <w:sz w:val="24"/>
          <w:szCs w:val="24"/>
          <w:color w:val="auto"/>
        </w:rPr>
      </w:pPr>
    </w:p>
    <w:tbl>
      <w:tblPr>
        <w:tblLayout w:type="fixed"/>
        <w:tblInd w:w="2660" w:type="dxa"/>
        <w:tblCellMar>
          <w:top w:w="0" w:type="dxa"/>
          <w:left w:w="0" w:type="dxa"/>
          <w:bottom w:w="0" w:type="dxa"/>
          <w:right w:w="0" w:type="dxa"/>
        </w:tblCellMar>
      </w:tblPr>
      <w:tr>
        <w:trPr>
          <w:trHeight w:val="238"/>
        </w:trPr>
        <w:tc>
          <w:tcPr>
            <w:tcW w:w="36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81-4063248</w:t>
            </w:r>
          </w:p>
        </w:tc>
        <w:tc>
          <w:tcPr>
            <w:tcW w:w="0" w:type="dxa"/>
            <w:vAlign w:val="bottom"/>
          </w:tcPr>
          <w:p>
            <w:pPr>
              <w:spacing w:after="0"/>
              <w:rPr>
                <w:sz w:val="1"/>
                <w:szCs w:val="1"/>
                <w:color w:val="auto"/>
              </w:rPr>
            </w:pPr>
          </w:p>
        </w:tc>
      </w:tr>
      <w:tr>
        <w:trPr>
          <w:trHeight w:val="248"/>
        </w:trPr>
        <w:tc>
          <w:tcPr>
            <w:tcW w:w="36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60" w:type="dxa"/>
            <w:vAlign w:val="bottom"/>
            <w:vMerge w:val="restart"/>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c>
          <w:tcPr>
            <w:tcW w:w="0" w:type="dxa"/>
            <w:vAlign w:val="bottom"/>
          </w:tcPr>
          <w:p>
            <w:pPr>
              <w:spacing w:after="0"/>
              <w:rPr>
                <w:sz w:val="1"/>
                <w:szCs w:val="1"/>
                <w:color w:val="auto"/>
              </w:rPr>
            </w:pPr>
          </w:p>
        </w:tc>
      </w:tr>
      <w:tr>
        <w:trPr>
          <w:trHeight w:val="130"/>
        </w:trPr>
        <w:tc>
          <w:tcPr>
            <w:tcW w:w="368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8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0"/>
        </w:trPr>
        <w:tc>
          <w:tcPr>
            <w:tcW w:w="36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3601 Walnut Street, Suite 400</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Denver, Colorado</w:t>
            </w:r>
          </w:p>
        </w:tc>
        <w:tc>
          <w:tcPr>
            <w:tcW w:w="34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80205</w:t>
            </w:r>
          </w:p>
        </w:tc>
        <w:tc>
          <w:tcPr>
            <w:tcW w:w="0" w:type="dxa"/>
            <w:vAlign w:val="bottom"/>
          </w:tcPr>
          <w:p>
            <w:pPr>
              <w:spacing w:after="0"/>
              <w:rPr>
                <w:sz w:val="1"/>
                <w:szCs w:val="1"/>
                <w:color w:val="auto"/>
              </w:rPr>
            </w:pPr>
          </w:p>
        </w:tc>
      </w:tr>
      <w:tr>
        <w:trPr>
          <w:trHeight w:val="270"/>
        </w:trPr>
        <w:tc>
          <w:tcPr>
            <w:tcW w:w="36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3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(720) 647-4948</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7"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EVCM</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8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2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99"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6, 2022, there were 195,601,997 shares of the registrant’s common stock, par value $0.00001,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11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1120" w:type="dxa"/>
            <w:vAlign w:val="bottom"/>
            <w:tcBorders>
              <w:bottom w:val="single" w:sz="8" w:color="CCEEFF"/>
            </w:tcBorders>
          </w:tcPr>
          <w:p>
            <w:pPr>
              <w:spacing w:after="0"/>
              <w:rPr>
                <w:sz w:val="2"/>
                <w:szCs w:val="2"/>
                <w:color w:val="auto"/>
              </w:rPr>
            </w:pPr>
          </w:p>
        </w:tc>
        <w:tc>
          <w:tcPr>
            <w:tcW w:w="8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1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120" w:type="dxa"/>
            <w:vAlign w:val="bottom"/>
            <w:shd w:val="clear" w:color="auto" w:fill="CCEEFF"/>
          </w:tcPr>
          <w:p>
            <w:pPr>
              <w:spacing w:after="0"/>
              <w:rPr>
                <w:sz w:val="21"/>
                <w:szCs w:val="21"/>
                <w:color w:val="auto"/>
              </w:rPr>
            </w:pP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as of March 31, 2022 (unaudited) and December 31, 2021</w:t>
            </w:r>
          </w:p>
        </w:tc>
        <w:tc>
          <w:tcPr>
            <w:tcW w:w="660" w:type="dxa"/>
            <w:vAlign w:val="bottom"/>
            <w:gridSpan w:val="4"/>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0000FF"/>
                <w:w w:val="88"/>
              </w:rPr>
              <w:t>1</w:t>
            </w:r>
          </w:p>
        </w:tc>
        <w:tc>
          <w:tcPr>
            <w:tcW w:w="500" w:type="dxa"/>
            <w:vAlign w:val="bottom"/>
            <w:shd w:val="clear" w:color="auto" w:fill="CCEEFF"/>
          </w:tcPr>
          <w:p>
            <w:pPr>
              <w:spacing w:after="0"/>
              <w:rPr>
                <w:sz w:val="21"/>
                <w:szCs w:val="21"/>
                <w:color w:val="auto"/>
              </w:rPr>
            </w:pPr>
          </w:p>
        </w:tc>
      </w:tr>
      <w:tr>
        <w:trPr>
          <w:trHeight w:val="225"/>
        </w:trPr>
        <w:tc>
          <w:tcPr>
            <w:tcW w:w="1120" w:type="dxa"/>
            <w:vAlign w:val="bottom"/>
            <w:tcBorders>
              <w:top w:val="single" w:sz="8" w:color="CCEEFF"/>
            </w:tcBorders>
          </w:tcPr>
          <w:p>
            <w:pPr>
              <w:spacing w:after="0"/>
              <w:rPr>
                <w:sz w:val="19"/>
                <w:szCs w:val="19"/>
                <w:color w:val="auto"/>
              </w:rPr>
            </w:pPr>
          </w:p>
        </w:tc>
        <w:tc>
          <w:tcPr>
            <w:tcW w:w="896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for the three months ended</w:t>
            </w:r>
          </w:p>
        </w:tc>
        <w:tc>
          <w:tcPr>
            <w:tcW w:w="4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r>
      <w:tr>
        <w:trPr>
          <w:trHeight w:val="194"/>
        </w:trPr>
        <w:tc>
          <w:tcPr>
            <w:tcW w:w="1120" w:type="dxa"/>
            <w:vAlign w:val="bottom"/>
          </w:tcPr>
          <w:p>
            <w:pPr>
              <w:spacing w:after="0"/>
              <w:rPr>
                <w:sz w:val="16"/>
                <w:szCs w:val="16"/>
                <w:color w:val="auto"/>
              </w:rPr>
            </w:pPr>
          </w:p>
        </w:tc>
        <w:tc>
          <w:tcPr>
            <w:tcW w:w="896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rPr>
              <w:t>March 31, 2022 and 2021</w:t>
            </w:r>
          </w:p>
        </w:tc>
        <w:tc>
          <w:tcPr>
            <w:tcW w:w="660" w:type="dxa"/>
            <w:vAlign w:val="bottom"/>
            <w:gridSpan w:val="4"/>
          </w:tcPr>
          <w:p>
            <w:pPr>
              <w:jc w:val="center"/>
              <w:ind w:left="410"/>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500" w:type="dxa"/>
            <w:vAlign w:val="bottom"/>
          </w:tcPr>
          <w:p>
            <w:pPr>
              <w:spacing w:after="0"/>
              <w:rPr>
                <w:sz w:val="16"/>
                <w:szCs w:val="16"/>
                <w:color w:val="auto"/>
              </w:rPr>
            </w:pP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25"/>
        </w:trPr>
        <w:tc>
          <w:tcPr>
            <w:tcW w:w="1120" w:type="dxa"/>
            <w:vAlign w:val="bottom"/>
            <w:shd w:val="clear" w:color="auto" w:fill="CCEEFF"/>
          </w:tcPr>
          <w:p>
            <w:pPr>
              <w:spacing w:after="0"/>
              <w:rPr>
                <w:sz w:val="19"/>
                <w:szCs w:val="19"/>
                <w:color w:val="auto"/>
              </w:rPr>
            </w:pPr>
          </w:p>
        </w:tc>
        <w:tc>
          <w:tcPr>
            <w:tcW w:w="8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Condensed Consolidated Statements of Convertible Preferred Stock and Stockholders’ Equity (Deficit) (unaudited) for</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41"/>
        </w:trPr>
        <w:tc>
          <w:tcPr>
            <w:tcW w:w="1120" w:type="dxa"/>
            <w:vAlign w:val="bottom"/>
            <w:tcBorders>
              <w:bottom w:val="single" w:sz="8" w:color="CCEEFF"/>
            </w:tcBorders>
            <w:shd w:val="clear" w:color="auto" w:fill="CCEEFF"/>
          </w:tcPr>
          <w:p>
            <w:pPr>
              <w:spacing w:after="0"/>
              <w:rPr>
                <w:sz w:val="20"/>
                <w:szCs w:val="20"/>
                <w:color w:val="auto"/>
              </w:rPr>
            </w:pPr>
          </w:p>
        </w:tc>
        <w:tc>
          <w:tcPr>
            <w:tcW w:w="8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three months ended March 31, 2022 and 2021</w:t>
            </w: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03"/>
        </w:trPr>
        <w:tc>
          <w:tcPr>
            <w:tcW w:w="1120" w:type="dxa"/>
            <w:vAlign w:val="bottom"/>
          </w:tcPr>
          <w:p>
            <w:pPr>
              <w:spacing w:after="0"/>
              <w:rPr>
                <w:sz w:val="17"/>
                <w:szCs w:val="17"/>
                <w:color w:val="auto"/>
              </w:rPr>
            </w:pPr>
          </w:p>
        </w:tc>
        <w:tc>
          <w:tcPr>
            <w:tcW w:w="8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(unaudited) for the three months ended March 31, 2022 and 2021</w:t>
            </w:r>
          </w:p>
        </w:tc>
        <w:tc>
          <w:tcPr>
            <w:tcW w:w="660" w:type="dxa"/>
            <w:vAlign w:val="bottom"/>
            <w:gridSpan w:val="4"/>
          </w:tcPr>
          <w:p>
            <w:pPr>
              <w:jc w:val="center"/>
              <w:ind w:left="410"/>
              <w:spacing w:after="0" w:line="202" w:lineRule="exact"/>
              <w:rPr>
                <w:sz w:val="20"/>
                <w:szCs w:val="20"/>
                <w:color w:val="auto"/>
              </w:rPr>
            </w:pPr>
            <w:r>
              <w:rPr>
                <w:rFonts w:ascii="Times New Roman" w:cs="Times New Roman" w:eastAsia="Times New Roman" w:hAnsi="Times New Roman"/>
                <w:sz w:val="18"/>
                <w:szCs w:val="18"/>
                <w:color w:val="0000FF"/>
                <w:w w:val="88"/>
              </w:rPr>
              <w:t>5</w:t>
            </w:r>
          </w:p>
        </w:tc>
        <w:tc>
          <w:tcPr>
            <w:tcW w:w="500" w:type="dxa"/>
            <w:vAlign w:val="bottom"/>
          </w:tcPr>
          <w:p>
            <w:pPr>
              <w:spacing w:after="0"/>
              <w:rPr>
                <w:sz w:val="17"/>
                <w:szCs w:val="17"/>
                <w:color w:val="auto"/>
              </w:rPr>
            </w:pP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120" w:type="dxa"/>
            <w:vAlign w:val="bottom"/>
            <w:shd w:val="clear" w:color="auto" w:fill="CCEEFF"/>
          </w:tcPr>
          <w:p>
            <w:pPr>
              <w:spacing w:after="0"/>
              <w:rPr>
                <w:sz w:val="17"/>
                <w:szCs w:val="17"/>
                <w:color w:val="auto"/>
              </w:rPr>
            </w:pP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660" w:type="dxa"/>
            <w:vAlign w:val="bottom"/>
            <w:gridSpan w:val="4"/>
            <w:shd w:val="clear" w:color="auto" w:fill="CCEEFF"/>
          </w:tcPr>
          <w:p>
            <w:pPr>
              <w:jc w:val="center"/>
              <w:ind w:left="410"/>
              <w:spacing w:after="0" w:line="202" w:lineRule="exact"/>
              <w:rPr>
                <w:sz w:val="20"/>
                <w:szCs w:val="20"/>
                <w:color w:val="auto"/>
              </w:rPr>
            </w:pPr>
            <w:r>
              <w:rPr>
                <w:rFonts w:ascii="Times New Roman" w:cs="Times New Roman" w:eastAsia="Times New Roman" w:hAnsi="Times New Roman"/>
                <w:sz w:val="18"/>
                <w:szCs w:val="18"/>
                <w:color w:val="0000FF"/>
                <w:w w:val="88"/>
              </w:rPr>
              <w:t>7</w:t>
            </w:r>
          </w:p>
        </w:tc>
        <w:tc>
          <w:tcPr>
            <w:tcW w:w="500" w:type="dxa"/>
            <w:vAlign w:val="bottom"/>
            <w:shd w:val="clear" w:color="auto" w:fill="CCEEFF"/>
          </w:tcPr>
          <w:p>
            <w:pPr>
              <w:spacing w:after="0"/>
              <w:rPr>
                <w:sz w:val="17"/>
                <w:szCs w:val="17"/>
                <w:color w:val="auto"/>
              </w:rPr>
            </w:pPr>
          </w:p>
        </w:tc>
      </w:tr>
      <w:tr>
        <w:trPr>
          <w:trHeight w:val="48"/>
        </w:trPr>
        <w:tc>
          <w:tcPr>
            <w:tcW w:w="1120" w:type="dxa"/>
            <w:vAlign w:val="bottom"/>
            <w:tcBorders>
              <w:top w:val="single" w:sz="8" w:color="CCEEFF"/>
            </w:tcBorders>
            <w:shd w:val="clear" w:color="auto" w:fill="CCEEFF"/>
          </w:tcPr>
          <w:p>
            <w:pPr>
              <w:spacing w:after="0"/>
              <w:rPr>
                <w:sz w:val="4"/>
                <w:szCs w:val="4"/>
                <w:color w:val="auto"/>
              </w:rPr>
            </w:pPr>
          </w:p>
        </w:tc>
        <w:tc>
          <w:tcPr>
            <w:tcW w:w="89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60" w:type="dxa"/>
            <w:vAlign w:val="bottom"/>
            <w:gridSpan w:val="5"/>
          </w:tcPr>
          <w:p>
            <w:pPr>
              <w:jc w:val="center"/>
              <w:ind w:right="20"/>
              <w:spacing w:after="0" w:line="202" w:lineRule="exact"/>
              <w:rPr>
                <w:sz w:val="20"/>
                <w:szCs w:val="20"/>
                <w:color w:val="auto"/>
              </w:rPr>
            </w:pPr>
            <w:r>
              <w:rPr>
                <w:rFonts w:ascii="Times New Roman" w:cs="Times New Roman" w:eastAsia="Times New Roman" w:hAnsi="Times New Roman"/>
                <w:sz w:val="18"/>
                <w:szCs w:val="18"/>
                <w:color w:val="0000FF"/>
                <w:w w:val="99"/>
              </w:rPr>
              <w:t>23</w:t>
            </w: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1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48"/>
        </w:trPr>
        <w:tc>
          <w:tcPr>
            <w:tcW w:w="1120" w:type="dxa"/>
            <w:vAlign w:val="bottom"/>
            <w:tcBorders>
              <w:top w:val="single" w:sz="8" w:color="CCEEFF"/>
            </w:tcBorders>
            <w:shd w:val="clear" w:color="auto" w:fill="CCEEFF"/>
          </w:tcPr>
          <w:p>
            <w:pPr>
              <w:spacing w:after="0"/>
              <w:rPr>
                <w:sz w:val="4"/>
                <w:szCs w:val="4"/>
                <w:color w:val="auto"/>
              </w:rPr>
            </w:pPr>
          </w:p>
        </w:tc>
        <w:tc>
          <w:tcPr>
            <w:tcW w:w="89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spacing w:after="0"/>
              <w:rPr>
                <w:sz w:val="17"/>
                <w:szCs w:val="17"/>
                <w:color w:val="auto"/>
              </w:rPr>
            </w:pPr>
          </w:p>
        </w:tc>
        <w:tc>
          <w:tcPr>
            <w:tcW w:w="680" w:type="dxa"/>
            <w:vAlign w:val="bottom"/>
            <w:gridSpan w:val="4"/>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38</w:t>
            </w: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1120" w:type="dxa"/>
            <w:vAlign w:val="bottom"/>
            <w:shd w:val="clear" w:color="auto" w:fill="CCEEFF"/>
          </w:tcPr>
          <w:p>
            <w:pPr>
              <w:spacing w:after="0"/>
              <w:rPr>
                <w:sz w:val="23"/>
                <w:szCs w:val="23"/>
                <w:color w:val="auto"/>
              </w:rPr>
            </w:pPr>
          </w:p>
        </w:tc>
        <w:tc>
          <w:tcPr>
            <w:tcW w:w="89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3"/>
        </w:trPr>
        <w:tc>
          <w:tcPr>
            <w:tcW w:w="11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Borders>
              <w:top w:val="single" w:sz="8" w:color="CCEEFF"/>
            </w:tcBorders>
            <w:shd w:val="clear" w:color="auto" w:fill="CCEEFF"/>
          </w:tcPr>
          <w:p>
            <w:pPr>
              <w:spacing w:after="0"/>
              <w:rPr>
                <w:sz w:val="4"/>
                <w:szCs w:val="4"/>
                <w:color w:val="auto"/>
              </w:rPr>
            </w:pPr>
          </w:p>
        </w:tc>
        <w:tc>
          <w:tcPr>
            <w:tcW w:w="89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8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spacing w:after="0"/>
              <w:rPr>
                <w:sz w:val="17"/>
                <w:szCs w:val="17"/>
                <w:color w:val="auto"/>
              </w:rPr>
            </w:pPr>
          </w:p>
        </w:tc>
        <w:tc>
          <w:tcPr>
            <w:tcW w:w="680" w:type="dxa"/>
            <w:vAlign w:val="bottom"/>
            <w:gridSpan w:val="4"/>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1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Borders>
              <w:top w:val="single" w:sz="8" w:color="CCEEFF"/>
            </w:tcBorders>
            <w:shd w:val="clear" w:color="auto" w:fill="CCEEFF"/>
          </w:tcPr>
          <w:p>
            <w:pPr>
              <w:spacing w:after="0"/>
              <w:rPr>
                <w:sz w:val="4"/>
                <w:szCs w:val="4"/>
                <w:color w:val="auto"/>
              </w:rPr>
            </w:pPr>
          </w:p>
        </w:tc>
        <w:tc>
          <w:tcPr>
            <w:tcW w:w="89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spacing w:after="0"/>
              <w:rPr>
                <w:sz w:val="17"/>
                <w:szCs w:val="17"/>
                <w:color w:val="auto"/>
              </w:rPr>
            </w:pPr>
          </w:p>
        </w:tc>
        <w:tc>
          <w:tcPr>
            <w:tcW w:w="680" w:type="dxa"/>
            <w:vAlign w:val="bottom"/>
            <w:gridSpan w:val="4"/>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1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Borders>
              <w:top w:val="single" w:sz="8" w:color="CCEEFF"/>
            </w:tcBorders>
            <w:shd w:val="clear" w:color="auto" w:fill="CCEEFF"/>
          </w:tcPr>
          <w:p>
            <w:pPr>
              <w:spacing w:after="0"/>
              <w:rPr>
                <w:sz w:val="4"/>
                <w:szCs w:val="4"/>
                <w:color w:val="auto"/>
              </w:rPr>
            </w:pPr>
          </w:p>
        </w:tc>
        <w:tc>
          <w:tcPr>
            <w:tcW w:w="89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8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spacing w:after="0"/>
              <w:rPr>
                <w:sz w:val="17"/>
                <w:szCs w:val="17"/>
                <w:color w:val="auto"/>
              </w:rPr>
            </w:pPr>
          </w:p>
        </w:tc>
        <w:tc>
          <w:tcPr>
            <w:tcW w:w="680" w:type="dxa"/>
            <w:vAlign w:val="bottom"/>
            <w:gridSpan w:val="4"/>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Pr>
          <w:p>
            <w:pPr>
              <w:spacing w:after="0"/>
              <w:rPr>
                <w:sz w:val="4"/>
                <w:szCs w:val="4"/>
                <w:color w:val="auto"/>
              </w:rPr>
            </w:pPr>
          </w:p>
        </w:tc>
        <w:tc>
          <w:tcPr>
            <w:tcW w:w="8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1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96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4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1120" w:type="dxa"/>
            <w:vAlign w:val="bottom"/>
            <w:tcBorders>
              <w:top w:val="single" w:sz="8" w:color="CCEEFF"/>
            </w:tcBorders>
            <w:shd w:val="clear" w:color="auto" w:fill="CCEEFF"/>
          </w:tcPr>
          <w:p>
            <w:pPr>
              <w:spacing w:after="0"/>
              <w:rPr>
                <w:sz w:val="4"/>
                <w:szCs w:val="4"/>
                <w:color w:val="auto"/>
              </w:rPr>
            </w:pPr>
          </w:p>
        </w:tc>
        <w:tc>
          <w:tcPr>
            <w:tcW w:w="89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Signatures</w:t>
            </w:r>
          </w:p>
        </w:tc>
        <w:tc>
          <w:tcPr>
            <w:tcW w:w="8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gridSpan w:val="4"/>
          </w:tcPr>
          <w:p>
            <w:pPr>
              <w:jc w:val="center"/>
              <w:ind w:right="500"/>
              <w:spacing w:after="0" w:line="202" w:lineRule="exact"/>
              <w:rPr>
                <w:sz w:val="20"/>
                <w:szCs w:val="20"/>
                <w:color w:val="auto"/>
              </w:rPr>
            </w:pPr>
            <w:r>
              <w:rPr>
                <w:rFonts w:ascii="Times New Roman" w:cs="Times New Roman" w:eastAsia="Times New Roman" w:hAnsi="Times New Roman"/>
                <w:sz w:val="18"/>
                <w:szCs w:val="18"/>
                <w:color w:val="0000FF"/>
                <w:w w:val="99"/>
              </w:rPr>
              <w:t>42</w:t>
            </w:r>
          </w:p>
        </w:tc>
      </w:tr>
      <w:tr>
        <w:trPr>
          <w:trHeight w:val="1553"/>
        </w:trPr>
        <w:tc>
          <w:tcPr>
            <w:tcW w:w="112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future acquisitions and other capital expenditures and our objectives for future operations.</w:t>
      </w:r>
    </w:p>
    <w:p>
      <w:pPr>
        <w:spacing w:after="0" w:line="2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may not achieve profitability in the future; we may continue to experience significant quarterly and annual fluctuations in our operating results due to a number of factors, which makes our future operating results difficult to predict; we may reduce our rate of acquisitions and may be unsuccessful in achieving continued growth through acquisitions; revenues and profits generated through acquisitions may be less than anticipated, and we may fail to uncover all liabilities of acquisition targets; we may need to incur additional indebtedness or seek capital through new equity or debt financings, which may not be available to us on acceptable terms or at all;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SMBs is relatively immature and unproven; we are dependent on payment card networks and payment processors and if we fail to comply with the applicable requirements of our payment network or payment processors, they can seek to fine us, suspend us or terminate our registrations through our bank sponsors; the inability to keep pace with rapid developments and changes in the electronic payments market or are unable to introduce, develop and market new and enhanced versions of our software solutions; real or perceived errors, failures or bugs in our solutions; unauthorized disclosure, destruction or modification of data, disruption of our software or services or cyber breaches; our estimated total addressable market is subject to inherent challenges and uncertainties; actual or perceived inaccuracies in our operational metrics may harm our reputation; failure to effectively develop and expand our sales and marketing capabilities; failure to maintain and enhance our reputation and brand recognition; inability to retain current customers or to sell additional functionality and services to them may adversely affect our revenue growth; our systems and our third-party providers’ systems may fail or our third-party providers may discontinue providing their services or technology or to us specifically; faster growth of lower margin solutions and services than higher margin solutions and services; risks related to the COVID -19 pandemic; economic and political risks, including the business cycles of our clients and changes in the overall level of consumer and commercial spending; our ability to retain and hire skilled personnel; risks related to our indebtedness; risks related to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as well as the other factors described in our Annual Report on Form 10-K for the year ended December 31, 2021, as updated by our other filings with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both"/>
        <w:spacing w:after="0" w:line="242"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7"/>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EverCommerce Inc.</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and share amounts)</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86"/>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93,993</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$2.1 million and $1.9 million at March 31,</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40,514</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22,505</w:t>
            </w:r>
          </w:p>
        </w:tc>
      </w:tr>
      <w:tr>
        <w:trPr>
          <w:trHeight w:val="23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186,482</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171,617</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508,535</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921,416</w:t>
            </w: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1,464,911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1,491,756</w:t>
            </w:r>
          </w:p>
        </w:tc>
      </w:tr>
      <w:tr>
        <w:trPr>
          <w:trHeight w:val="264"/>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1,651,393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1,663,373</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40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49,340</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w:t>
            </w:r>
          </w:p>
        </w:tc>
      </w:tr>
      <w:tr>
        <w:trPr>
          <w:trHeight w:val="23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103,428</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maturities and deferred financing costs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535,184</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w:t>
            </w:r>
          </w:p>
        </w:tc>
      </w:tr>
      <w:tr>
        <w:trPr>
          <w:trHeight w:val="23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563,980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574,297</w:t>
            </w: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672,860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677,725</w:t>
            </w:r>
          </w:p>
        </w:tc>
      </w:tr>
      <w:tr>
        <w:trPr>
          <w:trHeight w:val="34"/>
        </w:trPr>
        <w:tc>
          <w:tcPr>
            <w:tcW w:w="78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54"/>
        </w:trPr>
        <w:tc>
          <w:tcPr>
            <w:tcW w:w="7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5"/>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$0.00001 par value, 50,000,000 shares authorized and no shares issued or outstanding as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March 31, 2022 and December 31, 2021</w:t>
            </w:r>
          </w:p>
        </w:tc>
        <w:tc>
          <w:tcPr>
            <w:tcW w:w="2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$0.00001 par value, 2,000,000,000 shares authorized and 195,510,446 and 195,384,291</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78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at March 31, 2022 and December 31, 2021,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1,500,643</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(513,230)</w:t>
            </w: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978,533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985,648</w:t>
            </w:r>
          </w:p>
        </w:tc>
      </w:tr>
      <w:tr>
        <w:trPr>
          <w:trHeight w:val="263"/>
        </w:trPr>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1,651,393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1,663,373</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104,906</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 separately below)</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0" w:type="dxa"/>
            <w:vAlign w:val="bottom"/>
          </w:tcPr>
          <w:p>
            <w:pPr>
              <w:spacing w:after="0"/>
              <w:rPr>
                <w:sz w:val="1"/>
                <w:szCs w:val="1"/>
                <w:color w:val="auto"/>
              </w:rPr>
            </w:pPr>
          </w:p>
        </w:tc>
      </w:tr>
      <w:tr>
        <w:trPr>
          <w:trHeight w:val="23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157,144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111,479</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loss before income tax benefit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gains (losses), net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63"/>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net loss (see Note 12)</w:t>
            </w:r>
          </w:p>
        </w:tc>
        <w:tc>
          <w:tcPr>
            <w:tcW w:w="3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weighted-average shares of common stock outstanding used in computing net loss per</w:t>
            </w:r>
          </w:p>
        </w:tc>
        <w:tc>
          <w:tcPr>
            <w:tcW w:w="3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195,432,404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43,231,295</w:t>
            </w:r>
          </w:p>
        </w:tc>
        <w:tc>
          <w:tcPr>
            <w:tcW w:w="0" w:type="dxa"/>
            <w:vAlign w:val="bottom"/>
          </w:tcPr>
          <w:p>
            <w:pPr>
              <w:spacing w:after="0"/>
              <w:rPr>
                <w:sz w:val="1"/>
                <w:szCs w:val="1"/>
                <w:color w:val="auto"/>
              </w:rPr>
            </w:pPr>
          </w:p>
        </w:tc>
      </w:tr>
      <w:tr>
        <w:trPr>
          <w:trHeight w:val="254"/>
        </w:trPr>
        <w:tc>
          <w:tcPr>
            <w:tcW w:w="7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w w:val="87"/>
              </w:rPr>
              <w:t>Total</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gridSpan w:val="4"/>
            <w:vMerge w:val="continue"/>
          </w:tcPr>
          <w:p>
            <w:pPr>
              <w:spacing w:after="0"/>
              <w:rPr>
                <w:sz w:val="15"/>
                <w:szCs w:val="15"/>
                <w:color w:val="auto"/>
              </w:rPr>
            </w:pPr>
          </w:p>
        </w:tc>
        <w:tc>
          <w:tcPr>
            <w:tcW w:w="1300" w:type="dxa"/>
            <w:vAlign w:val="bottom"/>
            <w:tcBorders>
              <w:bottom w:val="single" w:sz="8" w:color="auto"/>
            </w:tcBorders>
            <w:gridSpan w:val="3"/>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gridSpan w:val="3"/>
          </w:tcPr>
          <w:p>
            <w:pPr>
              <w:ind w:left="340"/>
              <w:spacing w:after="0" w:line="17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8"/>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2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600" w:type="dxa"/>
            <w:vAlign w:val="bottom"/>
            <w:gridSpan w:val="4"/>
          </w:tcPr>
          <w:p>
            <w:pPr>
              <w:jc w:val="right"/>
              <w:ind w:right="40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4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0" w:type="dxa"/>
            <w:vAlign w:val="bottom"/>
            <w:gridSpan w:val="5"/>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220" w:type="dxa"/>
            <w:vAlign w:val="bottom"/>
          </w:tcPr>
          <w:p>
            <w:pPr>
              <w:spacing w:after="0"/>
              <w:rPr>
                <w:sz w:val="20"/>
                <w:szCs w:val="20"/>
                <w:color w:val="auto"/>
              </w:rPr>
            </w:pP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440" w:type="dxa"/>
            <w:vAlign w:val="bottom"/>
          </w:tcPr>
          <w:p>
            <w:pPr>
              <w:spacing w:after="0"/>
              <w:rPr>
                <w:sz w:val="20"/>
                <w:szCs w:val="20"/>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40" w:type="dxa"/>
            <w:vAlign w:val="bottom"/>
            <w:gridSpan w:val="3"/>
            <w:shd w:val="clear" w:color="auto" w:fill="CCEEFF"/>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195,384</w:t>
            </w:r>
          </w:p>
        </w:tc>
        <w:tc>
          <w:tcPr>
            <w:tcW w:w="560" w:type="dxa"/>
            <w:vAlign w:val="bottom"/>
            <w:shd w:val="clear" w:color="auto" w:fill="CCEEFF"/>
          </w:tcPr>
          <w:p>
            <w:pPr>
              <w:jc w:val="center"/>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2</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1,500,643</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(513,230)</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44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985,648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Stock option exercises</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Foreign currency translation losses, net</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195,510</w:t>
            </w:r>
          </w:p>
        </w:tc>
        <w:tc>
          <w:tcPr>
            <w:tcW w:w="560" w:type="dxa"/>
            <w:vAlign w:val="bottom"/>
            <w:tcBorders>
              <w:bottom w:val="single" w:sz="8" w:color="auto"/>
            </w:tcBorders>
          </w:tcPr>
          <w:p>
            <w:pPr>
              <w:jc w:val="center"/>
              <w:ind w:right="324"/>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2</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1,507,501</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(526,539)</w:t>
            </w:r>
          </w:p>
        </w:tc>
        <w:tc>
          <w:tcPr>
            <w:tcW w:w="7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4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978,533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4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 Convertible Series A Convertible</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40" w:type="dxa"/>
            <w:vAlign w:val="bottom"/>
            <w:gridSpan w:val="7"/>
            <w:vMerge w:val="continue"/>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640" w:type="dxa"/>
            <w:vAlign w:val="bottom"/>
            <w:gridSpan w:val="7"/>
            <w:vMerge w:val="continue"/>
          </w:tcPr>
          <w:p>
            <w:pPr>
              <w:spacing w:after="0"/>
              <w:rPr>
                <w:sz w:val="8"/>
                <w:szCs w:val="8"/>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8"/>
                <w:szCs w:val="8"/>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340" w:type="dxa"/>
            <w:vAlign w:val="bottom"/>
            <w:gridSpan w:val="3"/>
            <w:vMerge w:val="restart"/>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00" w:type="dxa"/>
            <w:vAlign w:val="bottom"/>
            <w:gridSpan w:val="4"/>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20" w:type="dxa"/>
            <w:vAlign w:val="bottom"/>
            <w:gridSpan w:val="2"/>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02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gridSpan w:val="2"/>
            <w:vMerge w:val="restart"/>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02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12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7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40" w:type="dxa"/>
            <w:vAlign w:val="bottom"/>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72,226</w:t>
            </w:r>
          </w:p>
        </w:tc>
        <w:tc>
          <w:tcPr>
            <w:tcW w:w="70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$ 745,046</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44,958</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$ 163,264</w:t>
            </w:r>
          </w:p>
        </w:tc>
        <w:tc>
          <w:tcPr>
            <w:tcW w:w="46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908,310</w:t>
            </w:r>
          </w:p>
        </w:tc>
        <w:tc>
          <w:tcPr>
            <w:tcW w:w="6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(389,154)</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Rollover equity in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consideration of net assets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acquired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 exercises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gains, net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Series B</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redemption value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15,105</w:t>
            </w: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(15,105)</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1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(15,995)</w:t>
            </w:r>
          </w:p>
        </w:tc>
        <w:tc>
          <w:tcPr>
            <w:tcW w:w="0" w:type="dxa"/>
            <w:vAlign w:val="bottom"/>
          </w:tcPr>
          <w:p>
            <w:pPr>
              <w:spacing w:after="0"/>
              <w:rPr>
                <w:sz w:val="1"/>
                <w:szCs w:val="1"/>
                <w:color w:val="auto"/>
              </w:rPr>
            </w:pPr>
          </w:p>
        </w:tc>
      </w:tr>
      <w:tr>
        <w:trPr>
          <w:trHeight w:val="218"/>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72,226</w:t>
            </w:r>
          </w:p>
        </w:tc>
        <w:tc>
          <w:tcPr>
            <w:tcW w:w="70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$ 760,151</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44,958</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$ 163,264</w:t>
            </w:r>
          </w:p>
        </w:tc>
        <w:tc>
          <w:tcPr>
            <w:tcW w:w="46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923,415</w:t>
            </w:r>
          </w:p>
        </w:tc>
        <w:tc>
          <w:tcPr>
            <w:tcW w:w="60" w:type="dxa"/>
            <w:vAlign w:val="bottom"/>
            <w:tcBorders>
              <w:top w:val="single" w:sz="8" w:color="auto"/>
              <w:bottom w:val="single" w:sz="8" w:color="auto"/>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43,342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(447,259)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(417,657)</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(13,309)</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discount on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costs and fees on credit facility commitments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Bad debt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Paid-in-kind interest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4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r>
      <w:tr>
        <w:trPr>
          <w:trHeight w:val="243"/>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37"/>
        </w:trPr>
        <w:tc>
          <w:tcPr>
            <w:tcW w:w="78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 of software costs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companies, net of cash acquired</w:t>
            </w:r>
          </w:p>
        </w:tc>
        <w:tc>
          <w:tcPr>
            <w:tcW w:w="10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(69,117)</w:t>
            </w:r>
          </w:p>
        </w:tc>
      </w:tr>
      <w:tr>
        <w:trPr>
          <w:trHeight w:val="23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(72,144)</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69,216</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67,936</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98,337</w:t>
            </w:r>
          </w:p>
        </w:tc>
      </w:tr>
      <w:tr>
        <w:trPr>
          <w:trHeight w:val="26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104,999</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5"/>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Rollover equity in consideration of net assets acquired</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Series B convertible preferred stock to redemption value</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r>
      <w:tr>
        <w:trPr>
          <w:trHeight w:val="20"/>
        </w:trPr>
        <w:tc>
          <w:tcPr>
            <w:tcW w:w="7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EverCommerce Inc. and subsidiaries (the “Company” or “EverCommerce”) is a leading provider of integrated software-as-a-service (“SaaS”) solutions or services for service-based small- and medium-sized businesses (“SMBs”). Our platform spans across the full lifecycle of interactions between consumers and service professionals with vertical-specific applications. Today, the Company serves over 600,000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See Note 3 in the notes to the unaudited condensed consolidated financial statements included in this Quarterly Report on Form 10-Q for additional information on acquired subsidiaries. The Company was incorporated in Delaware on September 29, 2016, and began operations on October 17, 2016 (Inception). The Company is headquartered in Denver, Colorado, and has operations across the United States, Canada, Jordan, United Kingdom, Australia and New Zealand. The Company changed its name from PaySimple Holdings, Inc. to EverCommerce Inc. as of December 14,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for the year ended December 31, 2021 and the related notes (“Annual Report on Form 10-K”). The December 31, 2021 condensed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three months ended March 31, 2022 from those disclosed in the annual consolidated financial statements for the year ended December 31, 2021 and the related notes.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results for the three months ended March 31, 2022 are not necessarily indicative of the results expected for the full year ending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allowance for doubtful accounts, valuation allowances with respect to deferred tax assets, assumptions underlying the fair value used in the calculation of stock-based compensation, valuation of intangible assets and goodwill and useful lives of tangible and intangible assets,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section.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is intended to improve financial reporting about leasing transactions. The ASU affects all companies that lease assets such as real estate and equipment for a period for more than 12 months, and will require organizations that lease assets to recognize on the balance sheet the assets and liabilities for the rights and obligations created by those leases. The updated standard will be effective for annual reporting periods beginning after December 15, 2021 and interim periods the following year. The Company will adopt this standard in the fourth quarter of 2022. Based on management’s current assessment, the impact of adoption will result in an additional right-of-use asset and corresponding lease liability presented on the consolidated balance sheet, largely comprised of its future real estate lease obligations in Note 15 in the notes to the unaudited condensed consolidated financial statements included in this Quarterly Report on Form 10-Q along with any embedded leases in service contracts. Based on our assessment through March 31, 2022, we expect no material impact to the consolidated statements of operations and comprehensive loss; however, management’s analysis of the impact of adoption is not complete.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the measurement and recognition of expected credit losses for financial assets held at amortized cost, which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accounts receivable and contract assets. This updated standard will be effective for annual reporting periods beginning after December 15, 2022. The Company is currently evaluating the impact the adoption of this standard will have on its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which amends the guidance in ASC 805 to require that an acquirer recognize and measure contract assets and contract liabilities acquired in a business combination in accordance with Topic 606. FASB’s objective in issuing the ASU is to improve the accounting for acquired revenue contracts with customers in a business combination by addressing diversity and inconsistency related to both the recognition of an acquired contract liability and payment terms’ effects on subsequent revenue recognized by the acquirer. This updated standard will be effective for annual reporting periods beginning after December 15, 2022. Early adoption is permitted. The Company is currently evaluating whether it will early adopt this standard. The impact of adoption is unknown as it will be based on any potential acquisitions consummated in the year of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2021 and in the three months ended March 31, 2021, the Company completed five and two business acquisitions, respectively,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operations and comprehensive loss include $8.4 million of acquisition related transaction costs in general and administrative for acquisitions consummated in 2021, with $2.7 million incurred in the three months ended March 31,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consideration related to certain 2021 acquisitions is considered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consideration transferred, assets acquired and liabilities assumed for each acquisition in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Briostack</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PulseM</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MDTech</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Timely</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DrChrono</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4"/>
        </w:trPr>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73"/>
        </w:trPr>
        <w:tc>
          <w:tcPr>
            <w:tcW w:w="4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366,361</w:t>
            </w: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Rollover equity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6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consideration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367,087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trade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receivables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3,362</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Intangible—developed technology</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20,874</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Intangible—customer relationships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105,946</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Intangible—trade name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Intangible—non-compete agreements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255,723</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 net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r>
      <w:tr>
        <w:trPr>
          <w:trHeight w:val="253"/>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w:t>
            </w:r>
          </w:p>
        </w:tc>
      </w:tr>
      <w:tr>
        <w:trPr>
          <w:trHeight w:val="23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(24,741)</w:t>
            </w:r>
          </w:p>
        </w:tc>
      </w:tr>
      <w:tr>
        <w:trPr>
          <w:trHeight w:val="246"/>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4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assets acquired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181,919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367,087</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Briostack</w:t>
      </w:r>
    </w:p>
    <w:p>
      <w:pPr>
        <w:spacing w:after="0" w:line="2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January 19, 2021, the Company acquired 100% of the interest of Briostack LLC dba Briostack (“Briostack”), a provider of operational management software to pest control businesses, for $35.2 million. Under the terms of the purchase agreement, certain members of Briostack received 45,454 shares of common stock rollover equity. The Company finalized the fair value of the shares at $0.7 million in the quarter ended June 30, 2021 by applying a market approach. The fair value of the rollover equity is reflected in the total consideration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PulseM</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17, 2021, the Company acquired 100% of the interest of Speetra, Inc. dba PulseM (“PulseM”), a provider of enterprise-level reputation management software for small businesses, for $34.4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MDTech</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8, 2021, the Company acquired 100% of the interest of PM Ventures, LLC dba MDTech (“MDTech”), a provider of electronic charge capture solutions to physicians via its SaaS-based MD Coder application and suite of add-ons, for $15.8 million.</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Timely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2021, the Company acquired 100% of the interest of Timely Ltd. (“Timely”), a booking and business management software company, for $99.8 million. Timely is based in New Zealand and has operations in the U.K. and Australia, as well.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DrChrono</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18, 2021, the Company acquired 100% of the interest of DrChrono Inc. (“DrChrono”), an electronic health record and practice management provider, for $181.9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Results of Acquisitions (unaudited)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presents unaudited pro forma consolidated results of operations for the three months ended March 31, 2022 and 2021, as if the aforementioned 2021 acquisitions had occurred as of January 1, 2021. The Company did not consummate any transactions during the three months ended March 31, 2022; accordingly, no adjustments have been made to the results reported for that period. The pro forma information includes the business combination accounting effects resulting from these acquisitions, including interest expense of $3.1 million for the three months ended March 31, 2021 to account for funds borrowed earlier, issuance of our common stock at earlier dates which impacts the calculation of basic and diluted net loss per share, removal of transaction costs of $2.7 million for the three months ended March 31, 2021 and additional amortization expense of $3.6 million for the three months ended March 31, 2021 resulting from the amortization of intangible assets beginning as of January 1, 2021. We prepared the pro forma financial information for the combined entities for comparative purposes only, and the information is not indicative of what actual results would have been if the acquisitions had occurred at the beginning of the periods presented, nor is the information intended to represent or be indicative of future results of operations.</w:t>
      </w:r>
    </w:p>
    <w:p>
      <w:pPr>
        <w:spacing w:after="0" w:line="24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8"/>
        </w:trPr>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40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7"/>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r>
      <w:tr>
        <w:trPr>
          <w:trHeight w:val="270"/>
        </w:trPr>
        <w:tc>
          <w:tcPr>
            <w:tcW w:w="7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280" w:type="dxa"/>
            <w:vAlign w:val="bottom"/>
          </w:tcPr>
          <w:p>
            <w:pPr>
              <w:spacing w:after="0"/>
              <w:rPr>
                <w:sz w:val="23"/>
                <w:szCs w:val="23"/>
                <w:color w:val="auto"/>
              </w:rPr>
            </w:pPr>
          </w:p>
        </w:tc>
      </w:tr>
      <w:tr>
        <w:trPr>
          <w:trHeight w:val="81"/>
        </w:trPr>
        <w:tc>
          <w:tcPr>
            <w:tcW w:w="7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9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w:t>
            </w: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net loss per share (see Note 12)</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r>
      <w:tr>
        <w:trPr>
          <w:trHeight w:val="26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7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1"/>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disaggregation of our revenue from contracts with customers by revenue recognition pattern and geographical market:</w:t>
      </w:r>
    </w:p>
    <w:p>
      <w:pPr>
        <w:spacing w:after="0" w:line="27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81"/>
        </w:trPr>
        <w:tc>
          <w:tcPr>
            <w:tcW w:w="7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pattern of recognition (timing of transfer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Point in time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 time</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w:t>
            </w:r>
          </w:p>
        </w:tc>
        <w:tc>
          <w:tcPr>
            <w:tcW w:w="0" w:type="dxa"/>
            <w:vAlign w:val="bottom"/>
          </w:tcPr>
          <w:p>
            <w:pPr>
              <w:spacing w:after="0"/>
              <w:rPr>
                <w:sz w:val="1"/>
                <w:szCs w:val="1"/>
                <w:color w:val="auto"/>
              </w:rPr>
            </w:pPr>
          </w:p>
        </w:tc>
      </w:tr>
      <w:tr>
        <w:trPr>
          <w:trHeight w:val="26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geographical market:</w:t>
            </w: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0" w:type="dxa"/>
            <w:vAlign w:val="bottom"/>
          </w:tcPr>
          <w:p>
            <w:pPr>
              <w:spacing w:after="0"/>
              <w:rPr>
                <w:sz w:val="1"/>
                <w:szCs w:val="1"/>
                <w:color w:val="auto"/>
              </w:rPr>
            </w:pPr>
          </w:p>
        </w:tc>
      </w:tr>
      <w:tr>
        <w:trPr>
          <w:trHeight w:val="26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104,906</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81"/>
        </w:trPr>
        <w:tc>
          <w:tcPr>
            <w:tcW w:w="7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40,514</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represent rights to consideration in exchange for products or services that have been transferred by us,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unconditional and only the passage of time is required before payment is due.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represent rights to consideration in exchange for products or services that have been transferred (i.e.,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Contract liabilities represent our obligation to transfer products or services to a customer for which consideration has been received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of the satisfaction of performance obligations. Short-term contract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are included within deferred revenue on the consolidated balance sheets. Long-term contract liabilities are included within long-term deferred revenue on the consolidated balance sheets. Revenue recognized from the contract liability balance at December 31, 2021 was $14.5 million for the three months ended March 31, 2022.</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Customer deposits</w:t>
      </w:r>
      <w:r>
        <w:rPr>
          <w:rFonts w:ascii="Times New Roman" w:cs="Times New Roman" w:eastAsia="Times New Roman" w:hAnsi="Times New Roman"/>
          <w:sz w:val="18"/>
          <w:szCs w:val="18"/>
          <w:color w:val="auto"/>
        </w:rPr>
        <w:t>: Customer deposits relate to payments received in advance for contracts, which allow the customer to terminate a contract and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March 31, 2022, was $24.6 million, which is comprised of contracts where the contract term under ASC 606 is in excess of one year. The Company expects to recognize approximately 53% of its remaining performance obligations as revenue within the next year, 27% of its remaining performance obligations as revenue the subsequent year, 10% of its remaining performance obligations as revenue in the third year, and the remainder during the two year period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to Obtain and Fulfill a Contract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certain costs to obtain contracts, principally sales and third-party commissions,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5 years, which corresponds with the useful life of the related capitalized software. Short-term assets were $5.2 million and $4.8 million at March 31, 2022 and December 31, 2021, respectively, and long-term assets were $12.5 million and $11.9 million at March 31, 2022 and December 31, 2021, respectively. The Company recorded amortization expense of $1.3 million and $0.8 million for the three months ended March 31, 2022 and 2021, respectively, which is included in sales and marketing expense on the condensed consolidated statements of operations and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concluded that there are no other material costs incurred in fulfillment of customer contracts that are not accounted for under other GAAP, which meet the capitalization criteria under ASC 606 and FASB ASC Topic 340-40, </w:t>
      </w:r>
      <w:r>
        <w:rPr>
          <w:rFonts w:ascii="Times New Roman" w:cs="Times New Roman" w:eastAsia="Times New Roman" w:hAnsi="Times New Roman"/>
          <w:sz w:val="18"/>
          <w:szCs w:val="18"/>
          <w:i w:val="1"/>
          <w:iCs w:val="1"/>
          <w:color w:val="auto"/>
        </w:rPr>
        <w:t>Accounting for Other Assets and Deferred Costs</w:t>
      </w:r>
      <w:r>
        <w:rPr>
          <w:rFonts w:ascii="Times New Roman" w:cs="Times New Roman" w:eastAsia="Times New Roman" w:hAnsi="Times New Roman"/>
          <w:sz w:val="18"/>
          <w:szCs w:val="18"/>
          <w:color w:val="auto"/>
        </w:rPr>
        <w:t xml:space="preserve"> (“ASC 340-40”). The Company has elected to account for shipping and handling activities as fulfillment activities and recognize the associated expense when the transfer of control of the product has occurred, as permitted under the shipping and handling activities practical expedient.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three months ended March 31, 2022 (in thousands):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9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921,416</w:t>
            </w:r>
          </w:p>
        </w:tc>
      </w:tr>
      <w:tr>
        <w:trPr>
          <w:trHeight w:val="270"/>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r>
              <w:rPr>
                <w:rFonts w:ascii="Times New Roman" w:cs="Times New Roman" w:eastAsia="Times New Roman" w:hAnsi="Times New Roman"/>
                <w:sz w:val="23"/>
                <w:szCs w:val="23"/>
                <w:color w:val="auto"/>
                <w:vertAlign w:val="superscript"/>
              </w:rPr>
              <w:t>(1)</w:t>
            </w:r>
          </w:p>
        </w:tc>
        <w:tc>
          <w:tcPr>
            <w:tcW w:w="5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9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6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921,615</w:t>
            </w:r>
          </w:p>
        </w:tc>
      </w:tr>
      <w:tr>
        <w:trPr>
          <w:trHeight w:val="20"/>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$0.1 million of measurement period adjustments relate to acquisitions consummated during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6"/>
        </w:trPr>
        <w:tc>
          <w:tcPr>
            <w:tcW w:w="4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4"/>
        </w:trPr>
        <w:tc>
          <w:tcPr>
            <w:tcW w:w="42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42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3-20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399,970</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2-12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w:t>
            </w:r>
          </w:p>
        </w:tc>
      </w:tr>
      <w:tr>
        <w:trPr>
          <w:trHeight w:val="27"/>
        </w:trPr>
        <w:tc>
          <w:tcPr>
            <w:tcW w:w="4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3-10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7"/>
        </w:trPr>
        <w:tc>
          <w:tcPr>
            <w:tcW w:w="4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271,052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4"/>
        </w:trPr>
        <w:tc>
          <w:tcPr>
            <w:tcW w:w="42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38"/>
        </w:trPr>
        <w:tc>
          <w:tcPr>
            <w:tcW w:w="42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42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4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3-20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420,069</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2-12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63,947</w:t>
            </w:r>
          </w:p>
        </w:tc>
      </w:tr>
      <w:tr>
        <w:trPr>
          <w:trHeight w:val="27"/>
        </w:trPr>
        <w:tc>
          <w:tcPr>
            <w:tcW w:w="4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4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3-10 years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7"/>
        </w:trPr>
        <w:tc>
          <w:tcPr>
            <w:tcW w:w="42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754,414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508,535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$25.2 million and $22.0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r>
      <w:tr>
        <w:trPr>
          <w:trHeight w:val="237"/>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6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$1.0 million and $0.9 million for the three months ended March 31, 2022 and 2021,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Capitalized Software</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24"/>
                <w:szCs w:val="24"/>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4"/>
          </w:tcPr>
          <w:p>
            <w:pPr>
              <w:ind w:left="92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35,453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31,960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80" w:type="dxa"/>
            <w:vAlign w:val="bottom"/>
          </w:tcPr>
          <w:p>
            <w:pPr>
              <w:spacing w:after="0"/>
              <w:rPr>
                <w:sz w:val="21"/>
                <w:szCs w:val="21"/>
                <w:color w:val="auto"/>
              </w:rPr>
            </w:pPr>
          </w:p>
        </w:tc>
        <w:tc>
          <w:tcPr>
            <w:tcW w:w="14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(9,096)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(7,960)</w:t>
            </w: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26,357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24,000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$1.2 million and $0.8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86"/>
        </w:trPr>
        <w:tc>
          <w:tcPr>
            <w:tcW w:w="7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81"/>
        </w:trPr>
        <w:tc>
          <w:tcPr>
            <w:tcW w:w="7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notes with interest payable monthly, interest rate at Adjusted LIBOR or Alternative Base Rate, plus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 applicable margin of 3.25% (3.75% at March 31, 2022) quarterly principal payments of 0.25% of</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1"/>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principal balance with balloon payment due July 2028</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548,625</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with interest payable monthly, interest rate at Adjusted LIBOR or Alternative Base Rate, plus an</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applicable margin of 3.25% (3.71% at March 31, 2022), and outstanding balance due July 2026</w:t>
            </w:r>
          </w:p>
        </w:tc>
        <w:tc>
          <w:tcPr>
            <w:tcW w:w="2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unsecured promissory note related to acquisition of Service Nation, Inc., interest paid-in-</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1"/>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kind, interest rate at 8.5% with balloon payment due September 2022</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unsecured promissory note related to acquisition of Technique Fitness, Inc. D/B/A Club OS,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paid-in-kind, interest rate at 7% with balloon payment due December 2022</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7"/>
        </w:trPr>
        <w:tc>
          <w:tcPr>
            <w:tcW w:w="7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debt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552,878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554,146</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37"/>
        </w:trPr>
        <w:tc>
          <w:tcPr>
            <w:tcW w:w="7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545,192</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546,127</w:t>
            </w:r>
          </w:p>
        </w:tc>
      </w:tr>
      <w:tr>
        <w:trPr>
          <w:trHeight w:val="27"/>
        </w:trPr>
        <w:tc>
          <w:tcPr>
            <w:tcW w:w="7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w:t>
            </w:r>
          </w:p>
        </w:tc>
      </w:tr>
      <w:tr>
        <w:trPr>
          <w:trHeight w:val="264"/>
        </w:trPr>
        <w:tc>
          <w:tcPr>
            <w:tcW w:w="7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portion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534,122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535,184</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6, 2021, the Company entered into a credit facility (“Credit Agreement”) that includes term loans in an aggregate principal amount of $350.0 million (“Initial Term Loans”), a revolver with a capacity of $190.0 million (“Revolver”) and a sub-limit of the Revolver available for letters of credit up to an aggregate face amount of $20.0 million. The Initial Term Loans were used to retire the Company’s debt arrangements that were outstanding prior to the Initial Public Offering (“IPO”).</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November 2021, the Company had $35.0 million outstanding under the Revolver, and borrowed the remaining capacity of the Revolver to fund the acquisition of DrChrono. Subsequently in the same month, the Company received additional term loans in an aggregate principal amount of $200.0 million (together with the Initial Term Loans, the “Term Loans”), the proceeds of which were used to repay the outstanding principal balance of the Revolver of $190.0 million and for general corporate purposes. The Initial Term Loans, Revolver and Additional Term Loans are collectively referred to herein as the (“Credit Facilities”).</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determines the fair value of long-term debt based on trading prices for its debt if available. As of March 31, 2022,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approximately $545.9 million and $552.8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1, 2021, the Company also had outstanding subordinated promissory notes (“Legacy Subordinated Notes”) that included paid-in-kind (“PIK”) interest. The interest on the Legacy Subordinated Notes is all PIK and is due upon maturity. Total PIK interest was $0.1 million for each of the three months ended March 31, 2022 and 2021.</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Credit Facilities are subject to certain financial and nonfinancial covenants and is secured by substantially all assets of the Company. As of March 31, 2022, the Company was in compliance with all of its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the Company’s debt for the years ending December 31 are as follows as of March 31, 2022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43"/>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9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3"/>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521,125</w:t>
            </w:r>
          </w:p>
        </w:tc>
      </w:tr>
      <w:tr>
        <w:trPr>
          <w:trHeight w:val="27"/>
        </w:trPr>
        <w:tc>
          <w:tcPr>
            <w:tcW w:w="95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aggregate maturities of the Company’s debt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553,123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aggregate maturities is future paid-in-kind interest totaling $0.2 million that will accrue over the term of the related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2021, the Company amended its Certificate of Incorporation (“Third Amended and Restated Certificate of Incorporation”) to increase the number of authorized shares of Preferred Stock from 125,000,000 shares to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then to Series A. In May 2021, the Company issued 7.9 million shares of Series C for proceeds of $109.8 million net of issuance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 successful IPO prior to February 23, 2026. The Company’s Series B accruing dividends comprised a component of the redemption value of such stock. The Company recorded the accretion of Series B through March 15, 2021, by increasing its carrying value and recording a corresponding reduction of Additional Paid-In Capital in the amount of $15.1 million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IPO, the Company filed an Amended and Restated Certificate of Incorporation on July 6, 2021 with the Secretary of State of the State of Delaware to authorize the issuance up to 2,050,000,000 shares, par value $0.00001 per share, consisting of 2,000,000,000 shares of common stock and 50,000,000 shares of preferred stock. 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IPO, the Company’s board of directors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 Based on the Company’s outstanding shares of common stock as of December 31, 2021, as of January 1, 2022 the number of shares reserved for issuance under the 2021 Plan increased by 5.9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Company’s board of directors adopted the 2021 Employee Stock Purchase Plan (the “ESPP”). For more information on the ESPP, refer to Note 11 in the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(“RSU”) and stock option activity for the three months ended March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7"/>
        </w:trPr>
        <w:tc>
          <w:tcPr>
            <w:tcW w:w="78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50"/>
        </w:trPr>
        <w:tc>
          <w:tcPr>
            <w:tcW w:w="8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r>
      <w:tr>
        <w:trPr>
          <w:trHeight w:val="243"/>
        </w:trPr>
        <w:tc>
          <w:tcPr>
            <w:tcW w:w="8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7"/>
        </w:trPr>
        <w:tc>
          <w:tcPr>
            <w:tcW w:w="7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11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8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78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was $25.3 million and $40.5 million related to outstanding restricted stock units and outstanding stock options,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unaudited condensed consolidated statements of operations and comprehensive loss as follows:</w:t>
      </w:r>
    </w:p>
    <w:p>
      <w:pPr>
        <w:spacing w:after="0" w:line="302"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7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7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Share Attributable to Common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as of:</w:t>
      </w:r>
    </w:p>
    <w:p>
      <w:pPr>
        <w:spacing w:after="0" w:line="275"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w:t>
            </w:r>
          </w:p>
        </w:tc>
        <w:tc>
          <w:tcPr>
            <w:tcW w:w="0" w:type="dxa"/>
            <w:vAlign w:val="bottom"/>
          </w:tcPr>
          <w:p>
            <w:pPr>
              <w:spacing w:after="0"/>
              <w:rPr>
                <w:sz w:val="1"/>
                <w:szCs w:val="1"/>
                <w:color w:val="auto"/>
              </w:rPr>
            </w:pPr>
          </w:p>
        </w:tc>
      </w:tr>
      <w:tr>
        <w:trPr>
          <w:trHeight w:val="236"/>
        </w:trPr>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7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Accretion of Series B to redemption value</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0" w:type="dxa"/>
            <w:vAlign w:val="bottom"/>
          </w:tcPr>
          <w:p>
            <w:pPr>
              <w:spacing w:after="0"/>
              <w:rPr>
                <w:sz w:val="1"/>
                <w:szCs w:val="1"/>
                <w:color w:val="auto"/>
              </w:rPr>
            </w:pPr>
          </w:p>
        </w:tc>
      </w:tr>
      <w:tr>
        <w:trPr>
          <w:trHeight w:val="26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 for basic and diluted EPS – net loss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Denominator for basic and diluted EPS – weighted-average shares of common stock outstanding used in</w:t>
            </w: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195,432,404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43,231,295</w:t>
            </w:r>
          </w:p>
        </w:tc>
        <w:tc>
          <w:tcPr>
            <w:tcW w:w="0" w:type="dxa"/>
            <w:vAlign w:val="bottom"/>
          </w:tcPr>
          <w:p>
            <w:pPr>
              <w:spacing w:after="0"/>
              <w:rPr>
                <w:sz w:val="1"/>
                <w:szCs w:val="1"/>
                <w:color w:val="auto"/>
              </w:rPr>
            </w:pPr>
          </w:p>
        </w:tc>
      </w:tr>
      <w:tr>
        <w:trPr>
          <w:trHeight w:val="254"/>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computing net loss per share</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2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780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4"/>
        </w:trPr>
        <w:tc>
          <w:tcPr>
            <w:tcW w:w="78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 and unvested RSUs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19,690,100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15,073,429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convertible preferred stock (Series A and B)</w:t>
            </w:r>
          </w:p>
        </w:tc>
        <w:tc>
          <w:tcPr>
            <w:tcW w:w="22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117,183,540</w:t>
            </w:r>
          </w:p>
        </w:tc>
      </w:tr>
      <w:tr>
        <w:trPr>
          <w:trHeight w:val="27"/>
        </w:trPr>
        <w:tc>
          <w:tcPr>
            <w:tcW w:w="78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anti-dilutive outstanding potential common stock</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19,690,100</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132,256,969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7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historically valued with Level 3 inputs on a recurring basis are contingent consideration.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contract assets, contract liabilities and accounts payable approximate their fair value because of the short-term nature of these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2022 or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2"/>
          </w:tcPr>
          <w:p>
            <w:pPr>
              <w:jc w:val="center"/>
              <w:ind w:right="5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opening and closing balance for contingent consideration measured at fair value on a recurring basis using significant unobservable inputs (Level 3) during the three months ended March 31,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9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settled through payment</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63"/>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9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 interim periods is based on our estimated annual effective tax rate. We record cumulative adjustments in the quarter in which a change in the estimated annual effective rate is determined.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benefit was $5.7 million and $3.5 million for the three months ended March 31, 2022 and 2021, respectively. Our effective income tax rate was 30.1% and 18.1% for the three months ended March 31, 2022 and 2021, respectively.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difference in the effective income tax rate was primarily driven by discrete items, including a California law change and an intercompany intellectual property sale in the three months ended March 31, 2022 and acquisition accounting in the three months ended March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obligated under non-cancelable operating leases for office space expiring through 2030. Most of these leases include renewal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due under the existing lease agreements are as follows as of March 31,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nine months)</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r>
      <w:tr>
        <w:trPr>
          <w:trHeight w:val="27"/>
        </w:trPr>
        <w:tc>
          <w:tcPr>
            <w:tcW w:w="9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9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payments due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the condensed consolidated statements of operations and comprehensive loss is total rent expense of approximately $2.6 million and $2.1 million for the three months ended March 31, 2022 and 2021, respectively.</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Geographic Areas</w:t>
            </w: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 as of:</w:t>
            </w: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73"/>
        </w:trPr>
        <w:tc>
          <w:tcPr>
            <w:tcW w:w="7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28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2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r>
      <w:tr>
        <w:trPr>
          <w:trHeight w:val="237"/>
        </w:trPr>
        <w:tc>
          <w:tcPr>
            <w:tcW w:w="7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81"/>
        </w:trPr>
        <w:tc>
          <w:tcPr>
            <w:tcW w:w="7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tcPr>
          <w:p>
            <w:pPr>
              <w:spacing w:after="0"/>
              <w:rPr>
                <w:sz w:val="7"/>
                <w:szCs w:val="7"/>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37,105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34,906</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2021 (the “Annual Report on Form 10-K”). Additionally, our historical results are not necessarily indicative of the results that may be expected for any period in the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over 600,000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03" w:lineRule="exact"/>
        <w:rPr>
          <w:sz w:val="20"/>
          <w:szCs w:val="20"/>
          <w:color w:val="auto"/>
        </w:rPr>
      </w:pPr>
    </w:p>
    <w:p>
      <w:pPr>
        <w:jc w:val="both"/>
        <w:ind w:left="500" w:hanging="168"/>
        <w:spacing w:after="0" w:line="26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Management Software: </w:t>
      </w:r>
      <w:r>
        <w:rPr>
          <w:rFonts w:ascii="Times New Roman" w:cs="Times New Roman" w:eastAsia="Times New Roman" w:hAnsi="Times New Roman"/>
          <w:sz w:val="18"/>
          <w:szCs w:val="18"/>
          <w:color w:val="auto"/>
        </w:rPr>
        <w:t>Our vertically-tailored Business Management Software is the system of action at the center of a service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203"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209" w:lineRule="exact"/>
        <w:rPr>
          <w:rFonts w:ascii="Times New Roman" w:cs="Times New Roman" w:eastAsia="Times New Roman" w:hAnsi="Times New Roman"/>
          <w:sz w:val="18"/>
          <w:szCs w:val="18"/>
          <w:b w:val="1"/>
          <w:bCs w:val="1"/>
          <w:color w:val="auto"/>
        </w:rPr>
      </w:pPr>
    </w:p>
    <w:p>
      <w:pPr>
        <w:jc w:val="both"/>
        <w:ind w:left="500" w:hanging="168"/>
        <w:spacing w:after="0" w:line="259"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Engagement Applications: </w:t>
      </w:r>
      <w:r>
        <w:rPr>
          <w:rFonts w:ascii="Times New Roman" w:cs="Times New Roman" w:eastAsia="Times New Roman" w:hAnsi="Times New Roman"/>
          <w:sz w:val="18"/>
          <w:szCs w:val="18"/>
          <w:color w:val="auto"/>
        </w:rPr>
        <w:t>Our Customer Engagement Applications modernize how businesses engage and interact with customers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NPS-based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199" w:lineRule="exact"/>
        <w:rPr>
          <w:sz w:val="20"/>
          <w:szCs w:val="20"/>
          <w:color w:val="auto"/>
        </w:rPr>
      </w:pPr>
    </w:p>
    <w:p>
      <w:pPr>
        <w:jc w:val="both"/>
        <w:ind w:left="500" w:hanging="168"/>
        <w:spacing w:after="0" w:line="25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Technology Solutions: </w:t>
      </w:r>
      <w:r>
        <w:rPr>
          <w:rFonts w:ascii="Times New Roman" w:cs="Times New Roman" w:eastAsia="Times New Roman" w:hAnsi="Times New Roman"/>
          <w:sz w:val="18"/>
          <w:szCs w:val="18"/>
          <w:color w:val="auto"/>
        </w:rPr>
        <w:t>Our Marketing Technology Solutions work with our Customer Engagement Applications to help customers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benefits from attractive unit economics. Approximately 95% of our revenue in the three months ended March 31, 2022 and 2021 was recurring or re-occurring, and we maintained an annualized net revenue retention rate of more than 100% for the quarter ended March 31, 2022.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calculation of net pro forma revenue retention rate remains consistent with prior periods. 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acquire companies to deepen our competitive moats in existing verticals, and enter new verticals and geographies. We have acquired 52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The COVID-19 pandemic has caused economies, businesses, markets and communities around the globe to be disrupted, and in many cases, shut-down. In the interest of public health, many governments closed physical stores and business locations deemed to be non-essential, which caused increased unemployment levels and businesses to permanently close. Many SMBs have been adversely impacted by the COVID-19 pandemic, and as a result, certain of our business operations were negatively impacted, while others have benefited from customers shifting to technology-focused, digital-first business models. A McKinsey survey from October 2020 revealed that global business executives have accelerated the digitization of their customer and supply-chain interactions by as much as three to four years. Although we cannot predict when the United States and global economy will fully recover from the COVID-19 pandemic, we believe that our business is well positioned to be a partner-of-choice for new customers, to capitalize on the growing trend of digital transformation and to benefit from the revival of the SMB economy. Nevertheless, we do not have certainty that a full economic recovery will happen in the near future, and it is possible that the prolonging of the COVID-19 pandemic will adversely affect our business, financial condition and results of operations. For more information regarding the potential impact of the COVID-19 pandemic on our business, refer to Part II.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our Business—The outbreak of the novel strain of coronavirus disease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Financial Performance</w:t>
      </w:r>
    </w:p>
    <w:p>
      <w:pPr>
        <w:spacing w:after="0" w:line="2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COVID-19 pandemic negatively impacted our financial performance in the second quarter of 2020, and to a lesser degree thru the remainder of 2020 and 2021, due to the adverse impact the pandemic had on certain service SMBs. However, given the diversification of our business, the financial impact was primarily limited to declines in revenue attributable to customers in the Fitness &amp; Wellness and Health Services verticals as many customers in those verticals were forced to close their business or limit operations. Due to the pandemic, in the three months ended June 30, 2020, our revenue declined from the three months ended March 31, 2020, excluding the impact of acquisitions closed in the first and second quarters of 2020. Throughout the second half of 2020 and for the year ended 2021, our revenues, excluding the impact of acquisitions closed within the respective periods, have increased as our customers and many service SMBs resumed operations and the impact of the pandemic has lessened.</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that the COVID-19 pandemic continues to evolve, the extent to which it may further impact our financial condition, results of operations, or liquidity continues to be uncertain and difficult to predict. Any further impact is likely to vary by specific verticals, solutions and geographies, with the diversity of our customer base potentially moderating the overall effect. Our priority remains the safety of our employees, customers and the communities in which we live and operate. We continue to remain in close and regular contact with our employees, customers, business partners and communities to help navigate these challenging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For discussion of these factors, please see “Key Factors Affecting Our Performance” in the Management’s Discussion and Analysis section of our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Revenue Growth 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 Growth Rate is a key performance measure that our management uses to assess our consolidated operating performance over time.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also uses this metric for planning and forecasting purposes.</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 Forma Revenue Growth rate was 20.2% for the three months ended March 31, 2022, reflective of the underlying growth in our business including new customers and providing more solutions to existing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27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22860</wp:posOffset>
            </wp:positionV>
            <wp:extent cx="23488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Pr>
          <w:p>
            <w:pPr>
              <w:spacing w:after="0"/>
              <w:rPr>
                <w:sz w:val="20"/>
                <w:szCs w:val="20"/>
                <w:color w:val="auto"/>
              </w:rPr>
            </w:pPr>
          </w:p>
        </w:tc>
      </w:tr>
      <w:tr>
        <w:trPr>
          <w:trHeight w:val="27"/>
        </w:trPr>
        <w:tc>
          <w:tcPr>
            <w:tcW w:w="7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37"/>
        </w:trPr>
        <w:tc>
          <w:tcPr>
            <w:tcW w:w="7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81"/>
        </w:trPr>
        <w:tc>
          <w:tcPr>
            <w:tcW w:w="7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87,278</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64,645</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(3)</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60" w:type="dxa"/>
            <w:vAlign w:val="bottom"/>
          </w:tcPr>
          <w:p>
            <w:pPr>
              <w:spacing w:after="0"/>
              <w:rPr>
                <w:sz w:val="21"/>
                <w:szCs w:val="21"/>
                <w:color w:val="auto"/>
              </w:rPr>
            </w:pPr>
          </w:p>
        </w:tc>
      </w:tr>
      <w:tr>
        <w:trPr>
          <w:trHeight w:val="27"/>
        </w:trPr>
        <w:tc>
          <w:tcPr>
            <w:tcW w:w="7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Adjusted gross profit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92,831</w:t>
            </w:r>
          </w:p>
        </w:tc>
        <w:tc>
          <w:tcPr>
            <w:tcW w:w="3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line="261"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calculated as total revenues less cost of revenues (exclusive of depreciation and amortization), amortization of developed technology, amortization of capitalized software and depreciation expense (allocated to cost of revenues).</w:t>
      </w:r>
    </w:p>
    <w:p>
      <w:pPr>
        <w:jc w:val="both"/>
        <w:ind w:left="660" w:hanging="328"/>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2022, gross profit represents total revenues of $143.6 million less cost of revenues (exclusive of depreciation and amortization) of $50.7 million, amortization of developed technology of $4.2 million, amortization of capitalized software of $1.1 million and depreciation expense (allocated to cost of revenues) of $0.3 million.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2021, gross profit represents total revenues of $104.9 million less cost of revenues (exclusive of depreciation and amortization) of $35.7 million, amortization of developed technology of $3.4 million, amortization of capitalized software of $0.8 million and depreciation expense (allocated to cost of revenues) of $0.4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or income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interest and other expense, net, income tax benefit,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p>
      <w:pPr>
        <w:spacing w:after="0" w:line="269"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(13,309)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amortization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non-recurring costs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64"/>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21,310</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w:t>
      </w:r>
      <w:r>
        <w:rPr>
          <w:rFonts w:ascii="Times New Roman" w:cs="Times New Roman" w:eastAsia="Times New Roman" w:hAnsi="Times New Roman"/>
          <w:sz w:val="18"/>
          <w:szCs w:val="18"/>
          <w:i w:val="1"/>
          <w:iCs w:val="1"/>
          <w:color w:val="auto"/>
        </w:rPr>
        <w:t>“Critical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and Significant Judgments and Estimates.”</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Subscription and Transaction Fees</w:t>
      </w:r>
      <w:r>
        <w:rPr>
          <w:rFonts w:ascii="Times New Roman" w:cs="Times New Roman" w:eastAsia="Times New Roman" w:hAnsi="Times New Roman"/>
          <w:sz w:val="18"/>
          <w:szCs w:val="18"/>
          <w:color w:val="auto"/>
        </w:rPr>
        <w:t>: Revenue includes (i) recurring monthly, quarterly and annual SaaS subscriptions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Marketing Technology Solutions: </w:t>
      </w:r>
      <w:r>
        <w:rPr>
          <w:rFonts w:ascii="Times New Roman" w:cs="Times New Roman" w:eastAsia="Times New Roman" w:hAnsi="Times New Roman"/>
          <w:sz w:val="18"/>
          <w:szCs w:val="18"/>
          <w:color w:val="auto"/>
        </w:rPr>
        <w:t>Revenue includes (i) recurring revenues for managing digital advertising programs on behalf of our customers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hosting, search engine management and optimization, social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and blog automation and (ii) re-occurring fees paid by service professionals for consumer leads generated by our various platforms.</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Revenue includes (i) consulting, implementation, training and other professional services; (ii) website development; (iii) revenue from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partnerships; (iv) event income and (v) hardware sales related to our business management or payment software solutions.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three months ended March 31, 2022, revenue from subscription and transaction fees increased 43.6%, compared to the three months ended March 31, 2021, whereas marketing technology solutions revenue increased 17.8%.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Sales and marketing expense consist primarily of employee costs for our sales and marketing personnel, including salaries, benefits, bonuses, stock 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on an absolute dollar basis for the foreseeable future as we continue to increase investments to support our growth. We also anticipate that sales and marketing expenses will increase as a percentage of revenue in the near and medium-term.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relate to intangible assets, property and equipment and capitalized software.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to our consolidated financial statements included in our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Acquisitions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comparability of our operating results is impacted by our business combinations and acquisitions. In our discussion of changes in our results of operations for the three months ended March 31, 2022 compared to the three months ended March 31, 2021, we quantitatively disclose the impact of the growth in certain of our revenues where such discussions would be meaningful. Expense contributions from our recent acquisitions for each of the respective period comparisons generally were not separately identifiable due to the integration of these businesses into our existing operations, and as such the discussion is focused on major changes in components of costs.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8"/>
        </w:trPr>
        <w:tc>
          <w:tcPr>
            <w:tcW w:w="7800" w:type="dxa"/>
            <w:vAlign w:val="bottom"/>
          </w:tcPr>
          <w:p>
            <w:pPr>
              <w:spacing w:after="0"/>
              <w:rPr>
                <w:sz w:val="21"/>
                <w:szCs w:val="21"/>
                <w:color w:val="auto"/>
              </w:rPr>
            </w:pPr>
          </w:p>
        </w:tc>
        <w:tc>
          <w:tcPr>
            <w:tcW w:w="278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60" w:type="dxa"/>
            <w:vAlign w:val="bottom"/>
          </w:tcPr>
          <w:p>
            <w:pPr>
              <w:spacing w:after="0"/>
              <w:rPr>
                <w:sz w:val="21"/>
                <w:szCs w:val="21"/>
                <w:color w:val="auto"/>
              </w:rPr>
            </w:pPr>
          </w:p>
        </w:tc>
      </w:tr>
      <w:tr>
        <w:trPr>
          <w:trHeight w:val="238"/>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6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108,001</w:t>
            </w:r>
          </w:p>
        </w:tc>
        <w:tc>
          <w:tcPr>
            <w:tcW w:w="8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75,195</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w:t>
            </w:r>
          </w:p>
        </w:tc>
      </w:tr>
      <w:tr>
        <w:trPr>
          <w:trHeight w:val="24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143,576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104,906</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(exclusive of depreciation and amortization presented separately below)</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w:t>
            </w:r>
          </w:p>
        </w:tc>
      </w:tr>
      <w:tr>
        <w:trPr>
          <w:trHeight w:val="27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30,145</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7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w:t>
            </w: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r>
      <w:tr>
        <w:trPr>
          <w:trHeight w:val="237"/>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157,144</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111,479</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(13,568)</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(12,949)</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(19,046)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r>
      <w:tr>
        <w:trPr>
          <w:trHeight w:val="24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(13,309)</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Product development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0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1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1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22860</wp:posOffset>
            </wp:positionV>
            <wp:extent cx="2082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4"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Pr>
          <w:p>
            <w:pPr>
              <w:spacing w:after="0"/>
              <w:rPr>
                <w:sz w:val="20"/>
                <w:szCs w:val="20"/>
                <w:color w:val="auto"/>
              </w:rPr>
            </w:pPr>
          </w:p>
        </w:tc>
      </w:tr>
      <w:tr>
        <w:trPr>
          <w:trHeight w:val="324"/>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7"/>
        </w:trPr>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-899795</wp:posOffset>
            </wp:positionV>
            <wp:extent cx="61207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20765" cy="17145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-556895</wp:posOffset>
            </wp:positionV>
            <wp:extent cx="612076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20765" cy="17145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-213995</wp:posOffset>
            </wp:positionV>
            <wp:extent cx="6120765"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2076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206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tcPr>
          <w:p>
            <w:pPr>
              <w:spacing w:after="0"/>
              <w:rPr>
                <w:sz w:val="20"/>
                <w:szCs w:val="20"/>
                <w:color w:val="auto"/>
              </w:rPr>
            </w:pPr>
          </w:p>
        </w:tc>
        <w:tc>
          <w:tcPr>
            <w:tcW w:w="19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9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9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spacing w:after="0"/>
              <w:rPr>
                <w:sz w:val="20"/>
                <w:szCs w:val="20"/>
                <w:color w:val="auto"/>
              </w:rPr>
            </w:pPr>
          </w:p>
        </w:tc>
        <w:tc>
          <w:tcPr>
            <w:tcW w:w="3200" w:type="dxa"/>
            <w:vAlign w:val="bottom"/>
            <w:gridSpan w:val="3"/>
          </w:tcPr>
          <w:p>
            <w:pPr>
              <w:ind w:left="130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51435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660" w:space="440"/>
            <w:col w:w="614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108,001</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75,195</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7"/>
        </w:trPr>
        <w:tc>
          <w:tcPr>
            <w:tcW w:w="5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7"/>
        </w:trPr>
        <w:tc>
          <w:tcPr>
            <w:tcW w:w="5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increased $38.7 million or 36.9% for the three months ended March 31, 2022, as compared to the corresponding period in 2021. This increase was primarily driven by increases in subscription and transaction fees of $32.8 million and marketing technology solutions of $4.5 million. The increase in subscription and transaction fees related to growth in our customer base, higher transaction volumes processed through our payments platform and revenue earned from acquisitions completed in 2021. The increase in marketing technology solutions related to growth in customers using our digital marketing applications and an increase in consumer leads generated by our platforms. Included in revenues for the three months ended March 31, 2022 is $17.0 million of revenue from acquisitions closed subsequent to March 31,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40" w:type="dxa"/>
            <w:vAlign w:val="bottom"/>
            <w:gridSpan w:val="4"/>
          </w:tcPr>
          <w:p>
            <w:pPr>
              <w:jc w:val="right"/>
              <w:ind w:right="121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presented separately below)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50,745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35,674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15,071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-676275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-676275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increased by $15.1 million or 42.2% for the three months ended March 31, 2022, as compared to the corresponding period in 2021. This increase is predominantly related to the continued growth of the Company and is primarily comprised of an additional $4.1 million of media spend, $3.0 million of personnel and compensation expense, and $2.7 million of outsourced services and other miscellaneous expense, including but not</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limited to, Application Programming Interface fees and hosting expense. As a percentage of revenue, cost of revenues was 35.3% and 34.0% for the three months ended March 31, 2022 and 2021,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4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30,145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10,456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$10.5 million or 53.1% for the three months ended March 31, 2022, as compared to the corresponding period in 2021. This increase was primarily driven by an additional $6.0 million of personnel and compensation expense and $1.8 million of advertising spend, due to the continued investment in growth through personnel and various marketing channels. As a percentage of revenue, sales and marketing was 21.0% and 18.8% for the three months ended March 31,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4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17,637</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7,312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development expenses increased by $7.3 million or 70.8% for the three months ended March 31, 2022, as compared to the corresponding period in 2021. This increase was primarily driven by additional product development-related personnel expenses of $6.1 million, as a result of investments in our technology teams to support our various solutions as well as centralized security operations, information technology and cloud engineering. As a percentage of revenue, product development expenses were 12.3% and 9.8% for the three months ended March 31,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4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31,226</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9,132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$9.1 million or 41.3% for the three months ended March 31, 2022, as compared to the corresponding period in 2021. This increase was primarily driven by an additional $4.5 million of stock-based compensation expense and $2.0 million of personnel and compensation expense, due to the continued investment in infrastructure required to support our rapid growth, scalable operations and being a public company. As a percentage of revenue, general and administrative expenses were 21.7% and 21.1% for the three months ended March 31, 2022 and 2021,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4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27,391</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3,694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by $3.7 million or 15.6% for the three months ended March 31, 2022, respectively, as compared to the corresponding period in 2021. This increase was primarily driven by an additional $3.2 million in intangible assets’ amortization as a result of intangible asset additions from our 2021 acquisitions. As a percentage of revenue, depreciation and amortization expenses were 19.1% and 22.6% for the three months ended March 31,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6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5,478</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(7,471)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expense, net, decreased by $7.5 million or 57.7% for the three months ended March 31, 2022, as compared to the corresponding period in 2021. This decrease was primarily due to an overall lower outstanding debt balance in 2022 compared to 2021, as well as a lower effective interest rate. As a percentage of revenue, interest and other expense were 3.8% and 12.3% for the three months ended March 31, 2022 and 2021,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4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8"/>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160" w:type="dxa"/>
            <w:vAlign w:val="bottom"/>
            <w:gridSpan w:val="4"/>
          </w:tcPr>
          <w:p>
            <w:pPr>
              <w:jc w:val="right"/>
              <w:ind w:right="12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5,737</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2,210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benefit increased by $2.2 million or 62.7% for the three months ended March 31, 2022, as compared to the corresponding period in 2021. This increase was primarily driven by discrete items, including a California law change and an intercompany intellectual property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our primary sources of liquidity have been net cash provided by operating activities, proceeds from equity issuances and proceeds from long-term debt.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primary use of liquidity has been acquisitions of businesses. For a description of our recent acquisitions, see Note 3 in the notes to the unaudited condensed consolidated financial statements included in this Quarterly Report on Form 10-Q. Absent significant deterioration of market conditions, we expect that working capital requirements, capital expenditures, acquisitions, debt servicing and lease obligations will be our principal needs for liquidity going forward. During the year ended December 31, 2021, we completed five acquisitions for total consideration of $367.1 million.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of March 31, 2022, we had cash, cash equivalents and restricted cash of $105.0 million, $190.0 million of available borrowing capacity under our Revolver (as defined below) and $547.3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Additional funds may not be available on terms favorable to us,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 See Part II,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cash flow data for the periods indicated therein:</w:t>
      </w:r>
    </w:p>
    <w:p>
      <w:pPr>
        <w:spacing w:after="0" w:line="302"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22860</wp:posOffset>
            </wp:positionV>
            <wp:extent cx="2185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(72,144)</w:t>
            </w:r>
          </w:p>
        </w:tc>
      </w:tr>
      <w:tr>
        <w:trPr>
          <w:trHeight w:val="27"/>
        </w:trPr>
        <w:tc>
          <w:tcPr>
            <w:tcW w:w="7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67,936</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7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net cash provided by operating activities consisted of net loss of $13.3 million, offset by net non-cash adjustments to net loss of $28.5 million and net changes in operating assets and liabilities of $2.4 million. Non-cash adjustments primarily consisted of depreciation and amortization of $27.4 million and stock-based compensation expense of $6.1 million, partially offset by deferred taxes of $6.0 million. Changes in working capital during the three months ended March 31, 2022 primarily included cash outflows from prepaid expenses and other current assets of $5.7 million, accounts receivable, net of $2.3 million and accounts payable of $2.1 million, partially offset by cash inflows of $4.2 million from deferred revenue and accrued expenses and other of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2021, net cash used in operating activities consisted of net loss of $16.0 million, offset by net non-cash adjustments to net loss of $23.7 million, and net changes in operating assets and liabilities of $13.1 million. Non-cash adjustments primarily consisted of depreciation and amortization of $23.7 million. Changes in working capital during the three months ended March 31, 2021 primarily included cash outflows from accrued expenses and other of $10.3 million and accounts receivable, net of $4.7 million, partially offset by cash inflows for deferred revenue of $5.1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net cash used in investing activities was $4.4 million. The cash flow used was driven primarily by costs to develop software of $3.5 million. The remainder was primarily for purchases of property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net cash used in investing activities was $72.1 million. The cash flow used was driven primarily by acquisition of companies, net of cash acquired, of $69.1 million. The remainder was primarily for purchases of property and equipment and costs to develop software.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net cash used in financing activities was $0.7 million. The cash flow used was driven by payments on long-term debt of $1.4 million, partially offset by the exercise of stock options of $0.7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net cash provided by financing activities was $67.9 million. The cash flow provided was driven primarily by proceeds from long-term debt of $69.2 million. The proceeds from these financings were primarily used to fund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our Initial Public Offering (the “IPO”), subsidiaries of the Company were party to a credit facility that provided for (i) a term loan in an aggregate principal amount of $415.0 million (the “Legacy Term Loan”), (ii) commitments for delayed draw term loans up to an aggregate principal amount of $385.0 million (the “Legacy Delayed Draw Term Loans”), (iii) commitments for revolving loans up to an aggregate principal amount of $50.0 million (the “Legacy Revolver”), and (iv) a sub-limit of the Revolver available for letters of credit up to an aggregate face amount of $10.0 million, or the letters of credit (the Legacy Term Loan, Legacy Delayed Draw Term Loans and Legacy Revolver are referred to herein as the “Legacy Credit Facilities”).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our IPO, on July 6, 2021 we refinanced our Legacy Credit Facilities and EverCommerce Solutions Inc., as borrower, and EverCommerce Intermediate Inc. entered into a new credit agreement (the “Credit Agreement”) in an aggregate principal amount of $540.0 million, consisting of (i) an aggregate principal amount of $350.0 million (the “Initial Term Loans”), (ii) a revolver with a capacity of $190.0 million (the “Revolver”), and (iii) a sub-limit of the Revolver available for letters of credit up to an aggregate face amount of $20.0 million. We used the net proceeds of the Initial Term Loans and a portion of the funds available under our Revolver, together with the net proceeds from the IPO, to repay all amounts outstanding under our Legacy Credit Facilities. In November 2021, the Company drew an additional $155.0 million on the Revolver to fund an acquisition. Subsequently, in November 2021, the Company drew an additional $200.0 million (the “Additional Term Loans,” and collectively with the Initial Term Loans, the “Term Loans”) as permitted by the Credit Agreement. The Company used the proceeds of the Additional Term Loans to repay all amounts outstanding on the Revolver and for general corporate purposes. The Initial Term Loans, Revolver and Additional Term Loans are collectively referred to herein as the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Borrowings under the Credit Facilities are available as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Term Loans and the New Revolver loans is 3% for Eurocurrency borrowings and 2% for ABR Borrowings, in each case subject to change based on our first lien net leverage ratio.</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there was $547.3 million outstanding under our Credit Facilities, all of which was related to the Term Loans as no amounts were outstanding under the Revolver. The effective interest rate on the Term Loans was approximately 4.0% for the three months ended March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were in compliance with the covenants under the Credit Facilities.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of March 31, 2022 from those disclosed in our Annual Report on Form 10-K.</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Notes 9 and 15 in the unaudited condensed consolidated financial statements included in this Quarterly Report on Form 10-Q and notes thereto for a discussion of our debt and operating lease obligations,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our financial statements in conformity with GAAP requires us to make estimates and assumptions that affect certain reported amounts of assets and liabilities and disclosure of contingent assets and liabilities at the date of the financial statements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amounts of revenue and expenses during the reporting period.</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are described in Part II Item 7, “Management’s Discussion and Analysis of Financial Condition and Results of Operations —Critical Accounting Policies” in our Annual Report on Form 10-K. During the three months ended March 31, 2022, there were no material changes to our critical accounting policies from those discussed in our Annual Report on Form 10-K.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Under the Jumpstart Our Business Startups Act of 2012</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disclosures regarding market risk as described in our Annual Report on Form 10-K under the heading Part II. Item 7A. </w:t>
      </w:r>
      <w:r>
        <w:rPr>
          <w:rFonts w:ascii="Times New Roman" w:cs="Times New Roman" w:eastAsia="Times New Roman" w:hAnsi="Times New Roman"/>
          <w:sz w:val="18"/>
          <w:szCs w:val="18"/>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43"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2022,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There have been no material changes to our risk factors from those included in our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 2022, Stone de Souza, the Chief Operating Officer of the Company, tendered his resignation from the Company, effective May 20,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4, 2022, Shane Driggers began serving as the Chief Human Resources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0"/>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Furnished</w:t>
            </w:r>
          </w:p>
        </w:tc>
      </w:tr>
      <w:tr>
        <w:trPr>
          <w:trHeight w:val="239"/>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020" w:type="dxa"/>
            <w:vAlign w:val="bottom"/>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57"/>
        </w:trPr>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18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Amended and Restated Certificate of Incorporation of EverCommerce Inc</w:t>
              </w:r>
            </w:hyperlink>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001-40575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7/9/2021</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34"/>
        </w:trPr>
        <w:tc>
          <w:tcPr>
            <w:tcW w:w="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00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r>
      <w:tr>
        <w:trPr>
          <w:trHeight w:val="18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6"/>
                <w:szCs w:val="16"/>
                <w:color w:val="auto"/>
              </w:rPr>
            </w:pPr>
          </w:p>
        </w:tc>
        <w:tc>
          <w:tcPr>
            <w:tcW w:w="5020" w:type="dxa"/>
            <w:vAlign w:val="bottom"/>
            <w:gridSpan w:val="12"/>
          </w:tcPr>
          <w:p>
            <w:pPr>
              <w:ind w:left="20"/>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Amended and Restated Bylaws of EverCommerce Inc</w:t>
              </w:r>
            </w:hyperlink>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001-40575</w:t>
            </w:r>
          </w:p>
        </w:tc>
        <w:tc>
          <w:tcPr>
            <w:tcW w:w="100" w:type="dxa"/>
            <w:vAlign w:val="bottom"/>
          </w:tcPr>
          <w:p>
            <w:pPr>
              <w:spacing w:after="0"/>
              <w:rPr>
                <w:sz w:val="16"/>
                <w:szCs w:val="16"/>
                <w:color w:val="auto"/>
              </w:rPr>
            </w:pPr>
          </w:p>
        </w:tc>
        <w:tc>
          <w:tcPr>
            <w:tcW w:w="86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7/9/2021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69"/>
        </w:trPr>
        <w:tc>
          <w:tcPr>
            <w:tcW w:w="92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4540" w:type="dxa"/>
            <w:vAlign w:val="bottom"/>
            <w:tcBorders>
              <w:top w:val="single" w:sz="8" w:color="0000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14(a)</w:t>
            </w:r>
          </w:p>
        </w:tc>
        <w:tc>
          <w:tcPr>
            <w:tcW w:w="18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189"/>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2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4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FF"/>
                <w:w w:val="94"/>
              </w:rPr>
              <w:t>14(a)</w:t>
            </w:r>
          </w:p>
        </w:tc>
        <w:tc>
          <w:tcPr>
            <w:tcW w:w="4060" w:type="dxa"/>
            <w:vAlign w:val="bottom"/>
            <w:tcBorders>
              <w:top w:val="single" w:sz="8" w:color="0000FF"/>
            </w:tcBorders>
            <w:gridSpan w:val="2"/>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r>
      <w:tr>
        <w:trPr>
          <w:trHeight w:val="48"/>
        </w:trPr>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189"/>
        </w:trPr>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2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7"/>
        </w:trPr>
        <w:tc>
          <w:tcPr>
            <w:tcW w:w="9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32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w w:val="93"/>
              </w:rPr>
              <w:t>1350</w:t>
            </w: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3000" w:type="dxa"/>
            <w:vAlign w:val="bottom"/>
            <w:tcBorders>
              <w:top w:val="single" w:sz="8" w:color="0000FF"/>
              <w:bottom w:val="single" w:sz="8" w:color="CCEEFF"/>
            </w:tcBorders>
            <w:shd w:val="clear" w:color="auto" w:fill="CCEEFF"/>
          </w:tcPr>
          <w:p>
            <w:pPr>
              <w:spacing w:after="0"/>
              <w:rPr>
                <w:sz w:val="18"/>
                <w:szCs w:val="18"/>
                <w:color w:val="auto"/>
              </w:rPr>
            </w:pPr>
          </w:p>
        </w:tc>
        <w:tc>
          <w:tcPr>
            <w:tcW w:w="1060" w:type="dxa"/>
            <w:vAlign w:val="bottom"/>
            <w:tcBorders>
              <w:top w:val="single" w:sz="8" w:color="0000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w:t>
            </w:r>
          </w:p>
        </w:tc>
      </w:tr>
      <w:tr>
        <w:trPr>
          <w:trHeight w:val="189"/>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6"/>
                <w:szCs w:val="16"/>
                <w:color w:val="auto"/>
              </w:rPr>
            </w:pPr>
          </w:p>
        </w:tc>
        <w:tc>
          <w:tcPr>
            <w:tcW w:w="502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34"/>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2"/>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2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500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the Inline XBRL document.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02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02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02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02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02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2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0" w:type="dxa"/>
            <w:vAlign w:val="bottom"/>
            <w:gridSpan w:val="11"/>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 Exhibit 101)</w:t>
            </w: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r>
    </w:tbl>
    <w:p>
      <w:pPr>
        <w:spacing w:after="0" w:line="30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EVERCOMMERCE INC.</w:t>
      </w:r>
    </w:p>
    <w:p>
      <w:pPr>
        <w:spacing w:after="0" w:line="329" w:lineRule="exact"/>
        <w:rPr>
          <w:sz w:val="20"/>
          <w:szCs w:val="20"/>
          <w:color w:val="auto"/>
        </w:rPr>
      </w:pPr>
    </w:p>
    <w:p>
      <w:pPr>
        <w:ind w:left="20"/>
        <w:spacing w:after="0"/>
        <w:tabs>
          <w:tab w:leader="none" w:pos="5640" w:val="left"/>
          <w:tab w:leader="none" w:pos="8200" w:val="left"/>
        </w:tabs>
        <w:rPr>
          <w:sz w:val="20"/>
          <w:szCs w:val="20"/>
          <w:color w:val="auto"/>
        </w:rPr>
      </w:pPr>
      <w:r>
        <w:rPr>
          <w:rFonts w:ascii="Times New Roman" w:cs="Times New Roman" w:eastAsia="Times New Roman" w:hAnsi="Times New Roman"/>
          <w:sz w:val="18"/>
          <w:szCs w:val="18"/>
          <w:b w:val="1"/>
          <w:bCs w:val="1"/>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36830</wp:posOffset>
            </wp:positionV>
            <wp:extent cx="31718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63"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640" w:val="left"/>
          <w:tab w:leader="none" w:pos="8020" w:val="left"/>
        </w:tabs>
        <w:rPr>
          <w:sz w:val="20"/>
          <w:szCs w:val="20"/>
          <w:color w:val="auto"/>
        </w:rPr>
      </w:pPr>
      <w:r>
        <w:rPr>
          <w:rFonts w:ascii="Times New Roman" w:cs="Times New Roman" w:eastAsia="Times New Roman" w:hAnsi="Times New Roman"/>
          <w:sz w:val="18"/>
          <w:szCs w:val="18"/>
          <w:b w:val="1"/>
          <w:bCs w:val="1"/>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36830</wp:posOffset>
            </wp:positionV>
            <wp:extent cx="31718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Marc Thompson</w:t>
      </w:r>
    </w:p>
    <w:p>
      <w:pPr>
        <w:spacing w:after="0" w:line="63"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98"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4" w:right="3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Thompson, certify that:</w:t>
      </w:r>
    </w:p>
    <w:p>
      <w:pPr>
        <w:spacing w:after="0" w:line="198"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20" w:hanging="412"/>
        <w:spacing w:after="0" w:line="23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98"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ind w:left="20"/>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tab/>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Marc Thompson</w:t>
      </w:r>
    </w:p>
    <w:p>
      <w:pPr>
        <w:spacing w:after="0" w:line="6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March 31, 2022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93" w:lineRule="exact"/>
        <w:rPr>
          <w:sz w:val="20"/>
          <w:szCs w:val="20"/>
          <w:color w:val="auto"/>
        </w:rPr>
      </w:pPr>
    </w:p>
    <w:p>
      <w:pPr>
        <w:ind w:left="20"/>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5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0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March 31, 2022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93" w:lineRule="exact"/>
        <w:rPr>
          <w:sz w:val="20"/>
          <w:szCs w:val="20"/>
          <w:color w:val="auto"/>
        </w:rPr>
      </w:pPr>
    </w:p>
    <w:p>
      <w:pPr>
        <w:ind w:left="20"/>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tab/>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Marc Thompson</w:t>
      </w:r>
    </w:p>
    <w:p>
      <w:pPr>
        <w:spacing w:after="0" w:line="5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87" Type="http://schemas.openxmlformats.org/officeDocument/2006/relationships/hyperlink" Target="http://www.sec.gov/Archives/edgar/data/0001853145/000114036121023912/nt10022251x16_ex3-1.htm" TargetMode="External"/><Relationship Id="rId88" Type="http://schemas.openxmlformats.org/officeDocument/2006/relationships/hyperlink" Target="http://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2022-05-09T17:06:05Z</dcterms:created>
  <dcterms:modified xsi:type="dcterms:W3CDTF">2022-05-09T17:06:05Z</dcterms:modified>
</cp:coreProperties>
</file>