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9103.xml.htm"/>
      <w:bookmarkStart w:id="1" w:name="kswkform4_1788899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Storey Lisa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1,170</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220,188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1,580</w:t>
            </w:r>
            <w:r>
              <w:rPr>
                <w:rFonts w:ascii="Times;serif" w:hAnsi="Times;serif"/>
                <w:color w:val="008000"/>
                <w:position w:val="7"/>
                <w:sz w:val="16"/>
                <w:sz w:val="20"/>
                <w:shd w:fill="FFFFFF" w:val="clear"/>
              </w:rPr>
              <w:t>(2)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218,608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w:t>
            </w:r>
            <w:r>
              <w:rPr>
                <w:rFonts w:ascii="Times;serif" w:hAnsi="Times;serif"/>
                <w:color w:val="008000"/>
                <w:position w:val="7"/>
                <w:sz w:val="16"/>
                <w:sz w:val="20"/>
                <w:shd w:fill="FFFFFF" w:val="clear"/>
              </w:rPr>
              <w:t>(3)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217,185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withheld by the Issuer to cover the reporting person's tax withholding obligation upon the vesting of Restricted Stock Units granted on March 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withheld by the Issuer to cover the reporting person's tax withholding obligation upon the vesting of Restricted Stock Units granted on March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common stock withheld by the Issuer to cover the reporting person's tax withholding obligation upon the vesting of Restricted Stock Units granted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574"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3693</Characters>
  <CharactersWithSpaces>4291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