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2928.xml.htm"/>
      <w:bookmarkStart w:id="1" w:name="kswkform4_17900229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Goor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EverCommerce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EVCM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338,142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338,142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422,678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760,820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("RSUs"). Each RSU represents a contingent right to receive one share of the Issuer's Common Stock. 25% of the RSUs vest on August 5, 2027, and the remainder vest in 12 equal quarterly installments thereafter, subject to the Reporting Person's continued service through the applicable vesting dates.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an award of performance-based restricted stock units ("PSUs"). Each PSU represents a contingent right to receive one share of the Issuer's Common Stock. The PSUs vest in multiple tranches upon the Issuer's Common Stock achieving specified prices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Lisa Storey,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4485" TargetMode="External"/><Relationship Id="rId5" Type="http://schemas.openxmlformats.org/officeDocument/2006/relationships/hyperlink" Target="http://www.sec.gov/cgi-bin/browse-edgar?action=getcompany&amp;CIK=00018531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3649</Characters>
  <CharactersWithSpaces>4240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