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1160780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10-K</w:t>
      </w:r>
    </w:p>
    <w:p>
      <w:pPr>
        <w:spacing w:after="0" w:line="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(Mark One)</w:t>
      </w:r>
    </w:p>
    <w:p>
      <w:pPr>
        <w:spacing w:after="0" w:line="219" w:lineRule="exact"/>
        <w:rPr>
          <w:sz w:val="24"/>
          <w:szCs w:val="24"/>
          <w:color w:val="auto"/>
        </w:rPr>
      </w:pPr>
    </w:p>
    <w:p>
      <w:pPr>
        <w:ind w:left="3920" w:right="1900" w:hanging="3723"/>
        <w:spacing w:after="0" w:line="383" w:lineRule="auto"/>
        <w:tabs>
          <w:tab w:leader="none" w:pos="56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ind w:left="54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279" w:lineRule="exact"/>
        <w:rPr>
          <w:sz w:val="24"/>
          <w:szCs w:val="24"/>
          <w:color w:val="auto"/>
        </w:rPr>
      </w:pPr>
    </w:p>
    <w:p>
      <w:pPr>
        <w:ind w:left="600" w:hanging="403"/>
        <w:spacing w:after="0"/>
        <w:tabs>
          <w:tab w:leader="none" w:pos="60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142"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transition period from to</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001-40575</w:t>
      </w:r>
    </w:p>
    <w:p>
      <w:pPr>
        <w:spacing w:after="0" w:line="1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EverCommerce Inc.</w:t>
      </w:r>
    </w:p>
    <w:p>
      <w:pPr>
        <w:spacing w:after="0" w:line="145"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(Exact name of registrant as specified in its charter)</w:t>
      </w:r>
    </w:p>
    <w:p>
      <w:pPr>
        <w:sectPr>
          <w:pgSz w:w="11900" w:h="16838" w:orient="portrait"/>
          <w:cols w:equalWidth="0" w:num="1">
            <w:col w:w="11260"/>
          </w:cols>
          <w:pgMar w:left="320" w:top="1440" w:right="319" w:bottom="1440" w:gutter="0" w:footer="0" w:header="0"/>
        </w:sectPr>
      </w:pPr>
    </w:p>
    <w:p>
      <w:pPr>
        <w:spacing w:after="0" w:line="215" w:lineRule="exact"/>
        <w:rPr>
          <w:sz w:val="24"/>
          <w:szCs w:val="24"/>
          <w:color w:val="auto"/>
        </w:rPr>
      </w:pPr>
    </w:p>
    <w:p>
      <w:pPr>
        <w:jc w:val="center"/>
        <w:ind w:left="1280"/>
        <w:spacing w:after="0"/>
        <w:rPr>
          <w:sz w:val="20"/>
          <w:szCs w:val="20"/>
          <w:color w:val="auto"/>
        </w:rPr>
      </w:pPr>
      <w:r>
        <w:rPr>
          <w:rFonts w:ascii="Arial" w:cs="Arial" w:eastAsia="Arial" w:hAnsi="Arial"/>
          <w:sz w:val="18"/>
          <w:szCs w:val="18"/>
          <w:b w:val="1"/>
          <w:bCs w:val="1"/>
          <w:color w:val="auto"/>
        </w:rPr>
        <w:t>Delaware</w:t>
      </w:r>
    </w:p>
    <w:p>
      <w:pPr>
        <w:spacing w:after="0" w:line="50" w:lineRule="exact"/>
        <w:rPr>
          <w:sz w:val="24"/>
          <w:szCs w:val="24"/>
          <w:color w:val="auto"/>
        </w:rPr>
      </w:pPr>
    </w:p>
    <w:p>
      <w:pPr>
        <w:ind w:left="2600"/>
        <w:spacing w:after="0"/>
        <w:rPr>
          <w:sz w:val="20"/>
          <w:szCs w:val="20"/>
          <w:color w:val="auto"/>
        </w:rPr>
      </w:pPr>
      <w:r>
        <w:rPr>
          <w:rFonts w:ascii="Arial" w:cs="Arial" w:eastAsia="Arial" w:hAnsi="Arial"/>
          <w:sz w:val="18"/>
          <w:szCs w:val="18"/>
          <w:b w:val="1"/>
          <w:bCs w:val="1"/>
          <w:color w:val="auto"/>
        </w:rPr>
        <w:t>(State or other jurisdiction of</w:t>
      </w:r>
    </w:p>
    <w:p>
      <w:pPr>
        <w:spacing w:after="0" w:line="16" w:lineRule="exact"/>
        <w:rPr>
          <w:sz w:val="24"/>
          <w:szCs w:val="24"/>
          <w:color w:val="auto"/>
        </w:rPr>
      </w:pPr>
    </w:p>
    <w:p>
      <w:pPr>
        <w:ind w:left="2560"/>
        <w:spacing w:after="0"/>
        <w:rPr>
          <w:sz w:val="20"/>
          <w:szCs w:val="20"/>
          <w:color w:val="auto"/>
        </w:rPr>
      </w:pPr>
      <w:r>
        <w:rPr>
          <w:rFonts w:ascii="Arial" w:cs="Arial" w:eastAsia="Arial" w:hAnsi="Arial"/>
          <w:sz w:val="18"/>
          <w:szCs w:val="18"/>
          <w:b w:val="1"/>
          <w:bCs w:val="1"/>
          <w:color w:val="auto"/>
        </w:rPr>
        <w:t>incorporation or organization)</w:t>
      </w:r>
    </w:p>
    <w:p>
      <w:pPr>
        <w:spacing w:after="0" w:line="286" w:lineRule="exact"/>
        <w:rPr>
          <w:sz w:val="24"/>
          <w:szCs w:val="24"/>
          <w:color w:val="auto"/>
        </w:rPr>
      </w:pPr>
    </w:p>
    <w:p>
      <w:pPr>
        <w:jc w:val="center"/>
        <w:ind w:left="1280"/>
        <w:spacing w:after="0"/>
        <w:rPr>
          <w:sz w:val="20"/>
          <w:szCs w:val="20"/>
          <w:color w:val="auto"/>
        </w:rPr>
      </w:pPr>
      <w:r>
        <w:rPr>
          <w:rFonts w:ascii="Arial" w:cs="Arial" w:eastAsia="Arial" w:hAnsi="Arial"/>
          <w:sz w:val="18"/>
          <w:szCs w:val="18"/>
          <w:b w:val="1"/>
          <w:bCs w:val="1"/>
          <w:color w:val="auto"/>
        </w:rPr>
        <w:t>3601 Walnut Street, Suite 400</w:t>
      </w:r>
    </w:p>
    <w:p>
      <w:pPr>
        <w:spacing w:after="0" w:line="16" w:lineRule="exact"/>
        <w:rPr>
          <w:sz w:val="24"/>
          <w:szCs w:val="24"/>
          <w:color w:val="auto"/>
        </w:rPr>
      </w:pPr>
    </w:p>
    <w:p>
      <w:pPr>
        <w:jc w:val="center"/>
        <w:ind w:left="1280"/>
        <w:spacing w:after="0"/>
        <w:rPr>
          <w:sz w:val="20"/>
          <w:szCs w:val="20"/>
          <w:color w:val="auto"/>
        </w:rPr>
      </w:pPr>
      <w:r>
        <w:rPr>
          <w:rFonts w:ascii="Arial" w:cs="Arial" w:eastAsia="Arial" w:hAnsi="Arial"/>
          <w:sz w:val="18"/>
          <w:szCs w:val="18"/>
          <w:b w:val="1"/>
          <w:bCs w:val="1"/>
          <w:color w:val="auto"/>
        </w:rPr>
        <w:t>Denver, Colorado</w:t>
      </w:r>
    </w:p>
    <w:p>
      <w:pPr>
        <w:spacing w:after="0" w:line="30" w:lineRule="exact"/>
        <w:rPr>
          <w:sz w:val="24"/>
          <w:szCs w:val="24"/>
          <w:color w:val="auto"/>
        </w:rPr>
      </w:pPr>
    </w:p>
    <w:p>
      <w:pPr>
        <w:ind w:left="2240"/>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13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(720) 647-4948</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81-4063248</w:t>
      </w:r>
    </w:p>
    <w:p>
      <w:pPr>
        <w:spacing w:after="0" w:line="144"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80205</w:t>
      </w:r>
    </w:p>
    <w:p>
      <w:pPr>
        <w:spacing w:after="0" w:line="50" w:lineRule="exact"/>
        <w:rPr>
          <w:sz w:val="24"/>
          <w:szCs w:val="24"/>
          <w:color w:val="auto"/>
        </w:rPr>
      </w:pPr>
    </w:p>
    <w:p>
      <w:pPr>
        <w:jc w:val="center"/>
        <w:ind w:right="2220"/>
        <w:spacing w:after="0"/>
        <w:rPr>
          <w:sz w:val="20"/>
          <w:szCs w:val="20"/>
          <w:color w:val="auto"/>
        </w:rPr>
      </w:pPr>
      <w:r>
        <w:rPr>
          <w:rFonts w:ascii="Arial" w:cs="Arial" w:eastAsia="Arial" w:hAnsi="Arial"/>
          <w:sz w:val="18"/>
          <w:szCs w:val="18"/>
          <w:b w:val="1"/>
          <w:bCs w:val="1"/>
          <w:color w:val="auto"/>
        </w:rPr>
        <w:t>(Zip Code)</w:t>
      </w:r>
    </w:p>
    <w:p>
      <w:pPr>
        <w:spacing w:after="0" w:line="458" w:lineRule="exact"/>
        <w:rPr>
          <w:sz w:val="24"/>
          <w:szCs w:val="24"/>
          <w:color w:val="auto"/>
        </w:rPr>
      </w:pPr>
    </w:p>
    <w:p>
      <w:pPr>
        <w:sectPr>
          <w:pgSz w:w="11900" w:h="16838" w:orient="portrait"/>
          <w:cols w:equalWidth="0" w:num="2">
            <w:col w:w="6180" w:space="120"/>
            <w:col w:w="4960"/>
          </w:cols>
          <w:pgMar w:left="320" w:top="1440" w:right="319" w:bottom="1440" w:gutter="0" w:footer="0" w:header="0"/>
          <w:type w:val="continuous"/>
        </w:sectPr>
      </w:pPr>
    </w:p>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1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0" w:lineRule="exact"/>
        <w:rPr>
          <w:sz w:val="24"/>
          <w:szCs w:val="24"/>
          <w:color w:val="auto"/>
        </w:rPr>
      </w:pPr>
    </w:p>
    <w:tbl>
      <w:tblPr>
        <w:tblLayout w:type="fixed"/>
        <w:tblInd w:w="10" w:type="dxa"/>
        <w:tblCellMar>
          <w:top w:w="0" w:type="dxa"/>
          <w:left w:w="0" w:type="dxa"/>
          <w:bottom w:w="0" w:type="dxa"/>
          <w:right w:w="0" w:type="dxa"/>
        </w:tblCellMar>
      </w:tblPr>
      <w:tr>
        <w:trPr>
          <w:trHeight w:val="248"/>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4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5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
        </w:trPr>
        <w:tc>
          <w:tcPr>
            <w:tcW w:w="3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460" w:type="dxa"/>
            <w:vAlign w:val="bottom"/>
            <w:tcBorders>
              <w:bottom w:val="single" w:sz="8" w:color="auto"/>
              <w:right w:val="single" w:sz="8" w:color="auto"/>
            </w:tcBorders>
          </w:tcPr>
          <w:p>
            <w:pPr>
              <w:spacing w:after="0" w:line="20" w:lineRule="exact"/>
              <w:rPr>
                <w:sz w:val="1"/>
                <w:szCs w:val="1"/>
                <w:color w:val="auto"/>
              </w:rPr>
            </w:pPr>
          </w:p>
        </w:tc>
        <w:tc>
          <w:tcPr>
            <w:tcW w:w="506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3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$0.00001 par value</w:t>
            </w:r>
          </w:p>
        </w:tc>
        <w:tc>
          <w:tcPr>
            <w:tcW w:w="24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EVCM</w:t>
            </w:r>
          </w:p>
        </w:tc>
        <w:tc>
          <w:tcPr>
            <w:tcW w:w="5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6"/>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5060" w:type="dxa"/>
            <w:vAlign w:val="bottom"/>
            <w:tcBorders>
              <w:bottom w:val="single" w:sz="8" w:color="auto"/>
              <w:right w:val="single" w:sz="8" w:color="auto"/>
            </w:tcBorders>
          </w:tcPr>
          <w:p>
            <w:pPr>
              <w:spacing w:after="0"/>
              <w:rPr>
                <w:sz w:val="2"/>
                <w:szCs w:val="2"/>
                <w:color w:val="auto"/>
              </w:rPr>
            </w:pPr>
          </w:p>
        </w:tc>
      </w:tr>
    </w:tbl>
    <w:p>
      <w:pPr>
        <w:spacing w:after="0" w:line="32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3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859155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was required to file such reports), and (2) has been subject to such filing requirements for the past 90 days.</w:t>
      </w:r>
    </w:p>
    <w:p>
      <w:pPr>
        <w:spacing w:after="0" w:line="23" w:lineRule="exact"/>
        <w:rPr>
          <w:sz w:val="20"/>
          <w:szCs w:val="20"/>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38" w:lineRule="exact"/>
        <w:rPr>
          <w:sz w:val="20"/>
          <w:szCs w:val="20"/>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0" w:lineRule="exact"/>
        <w:rPr>
          <w:sz w:val="20"/>
          <w:szCs w:val="20"/>
          <w:color w:val="auto"/>
        </w:rPr>
      </w:pPr>
    </w:p>
    <w:p>
      <w:pPr>
        <w:spacing w:after="0" w:line="383" w:lineRule="exact"/>
        <w:rPr>
          <w:sz w:val="20"/>
          <w:szCs w:val="20"/>
          <w:color w:val="auto"/>
        </w:rPr>
      </w:pPr>
    </w:p>
    <w:tbl>
      <w:tblPr>
        <w:tblLayout w:type="fixed"/>
        <w:tblInd w:w="2080" w:type="dxa"/>
        <w:tblCellMar>
          <w:top w:w="0" w:type="dxa"/>
          <w:left w:w="0" w:type="dxa"/>
          <w:bottom w:w="0" w:type="dxa"/>
          <w:right w:w="0" w:type="dxa"/>
        </w:tblCellMar>
      </w:tblPr>
      <w:tr>
        <w:trPr>
          <w:trHeight w:val="257"/>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400"/>
              <w:spacing w:after="0"/>
              <w:rPr>
                <w:sz w:val="20"/>
                <w:szCs w:val="20"/>
                <w:color w:val="auto"/>
              </w:rPr>
            </w:pPr>
            <w:r>
              <w:rPr>
                <w:rFonts w:ascii="Arial" w:cs="Arial" w:eastAsia="Arial" w:hAnsi="Arial"/>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1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ind w:left="400"/>
              <w:spacing w:after="0"/>
              <w:rPr>
                <w:sz w:val="20"/>
                <w:szCs w:val="20"/>
                <w:color w:val="auto"/>
              </w:rPr>
            </w:pPr>
            <w:r>
              <w:rPr>
                <w:rFonts w:ascii="Arial" w:cs="Arial" w:eastAsia="Arial" w:hAnsi="Arial"/>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102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2820" w:type="dxa"/>
            <w:vAlign w:val="bottom"/>
          </w:tcPr>
          <w:p>
            <w:pPr>
              <w:spacing w:after="0"/>
              <w:rPr>
                <w:sz w:val="24"/>
                <w:szCs w:val="24"/>
                <w:color w:val="auto"/>
              </w:rPr>
            </w:pPr>
          </w:p>
        </w:tc>
        <w:tc>
          <w:tcPr>
            <w:tcW w:w="600" w:type="dxa"/>
            <w:vAlign w:val="bottom"/>
          </w:tcPr>
          <w:p>
            <w:pPr>
              <w:spacing w:after="0"/>
              <w:rPr>
                <w:sz w:val="24"/>
                <w:szCs w:val="24"/>
                <w:color w:val="auto"/>
              </w:rPr>
            </w:pPr>
          </w:p>
        </w:tc>
      </w:tr>
    </w:tbl>
    <w:p>
      <w:pPr>
        <w:spacing w:after="0" w:line="290" w:lineRule="exact"/>
        <w:rPr>
          <w:sz w:val="20"/>
          <w:szCs w:val="20"/>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5"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8"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71"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As of June 30, 2022, the aggregate market value of the voting and non-voting common equity held by non-affiliates of the registrant, based on the last reported sales price for the registrant’s common stock, par value $0.00001 per share, on the Nasdaq Stock Market on such date, was $267.7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had outstanding 189,493,393 shares of common stock as of March 10, 2023.</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Portions of the registrant’s definitive Proxy Statement relating to its 2023 Annual Meeting of Stockholders to be filed with the SEC within 120 days after the end of the fiscal year ended December 31, 2022 are incorporated herein by reference in 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1381760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 w:name="page3"/>
    <w:bookmarkEnd w:id="2"/>
    <w:p>
      <w:pPr>
        <w:spacing w:after="0" w:line="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32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This Annual Report on Form 10-K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Annual Report on Form 10-K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Annual Report on Form 10-K include, but are not limited to statements regarding our future results of operations and financial position, industry and business trends, equity compensation, business strategy, plans, market growth, future acquisitions and other capital expenditures, and our objectives for future operations.</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this Annual Report on Form 10-K for the year ended December 31, 2022. The forward-looking statements in this Annual Report on Form 10-K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96"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You should read this Annual Report on Form 10-K and the documents that we reference in this Annual Report on Form 10-K and have filed as exhibits to this Annual Report on Form 10-K with the understanding that our actual future results, performance and achievements may be materially different from what we expect. We qualify all of our forward-looking statements by these cautionary statements. These forward-looking statements speak only as of the date of this Annual Report on Form 10-K. Except as required by applicable law, we do not plan to publicly update or revise any forward-looking statements contained in this Annual Report on Form 10-K, whether as a result of any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1179830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SUMMARY RISK FACTORS</w:t>
      </w:r>
    </w:p>
    <w:p>
      <w:pPr>
        <w:spacing w:after="0" w:line="24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Annual Report on Form 10-K. You should carefully consider these risks and uncertainties when investing in our common stock. The principal risks and uncertainties affecting our business include the following:</w:t>
      </w:r>
    </w:p>
    <w:p>
      <w:pPr>
        <w:spacing w:after="0" w:line="209" w:lineRule="exact"/>
        <w:rPr>
          <w:sz w:val="20"/>
          <w:szCs w:val="20"/>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limited operating history and our evolving business make it difficult to evaluate our future prospects and the risks and challenges we may encounter.</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recent growth rates may not be sustainable or indicative of future growth and we expect our growth rate to slow.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experienced net losses in the past and we may not achieve profitability in the future.</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continue to experience significant quarterly and annual fluctuations in our operating results due to a number of factors, which makes our future operating results difficult to predict.</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reduce our rate of acquisitions and may be unsuccessful in achieving continued growth through acquisitions.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Revenues and profits generated through acquisitions may be less than anticipated, and we may fail to uncover all liabilities of acquisition targets.</w:t>
      </w:r>
    </w:p>
    <w:p>
      <w:pPr>
        <w:spacing w:after="0" w:line="32"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order to support the growth of our business and our acquisition strategy, we may need to incur additional indebtedness or seek capital through new equity or debt financings.</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continue to expand our share of our existing vertical markets or expand into new vertical markets, which would inhibit our ability to grow and increase our profitability.</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intense competition in each of the industries in which we operate, which could negatively impact our business, results of operations and financial condition and cause our market share to decline.</w:t>
      </w: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industries in which we operate are rapidly evolving and subject to consolidation and the market for technology-enabled services that empower SMBs (defined below) is relatively immature and unproven.</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subject to economic and political risk, the business cycles of our clients and changes in the overall level of consumer and commercial spending, which could negatively impact our business, financial condition and results of operations.</w:t>
      </w: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on payment card networks, such as Visa and MasterCard, and payment processors, such as Worldpay and PayPal, and if we fail to comply with the applicable requirements of our payment network or payment processors, they can seek to fine us, suspend us or terminate our registrations through our bank sponsors.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 payment technology.</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or perceived errors, failures or bugs in our solutions could adversely affect our business, results of operations, financial condition and growth prospects.</w:t>
      </w: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Unauthorized disclosure, destruction or modification of data, disruption of our software or services could expose us to liability, protracted and costly litigation and damage our reputation.</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estimated total addressable market is subject to inherent challenges and uncertainties.</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effectively develop and expand our sales and marketing capabilities could harm our ability to increase our customer base and achieve broader market acceptance and utilization of our solutions.</w:t>
      </w:r>
    </w:p>
    <w:p>
      <w:pPr>
        <w:ind w:left="660" w:right="20" w:hanging="328"/>
        <w:spacing w:after="0" w:line="281"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systems and our third-party providers’ systems may fail, or our third-party providers may discontinue providing their services or technology generally or to us specifically, which in either case could interrupt our business, cause us to lose business and increase our costs.</w:t>
      </w:r>
    </w:p>
    <w:p>
      <w:pPr>
        <w:spacing w:after="0" w:line="1" w:lineRule="exact"/>
        <w:rPr>
          <w:rFonts w:ascii="Arial" w:cs="Arial" w:eastAsia="Arial" w:hAnsi="Arial"/>
          <w:sz w:val="16"/>
          <w:szCs w:val="16"/>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lower margin solutions and services grow at a faster rate than our higher margin solutions and services, we may experience lower aggregate profitability and margins.</w:t>
      </w:r>
    </w:p>
    <w:p>
      <w:pPr>
        <w:ind w:left="660" w:hanging="328"/>
        <w:spacing w:after="0" w:line="281" w:lineRule="auto"/>
        <w:tabs>
          <w:tab w:leader="none" w:pos="655" w:val="left"/>
        </w:tabs>
        <w:numPr>
          <w:ilvl w:val="0"/>
          <w:numId w:val="3"/>
        </w:numPr>
        <w:rPr>
          <w:rFonts w:ascii="Arial" w:cs="Arial" w:eastAsia="Arial" w:hAnsi="Arial"/>
          <w:sz w:val="16"/>
          <w:szCs w:val="16"/>
          <w:i w:val="1"/>
          <w:iCs w:val="1"/>
          <w:color w:val="auto"/>
        </w:rPr>
      </w:pPr>
      <w:r>
        <w:rPr>
          <w:rFonts w:ascii="Arial" w:cs="Arial" w:eastAsia="Arial" w:hAnsi="Arial"/>
          <w:sz w:val="16"/>
          <w:szCs w:val="16"/>
          <w:color w:val="auto"/>
        </w:rPr>
        <w:t>The COVID-19 pandemic has impacted, and a future pandemic, epidemic or outbreak of an infectious disease in the United States could impact, our business, financial condition and results of operations, as well as the business or operations of third parties with whom we conduct business.</w:t>
      </w:r>
    </w:p>
    <w:p>
      <w:pPr>
        <w:spacing w:after="0" w:line="13" w:lineRule="exact"/>
        <w:rPr>
          <w:rFonts w:ascii="Arial" w:cs="Arial" w:eastAsia="Arial" w:hAnsi="Arial"/>
          <w:sz w:val="16"/>
          <w:szCs w:val="16"/>
          <w:i w:val="1"/>
          <w:iCs w:val="1"/>
          <w:color w:val="auto"/>
        </w:rPr>
      </w:pPr>
    </w:p>
    <w:p>
      <w:pPr>
        <w:ind w:left="660" w:right="20" w:hanging="328"/>
        <w:spacing w:after="0" w:line="218"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The increasing focus on environmental sustainability and social initiatives could increase our costs, harm our reputation and adversely impact our financial results.</w:t>
      </w:r>
    </w:p>
    <w:p>
      <w:pPr>
        <w:spacing w:after="0" w:line="1" w:lineRule="exact"/>
        <w:rPr>
          <w:rFonts w:ascii="Arial" w:cs="Arial" w:eastAsia="Arial" w:hAnsi="Arial"/>
          <w:sz w:val="22"/>
          <w:szCs w:val="22"/>
          <w:color w:val="auto"/>
        </w:rPr>
      </w:pPr>
    </w:p>
    <w:p>
      <w:pPr>
        <w:ind w:left="660" w:hanging="328"/>
        <w:spacing w:after="0" w:line="26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unable to adequately protect or enforce, and we may incur significant costs in enforcing or defending, our intellectual property and other proprietary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868680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4" w:name="page5"/>
    <w:bookmarkEnd w:id="4"/>
    <w:p>
      <w:pPr>
        <w:ind w:left="328" w:right="20" w:hanging="328"/>
        <w:spacing w:after="0" w:line="258"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subject to patent, trademark and other intellectual property infringement claims, which may be time-consuming, and cause us to incur significant liability and increase our costs of doing business.</w:t>
      </w:r>
    </w:p>
    <w:p>
      <w:pPr>
        <w:spacing w:after="0" w:line="1" w:lineRule="exact"/>
        <w:rPr>
          <w:rFonts w:ascii="Arial" w:cs="Arial" w:eastAsia="Arial" w:hAnsi="Arial"/>
          <w:sz w:val="18"/>
          <w:szCs w:val="18"/>
          <w:color w:val="auto"/>
        </w:rPr>
      </w:pPr>
    </w:p>
    <w:p>
      <w:pPr>
        <w:jc w:val="both"/>
        <w:ind w:left="328" w:hanging="328"/>
        <w:spacing w:after="0" w:line="281" w:lineRule="auto"/>
        <w:tabs>
          <w:tab w:leader="none" w:pos="323"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subject to governmental regulation and other legal obligations, including those related privacy, data protection and information security and the healthcare industry, and our actual or perceived failure to comply with such regulations and obligations could harm our business. Compliance with such laws could also impair our efforts to maintain and expand our customer and user bases, and thereby decrease our revenue.</w:t>
      </w:r>
    </w:p>
    <w:p>
      <w:pPr>
        <w:spacing w:after="0" w:line="1" w:lineRule="exact"/>
        <w:rPr>
          <w:rFonts w:ascii="Arial" w:cs="Arial" w:eastAsia="Arial" w:hAnsi="Arial"/>
          <w:sz w:val="16"/>
          <w:szCs w:val="16"/>
          <w:color w:val="auto"/>
        </w:rPr>
      </w:pPr>
    </w:p>
    <w:p>
      <w:pPr>
        <w:ind w:left="328"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parties to our sponsor stockholders’ agreement, who also hold a significant portion of our common stock, control the direction of our business and such parties’ ownership of our common stock prevent you and other stockholders from influencing significant decisions.</w:t>
      </w:r>
    </w:p>
    <w:p>
      <w:pPr>
        <w:jc w:val="both"/>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“controlled company” under the corporate governance rules of The Nasdaq Stock Market and, as a result, qualify for, and intend to rely on, exemptions from certain corporate governance requirements. You do not have the same protections afforded to stockholders of companies that are subject to such requirements.</w:t>
      </w:r>
    </w:p>
    <w:p>
      <w:pPr>
        <w:spacing w:after="0" w:line="13" w:lineRule="exact"/>
        <w:rPr>
          <w:rFonts w:ascii="Arial" w:cs="Arial" w:eastAsia="Arial" w:hAnsi="Arial"/>
          <w:sz w:val="18"/>
          <w:szCs w:val="18"/>
          <w:color w:val="auto"/>
        </w:rPr>
      </w:pPr>
    </w:p>
    <w:p>
      <w:pPr>
        <w:ind w:left="328" w:hanging="328"/>
        <w:spacing w:after="0" w:line="225" w:lineRule="auto"/>
        <w:tabs>
          <w:tab w:leader="none" w:pos="323" w:val="left"/>
        </w:tabs>
        <w:numPr>
          <w:ilvl w:val="0"/>
          <w:numId w:val="4"/>
        </w:numPr>
        <w:rPr>
          <w:rFonts w:ascii="Arial" w:cs="Arial" w:eastAsia="Arial" w:hAnsi="Arial"/>
          <w:sz w:val="22"/>
          <w:szCs w:val="22"/>
          <w:color w:val="auto"/>
        </w:rPr>
      </w:pPr>
      <w:r>
        <w:rPr>
          <w:rFonts w:ascii="Arial" w:cs="Arial" w:eastAsia="Arial" w:hAnsi="Arial"/>
          <w:sz w:val="18"/>
          <w:szCs w:val="18"/>
          <w:color w:val="auto"/>
        </w:rPr>
        <w:t>We incur significant increased costs as a result of operating as a public company, and our management is required to devote substantial time to new compliance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880110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21" w:right="339" w:bottom="1440" w:gutter="0" w:footer="0" w:header="0"/>
        </w:sectPr>
      </w:pPr>
    </w:p>
    <w:bookmarkStart w:id="5" w:name="page6"/>
    <w:bookmarkEnd w:id="5"/>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8980" w:type="dxa"/>
            <w:vAlign w:val="bottom"/>
          </w:tcPr>
          <w:p>
            <w:pPr>
              <w:ind w:left="3560"/>
              <w:spacing w:after="0"/>
              <w:rPr>
                <w:sz w:val="20"/>
                <w:szCs w:val="20"/>
                <w:color w:val="auto"/>
              </w:rPr>
            </w:pPr>
            <w:r>
              <w:rPr>
                <w:rFonts w:ascii="Arial" w:cs="Arial" w:eastAsia="Arial" w:hAnsi="Arial"/>
                <w:sz w:val="18"/>
                <w:szCs w:val="18"/>
                <w:b w:val="1"/>
                <w:bCs w:val="1"/>
                <w:color w:val="auto"/>
              </w:rPr>
              <w:t>TABLE OF CONTENTS</w:t>
            </w:r>
          </w:p>
        </w:tc>
        <w:tc>
          <w:tcPr>
            <w:tcW w:w="1160" w:type="dxa"/>
            <w:vAlign w:val="bottom"/>
          </w:tcPr>
          <w:p>
            <w:pPr>
              <w:spacing w:after="0"/>
              <w:rPr>
                <w:sz w:val="20"/>
                <w:szCs w:val="20"/>
                <w:color w:val="auto"/>
              </w:rPr>
            </w:pPr>
          </w:p>
        </w:tc>
      </w:tr>
      <w:tr>
        <w:trPr>
          <w:trHeight w:val="459"/>
        </w:trPr>
        <w:tc>
          <w:tcPr>
            <w:tcW w:w="1100" w:type="dxa"/>
            <w:vAlign w:val="bottom"/>
          </w:tcPr>
          <w:p>
            <w:pPr>
              <w:spacing w:after="0"/>
              <w:rPr>
                <w:sz w:val="24"/>
                <w:szCs w:val="24"/>
                <w:color w:val="auto"/>
              </w:rPr>
            </w:pPr>
          </w:p>
        </w:tc>
        <w:tc>
          <w:tcPr>
            <w:tcW w:w="89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1100" w:type="dxa"/>
            <w:vAlign w:val="bottom"/>
            <w:tcBorders>
              <w:bottom w:val="single" w:sz="8" w:color="CCEEFF"/>
            </w:tcBorders>
          </w:tcPr>
          <w:p>
            <w:pPr>
              <w:spacing w:after="0"/>
              <w:rPr>
                <w:sz w:val="2"/>
                <w:szCs w:val="2"/>
                <w:color w:val="auto"/>
              </w:rPr>
            </w:pPr>
          </w:p>
        </w:tc>
        <w:tc>
          <w:tcPr>
            <w:tcW w:w="89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89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1100" w:type="dxa"/>
            <w:vAlign w:val="bottom"/>
          </w:tcPr>
          <w:p>
            <w:pPr>
              <w:ind w:left="140"/>
              <w:spacing w:after="0"/>
              <w:rPr>
                <w:sz w:val="20"/>
                <w:szCs w:val="20"/>
                <w:color w:val="auto"/>
              </w:rPr>
            </w:pPr>
            <w:r>
              <w:rPr>
                <w:rFonts w:ascii="Arial" w:cs="Arial" w:eastAsia="Arial" w:hAnsi="Arial"/>
                <w:sz w:val="18"/>
                <w:szCs w:val="18"/>
                <w:color w:val="auto"/>
              </w:rPr>
              <w:t>Item 1.</w:t>
            </w:r>
          </w:p>
        </w:tc>
        <w:tc>
          <w:tcPr>
            <w:tcW w:w="8980" w:type="dxa"/>
            <w:vAlign w:val="bottom"/>
          </w:tcPr>
          <w:p>
            <w:pPr>
              <w:ind w:left="340"/>
              <w:spacing w:after="0"/>
              <w:rPr>
                <w:sz w:val="20"/>
                <w:szCs w:val="20"/>
                <w:color w:val="auto"/>
              </w:rPr>
            </w:pPr>
            <w:r>
              <w:rPr>
                <w:rFonts w:ascii="Arial" w:cs="Arial" w:eastAsia="Arial" w:hAnsi="Arial"/>
                <w:sz w:val="18"/>
                <w:szCs w:val="18"/>
                <w:color w:val="auto"/>
              </w:rPr>
              <w:t>Business</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I-1</w:t>
            </w:r>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1A.</w:t>
            </w:r>
          </w:p>
        </w:tc>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Risk Factors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I-14</w:t>
            </w:r>
          </w:p>
        </w:tc>
      </w:tr>
      <w:tr>
        <w:trPr>
          <w:trHeight w:val="243"/>
        </w:trPr>
        <w:tc>
          <w:tcPr>
            <w:tcW w:w="1100" w:type="dxa"/>
            <w:vAlign w:val="bottom"/>
          </w:tcPr>
          <w:p>
            <w:pPr>
              <w:ind w:left="140"/>
              <w:spacing w:after="0"/>
              <w:rPr>
                <w:sz w:val="20"/>
                <w:szCs w:val="20"/>
                <w:color w:val="auto"/>
              </w:rPr>
            </w:pPr>
            <w:r>
              <w:rPr>
                <w:rFonts w:ascii="Arial" w:cs="Arial" w:eastAsia="Arial" w:hAnsi="Arial"/>
                <w:sz w:val="18"/>
                <w:szCs w:val="18"/>
                <w:color w:val="auto"/>
              </w:rPr>
              <w:t>Item 1B.</w:t>
            </w:r>
          </w:p>
        </w:tc>
        <w:tc>
          <w:tcPr>
            <w:tcW w:w="8980" w:type="dxa"/>
            <w:vAlign w:val="bottom"/>
          </w:tcPr>
          <w:p>
            <w:pPr>
              <w:ind w:left="340"/>
              <w:spacing w:after="0"/>
              <w:rPr>
                <w:sz w:val="20"/>
                <w:szCs w:val="20"/>
                <w:color w:val="auto"/>
              </w:rPr>
            </w:pPr>
            <w:r>
              <w:rPr>
                <w:rFonts w:ascii="Arial" w:cs="Arial" w:eastAsia="Arial" w:hAnsi="Arial"/>
                <w:sz w:val="18"/>
                <w:szCs w:val="18"/>
                <w:color w:val="auto"/>
              </w:rPr>
              <w:t>Unresolved Staff Comments</w:t>
            </w:r>
          </w:p>
        </w:tc>
        <w:tc>
          <w:tcPr>
            <w:tcW w:w="1160" w:type="dxa"/>
            <w:vAlign w:val="bottom"/>
          </w:tcPr>
          <w:p>
            <w:pPr>
              <w:jc w:val="center"/>
              <w:spacing w:after="0"/>
              <w:rPr>
                <w:sz w:val="20"/>
                <w:szCs w:val="20"/>
                <w:color w:val="auto"/>
              </w:rPr>
            </w:pPr>
            <w:r>
              <w:rPr>
                <w:rFonts w:ascii="Arial" w:cs="Arial" w:eastAsia="Arial" w:hAnsi="Arial"/>
                <w:sz w:val="18"/>
                <w:szCs w:val="18"/>
                <w:color w:val="auto"/>
                <w:w w:val="96"/>
              </w:rPr>
              <w:t>I-49</w:t>
            </w:r>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2.</w:t>
            </w:r>
          </w:p>
        </w:tc>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Properties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I-49</w:t>
            </w:r>
          </w:p>
        </w:tc>
      </w:tr>
      <w:tr>
        <w:trPr>
          <w:trHeight w:val="243"/>
        </w:trPr>
        <w:tc>
          <w:tcPr>
            <w:tcW w:w="1100" w:type="dxa"/>
            <w:vAlign w:val="bottom"/>
          </w:tcPr>
          <w:p>
            <w:pPr>
              <w:ind w:left="140"/>
              <w:spacing w:after="0"/>
              <w:rPr>
                <w:sz w:val="20"/>
                <w:szCs w:val="20"/>
                <w:color w:val="auto"/>
              </w:rPr>
            </w:pPr>
            <w:r>
              <w:rPr>
                <w:rFonts w:ascii="Arial" w:cs="Arial" w:eastAsia="Arial" w:hAnsi="Arial"/>
                <w:sz w:val="18"/>
                <w:szCs w:val="18"/>
                <w:color w:val="auto"/>
              </w:rPr>
              <w:t>Item 3.</w:t>
            </w:r>
          </w:p>
        </w:tc>
        <w:tc>
          <w:tcPr>
            <w:tcW w:w="8980" w:type="dxa"/>
            <w:vAlign w:val="bottom"/>
          </w:tcPr>
          <w:p>
            <w:pPr>
              <w:ind w:left="340"/>
              <w:spacing w:after="0"/>
              <w:rPr>
                <w:sz w:val="20"/>
                <w:szCs w:val="20"/>
                <w:color w:val="auto"/>
              </w:rPr>
            </w:pPr>
            <w:r>
              <w:rPr>
                <w:rFonts w:ascii="Arial" w:cs="Arial" w:eastAsia="Arial" w:hAnsi="Arial"/>
                <w:sz w:val="18"/>
                <w:szCs w:val="18"/>
                <w:color w:val="auto"/>
              </w:rPr>
              <w:t>Legal Proceedings</w:t>
            </w:r>
          </w:p>
        </w:tc>
        <w:tc>
          <w:tcPr>
            <w:tcW w:w="1160" w:type="dxa"/>
            <w:vAlign w:val="bottom"/>
          </w:tcPr>
          <w:p>
            <w:pPr>
              <w:jc w:val="center"/>
              <w:spacing w:after="0"/>
              <w:rPr>
                <w:sz w:val="20"/>
                <w:szCs w:val="20"/>
                <w:color w:val="auto"/>
              </w:rPr>
            </w:pPr>
            <w:r>
              <w:rPr>
                <w:rFonts w:ascii="Arial" w:cs="Arial" w:eastAsia="Arial" w:hAnsi="Arial"/>
                <w:sz w:val="18"/>
                <w:szCs w:val="18"/>
                <w:color w:val="auto"/>
                <w:w w:val="96"/>
              </w:rPr>
              <w:t>I-50</w:t>
            </w:r>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4.</w:t>
            </w:r>
          </w:p>
        </w:tc>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Mine Safety Disclosures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I-50</w:t>
            </w:r>
          </w:p>
        </w:tc>
      </w:tr>
      <w:tr>
        <w:trPr>
          <w:trHeight w:val="257"/>
        </w:trPr>
        <w:tc>
          <w:tcPr>
            <w:tcW w:w="110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0"/>
        </w:trPr>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89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1100" w:type="dxa"/>
            <w:vAlign w:val="bottom"/>
          </w:tcPr>
          <w:p>
            <w:pPr>
              <w:ind w:left="140"/>
              <w:spacing w:after="0"/>
              <w:rPr>
                <w:sz w:val="20"/>
                <w:szCs w:val="20"/>
                <w:color w:val="auto"/>
              </w:rPr>
            </w:pPr>
            <w:r>
              <w:rPr>
                <w:rFonts w:ascii="Arial" w:cs="Arial" w:eastAsia="Arial" w:hAnsi="Arial"/>
                <w:sz w:val="18"/>
                <w:szCs w:val="18"/>
                <w:color w:val="auto"/>
              </w:rPr>
              <w:t>Item 5.</w:t>
            </w:r>
          </w:p>
        </w:tc>
        <w:tc>
          <w:tcPr>
            <w:tcW w:w="8980" w:type="dxa"/>
            <w:vAlign w:val="bottom"/>
          </w:tcPr>
          <w:p>
            <w:pPr>
              <w:ind w:left="340"/>
              <w:spacing w:after="0"/>
              <w:rPr>
                <w:sz w:val="20"/>
                <w:szCs w:val="20"/>
                <w:color w:val="auto"/>
              </w:rPr>
            </w:pPr>
            <w:r>
              <w:rPr>
                <w:rFonts w:ascii="Arial" w:cs="Arial" w:eastAsia="Arial" w:hAnsi="Arial"/>
                <w:sz w:val="18"/>
                <w:szCs w:val="18"/>
                <w:color w:val="auto"/>
                <w:w w:val="96"/>
              </w:rPr>
              <w:t>Market for Registrant’s Common Equity, Related Shareholder Matters and Issuer Purchases of Equity Securities</w:t>
            </w:r>
          </w:p>
        </w:tc>
        <w:tc>
          <w:tcPr>
            <w:tcW w:w="1160" w:type="dxa"/>
            <w:vAlign w:val="bottom"/>
          </w:tcPr>
          <w:p>
            <w:pPr>
              <w:jc w:val="center"/>
              <w:spacing w:after="0"/>
              <w:rPr>
                <w:sz w:val="20"/>
                <w:szCs w:val="20"/>
                <w:color w:val="auto"/>
              </w:rPr>
            </w:pPr>
            <w:r>
              <w:rPr>
                <w:rFonts w:ascii="Arial" w:cs="Arial" w:eastAsia="Arial" w:hAnsi="Arial"/>
                <w:sz w:val="18"/>
                <w:szCs w:val="18"/>
                <w:color w:val="auto"/>
              </w:rPr>
              <w:t>II-1</w:t>
            </w:r>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6.</w:t>
            </w:r>
          </w:p>
        </w:tc>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[Reserved]</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II-2</w:t>
            </w:r>
          </w:p>
        </w:tc>
      </w:tr>
      <w:tr>
        <w:trPr>
          <w:trHeight w:val="243"/>
        </w:trPr>
        <w:tc>
          <w:tcPr>
            <w:tcW w:w="1100" w:type="dxa"/>
            <w:vAlign w:val="bottom"/>
          </w:tcPr>
          <w:p>
            <w:pPr>
              <w:ind w:left="140"/>
              <w:spacing w:after="0"/>
              <w:rPr>
                <w:sz w:val="20"/>
                <w:szCs w:val="20"/>
                <w:color w:val="auto"/>
              </w:rPr>
            </w:pPr>
            <w:r>
              <w:rPr>
                <w:rFonts w:ascii="Arial" w:cs="Arial" w:eastAsia="Arial" w:hAnsi="Arial"/>
                <w:sz w:val="18"/>
                <w:szCs w:val="18"/>
                <w:color w:val="auto"/>
              </w:rPr>
              <w:t>Item 7.</w:t>
            </w:r>
          </w:p>
        </w:tc>
        <w:tc>
          <w:tcPr>
            <w:tcW w:w="8980" w:type="dxa"/>
            <w:vAlign w:val="bottom"/>
          </w:tcPr>
          <w:p>
            <w:pPr>
              <w:ind w:left="3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1160" w:type="dxa"/>
            <w:vAlign w:val="bottom"/>
          </w:tcPr>
          <w:p>
            <w:pPr>
              <w:jc w:val="center"/>
              <w:spacing w:after="0"/>
              <w:rPr>
                <w:sz w:val="20"/>
                <w:szCs w:val="20"/>
                <w:color w:val="auto"/>
              </w:rPr>
            </w:pPr>
            <w:r>
              <w:rPr>
                <w:rFonts w:ascii="Arial" w:cs="Arial" w:eastAsia="Arial" w:hAnsi="Arial"/>
                <w:sz w:val="18"/>
                <w:szCs w:val="18"/>
                <w:color w:val="auto"/>
              </w:rPr>
              <w:t>II-3</w:t>
            </w:r>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7A.</w:t>
            </w:r>
          </w:p>
        </w:tc>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Quantitative and Qualitative Disclosures About Market Risk</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II-25</w:t>
            </w:r>
          </w:p>
        </w:tc>
      </w:tr>
      <w:tr>
        <w:trPr>
          <w:trHeight w:val="243"/>
        </w:trPr>
        <w:tc>
          <w:tcPr>
            <w:tcW w:w="1100" w:type="dxa"/>
            <w:vAlign w:val="bottom"/>
          </w:tcPr>
          <w:p>
            <w:pPr>
              <w:ind w:left="140"/>
              <w:spacing w:after="0"/>
              <w:rPr>
                <w:sz w:val="20"/>
                <w:szCs w:val="20"/>
                <w:color w:val="auto"/>
              </w:rPr>
            </w:pPr>
            <w:r>
              <w:rPr>
                <w:rFonts w:ascii="Arial" w:cs="Arial" w:eastAsia="Arial" w:hAnsi="Arial"/>
                <w:sz w:val="18"/>
                <w:szCs w:val="18"/>
                <w:color w:val="auto"/>
              </w:rPr>
              <w:t>Item 8.</w:t>
            </w:r>
          </w:p>
        </w:tc>
        <w:tc>
          <w:tcPr>
            <w:tcW w:w="8980" w:type="dxa"/>
            <w:vAlign w:val="bottom"/>
          </w:tcPr>
          <w:p>
            <w:pPr>
              <w:ind w:left="340"/>
              <w:spacing w:after="0"/>
              <w:rPr>
                <w:sz w:val="20"/>
                <w:szCs w:val="20"/>
                <w:color w:val="auto"/>
              </w:rPr>
            </w:pPr>
            <w:r>
              <w:rPr>
                <w:rFonts w:ascii="Arial" w:cs="Arial" w:eastAsia="Arial" w:hAnsi="Arial"/>
                <w:sz w:val="18"/>
                <w:szCs w:val="18"/>
                <w:color w:val="auto"/>
              </w:rPr>
              <w:t>Financial Statements and Supplementary Data</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II-26</w:t>
            </w:r>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9.</w:t>
            </w:r>
          </w:p>
        </w:tc>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II-73</w:t>
            </w:r>
          </w:p>
        </w:tc>
      </w:tr>
      <w:tr>
        <w:trPr>
          <w:trHeight w:val="243"/>
        </w:trPr>
        <w:tc>
          <w:tcPr>
            <w:tcW w:w="1100" w:type="dxa"/>
            <w:vAlign w:val="bottom"/>
          </w:tcPr>
          <w:p>
            <w:pPr>
              <w:ind w:left="140"/>
              <w:spacing w:after="0"/>
              <w:rPr>
                <w:sz w:val="20"/>
                <w:szCs w:val="20"/>
                <w:color w:val="auto"/>
              </w:rPr>
            </w:pPr>
            <w:r>
              <w:rPr>
                <w:rFonts w:ascii="Arial" w:cs="Arial" w:eastAsia="Arial" w:hAnsi="Arial"/>
                <w:sz w:val="18"/>
                <w:szCs w:val="18"/>
                <w:color w:val="auto"/>
              </w:rPr>
              <w:t>Item 9A.</w:t>
            </w:r>
          </w:p>
        </w:tc>
        <w:tc>
          <w:tcPr>
            <w:tcW w:w="8980" w:type="dxa"/>
            <w:vAlign w:val="bottom"/>
          </w:tcPr>
          <w:p>
            <w:pPr>
              <w:ind w:left="340"/>
              <w:spacing w:after="0"/>
              <w:rPr>
                <w:sz w:val="20"/>
                <w:szCs w:val="20"/>
                <w:color w:val="auto"/>
              </w:rPr>
            </w:pPr>
            <w:r>
              <w:rPr>
                <w:rFonts w:ascii="Arial" w:cs="Arial" w:eastAsia="Arial" w:hAnsi="Arial"/>
                <w:sz w:val="18"/>
                <w:szCs w:val="18"/>
                <w:color w:val="auto"/>
              </w:rPr>
              <w:t>Controls and Procedures</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II-74</w:t>
            </w:r>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9B.</w:t>
            </w:r>
          </w:p>
        </w:tc>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Information</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II-75</w:t>
            </w:r>
          </w:p>
        </w:tc>
      </w:tr>
      <w:tr>
        <w:trPr>
          <w:trHeight w:val="243"/>
        </w:trPr>
        <w:tc>
          <w:tcPr>
            <w:tcW w:w="1100" w:type="dxa"/>
            <w:vAlign w:val="bottom"/>
          </w:tcPr>
          <w:p>
            <w:pPr>
              <w:ind w:left="140"/>
              <w:spacing w:after="0"/>
              <w:rPr>
                <w:sz w:val="20"/>
                <w:szCs w:val="20"/>
                <w:color w:val="auto"/>
              </w:rPr>
            </w:pPr>
            <w:r>
              <w:rPr>
                <w:rFonts w:ascii="Arial" w:cs="Arial" w:eastAsia="Arial" w:hAnsi="Arial"/>
                <w:sz w:val="18"/>
                <w:szCs w:val="18"/>
                <w:color w:val="auto"/>
              </w:rPr>
              <w:t>Item 9C.</w:t>
            </w:r>
          </w:p>
        </w:tc>
        <w:tc>
          <w:tcPr>
            <w:tcW w:w="8980" w:type="dxa"/>
            <w:vAlign w:val="bottom"/>
          </w:tcPr>
          <w:p>
            <w:pPr>
              <w:ind w:left="34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II-75</w:t>
            </w:r>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6"/>
        </w:trPr>
        <w:tc>
          <w:tcPr>
            <w:tcW w:w="1100" w:type="dxa"/>
            <w:vAlign w:val="bottom"/>
            <w:shd w:val="clear" w:color="auto" w:fill="CCEEFF"/>
          </w:tcPr>
          <w:p>
            <w:pPr>
              <w:spacing w:after="0"/>
              <w:rPr>
                <w:sz w:val="22"/>
                <w:szCs w:val="22"/>
                <w:color w:val="auto"/>
              </w:rPr>
            </w:pPr>
          </w:p>
        </w:tc>
        <w:tc>
          <w:tcPr>
            <w:tcW w:w="898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43"/>
        </w:trPr>
        <w:tc>
          <w:tcPr>
            <w:tcW w:w="1100" w:type="dxa"/>
            <w:vAlign w:val="bottom"/>
          </w:tcPr>
          <w:p>
            <w:pPr>
              <w:ind w:left="20"/>
              <w:spacing w:after="0"/>
              <w:rPr>
                <w:sz w:val="20"/>
                <w:szCs w:val="20"/>
                <w:color w:val="auto"/>
              </w:rPr>
            </w:pPr>
            <w:r>
              <w:rPr>
                <w:rFonts w:ascii="Arial" w:cs="Arial" w:eastAsia="Arial" w:hAnsi="Arial"/>
                <w:sz w:val="18"/>
                <w:szCs w:val="18"/>
                <w:b w:val="1"/>
                <w:bCs w:val="1"/>
                <w:color w:val="auto"/>
              </w:rPr>
              <w:t>PART III</w:t>
            </w:r>
          </w:p>
        </w:tc>
        <w:tc>
          <w:tcPr>
            <w:tcW w:w="898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10.</w:t>
            </w:r>
          </w:p>
        </w:tc>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Directors, Executive Officers and Corporate Governance</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III-1</w:t>
            </w:r>
          </w:p>
        </w:tc>
      </w:tr>
      <w:tr>
        <w:trPr>
          <w:trHeight w:val="243"/>
        </w:trPr>
        <w:tc>
          <w:tcPr>
            <w:tcW w:w="1100" w:type="dxa"/>
            <w:vAlign w:val="bottom"/>
          </w:tcPr>
          <w:p>
            <w:pPr>
              <w:ind w:left="140"/>
              <w:spacing w:after="0"/>
              <w:rPr>
                <w:sz w:val="20"/>
                <w:szCs w:val="20"/>
                <w:color w:val="auto"/>
              </w:rPr>
            </w:pPr>
            <w:r>
              <w:rPr>
                <w:rFonts w:ascii="Arial" w:cs="Arial" w:eastAsia="Arial" w:hAnsi="Arial"/>
                <w:sz w:val="18"/>
                <w:szCs w:val="18"/>
                <w:color w:val="auto"/>
              </w:rPr>
              <w:t>Item 11.</w:t>
            </w:r>
          </w:p>
        </w:tc>
        <w:tc>
          <w:tcPr>
            <w:tcW w:w="8980" w:type="dxa"/>
            <w:vAlign w:val="bottom"/>
          </w:tcPr>
          <w:p>
            <w:pPr>
              <w:ind w:left="340"/>
              <w:spacing w:after="0"/>
              <w:rPr>
                <w:sz w:val="20"/>
                <w:szCs w:val="20"/>
                <w:color w:val="auto"/>
              </w:rPr>
            </w:pPr>
            <w:r>
              <w:rPr>
                <w:rFonts w:ascii="Arial" w:cs="Arial" w:eastAsia="Arial" w:hAnsi="Arial"/>
                <w:sz w:val="18"/>
                <w:szCs w:val="18"/>
                <w:color w:val="auto"/>
              </w:rPr>
              <w:t>Executive Compensation</w:t>
            </w:r>
          </w:p>
        </w:tc>
        <w:tc>
          <w:tcPr>
            <w:tcW w:w="1160" w:type="dxa"/>
            <w:vAlign w:val="bottom"/>
          </w:tcPr>
          <w:p>
            <w:pPr>
              <w:jc w:val="center"/>
              <w:spacing w:after="0"/>
              <w:rPr>
                <w:sz w:val="20"/>
                <w:szCs w:val="20"/>
                <w:color w:val="auto"/>
              </w:rPr>
            </w:pPr>
            <w:r>
              <w:rPr>
                <w:rFonts w:ascii="Arial" w:cs="Arial" w:eastAsia="Arial" w:hAnsi="Arial"/>
                <w:sz w:val="18"/>
                <w:szCs w:val="18"/>
                <w:color w:val="auto"/>
              </w:rPr>
              <w:t>III-1</w:t>
            </w:r>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12.</w:t>
            </w:r>
          </w:p>
        </w:tc>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Security Ownership of Certain Beneficial Owners and Management and Related Shareholder Matters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III-1</w:t>
            </w:r>
          </w:p>
        </w:tc>
      </w:tr>
      <w:tr>
        <w:trPr>
          <w:trHeight w:val="243"/>
        </w:trPr>
        <w:tc>
          <w:tcPr>
            <w:tcW w:w="1100" w:type="dxa"/>
            <w:vAlign w:val="bottom"/>
          </w:tcPr>
          <w:p>
            <w:pPr>
              <w:ind w:left="140"/>
              <w:spacing w:after="0"/>
              <w:rPr>
                <w:sz w:val="20"/>
                <w:szCs w:val="20"/>
                <w:color w:val="auto"/>
              </w:rPr>
            </w:pPr>
            <w:r>
              <w:rPr>
                <w:rFonts w:ascii="Arial" w:cs="Arial" w:eastAsia="Arial" w:hAnsi="Arial"/>
                <w:sz w:val="18"/>
                <w:szCs w:val="18"/>
                <w:color w:val="auto"/>
              </w:rPr>
              <w:t>Item 13.</w:t>
            </w:r>
          </w:p>
        </w:tc>
        <w:tc>
          <w:tcPr>
            <w:tcW w:w="8980" w:type="dxa"/>
            <w:vAlign w:val="bottom"/>
          </w:tcPr>
          <w:p>
            <w:pPr>
              <w:ind w:left="34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1160" w:type="dxa"/>
            <w:vAlign w:val="bottom"/>
          </w:tcPr>
          <w:p>
            <w:pPr>
              <w:jc w:val="center"/>
              <w:spacing w:after="0"/>
              <w:rPr>
                <w:sz w:val="20"/>
                <w:szCs w:val="20"/>
                <w:color w:val="auto"/>
              </w:rPr>
            </w:pPr>
            <w:r>
              <w:rPr>
                <w:rFonts w:ascii="Arial" w:cs="Arial" w:eastAsia="Arial" w:hAnsi="Arial"/>
                <w:sz w:val="18"/>
                <w:szCs w:val="18"/>
                <w:color w:val="auto"/>
              </w:rPr>
              <w:t>III-1</w:t>
            </w:r>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14.</w:t>
            </w:r>
          </w:p>
        </w:tc>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Principal Accountant Fees and Services</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III-1</w:t>
            </w:r>
          </w:p>
        </w:tc>
      </w:tr>
      <w:tr>
        <w:trPr>
          <w:trHeight w:val="256"/>
        </w:trPr>
        <w:tc>
          <w:tcPr>
            <w:tcW w:w="1100" w:type="dxa"/>
            <w:vAlign w:val="bottom"/>
          </w:tcPr>
          <w:p>
            <w:pPr>
              <w:spacing w:after="0"/>
              <w:rPr>
                <w:sz w:val="22"/>
                <w:szCs w:val="22"/>
                <w:color w:val="auto"/>
              </w:rPr>
            </w:pPr>
          </w:p>
        </w:tc>
        <w:tc>
          <w:tcPr>
            <w:tcW w:w="89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50"/>
        </w:trPr>
        <w:tc>
          <w:tcPr>
            <w:tcW w:w="1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 IV</w:t>
            </w:r>
          </w:p>
        </w:tc>
        <w:tc>
          <w:tcPr>
            <w:tcW w:w="89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1100" w:type="dxa"/>
            <w:vAlign w:val="bottom"/>
          </w:tcPr>
          <w:p>
            <w:pPr>
              <w:ind w:left="140"/>
              <w:spacing w:after="0"/>
              <w:rPr>
                <w:sz w:val="20"/>
                <w:szCs w:val="20"/>
                <w:color w:val="auto"/>
              </w:rPr>
            </w:pPr>
            <w:r>
              <w:rPr>
                <w:rFonts w:ascii="Arial" w:cs="Arial" w:eastAsia="Arial" w:hAnsi="Arial"/>
                <w:sz w:val="18"/>
                <w:szCs w:val="18"/>
                <w:color w:val="auto"/>
              </w:rPr>
              <w:t>Item 15.</w:t>
            </w:r>
          </w:p>
        </w:tc>
        <w:tc>
          <w:tcPr>
            <w:tcW w:w="8980" w:type="dxa"/>
            <w:vAlign w:val="bottom"/>
          </w:tcPr>
          <w:p>
            <w:pPr>
              <w:ind w:left="340"/>
              <w:spacing w:after="0"/>
              <w:rPr>
                <w:sz w:val="20"/>
                <w:szCs w:val="20"/>
                <w:color w:val="auto"/>
              </w:rPr>
            </w:pPr>
            <w:r>
              <w:rPr>
                <w:rFonts w:ascii="Arial" w:cs="Arial" w:eastAsia="Arial" w:hAnsi="Arial"/>
                <w:sz w:val="18"/>
                <w:szCs w:val="18"/>
                <w:color w:val="auto"/>
              </w:rPr>
              <w:t>Exhibits, Financial Statement Schedules</w:t>
            </w:r>
          </w:p>
        </w:tc>
        <w:tc>
          <w:tcPr>
            <w:tcW w:w="1160" w:type="dxa"/>
            <w:vAlign w:val="bottom"/>
          </w:tcPr>
          <w:p>
            <w:pPr>
              <w:jc w:val="center"/>
              <w:spacing w:after="0"/>
              <w:rPr>
                <w:sz w:val="20"/>
                <w:szCs w:val="20"/>
                <w:color w:val="auto"/>
              </w:rPr>
            </w:pPr>
            <w:r>
              <w:rPr>
                <w:rFonts w:ascii="Arial" w:cs="Arial" w:eastAsia="Arial" w:hAnsi="Arial"/>
                <w:sz w:val="18"/>
                <w:szCs w:val="18"/>
                <w:color w:val="auto"/>
                <w:w w:val="96"/>
              </w:rPr>
              <w:t>IV-1</w:t>
            </w:r>
          </w:p>
        </w:tc>
      </w:tr>
      <w:tr>
        <w:trPr>
          <w:trHeight w:val="27"/>
        </w:trPr>
        <w:tc>
          <w:tcPr>
            <w:tcW w:w="1100" w:type="dxa"/>
            <w:vAlign w:val="bottom"/>
          </w:tcPr>
          <w:p>
            <w:pPr>
              <w:spacing w:after="0"/>
              <w:rPr>
                <w:sz w:val="2"/>
                <w:szCs w:val="2"/>
                <w:color w:val="auto"/>
              </w:rPr>
            </w:pPr>
          </w:p>
        </w:tc>
        <w:tc>
          <w:tcPr>
            <w:tcW w:w="89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1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Item 16.</w:t>
            </w:r>
          </w:p>
        </w:tc>
        <w:tc>
          <w:tcPr>
            <w:tcW w:w="8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Form 10-K Summary</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6"/>
              </w:rPr>
              <w:t>IV-2</w:t>
            </w:r>
          </w:p>
        </w:tc>
      </w:tr>
      <w:tr>
        <w:trPr>
          <w:trHeight w:val="243"/>
        </w:trPr>
        <w:tc>
          <w:tcPr>
            <w:tcW w:w="1100" w:type="dxa"/>
            <w:vAlign w:val="bottom"/>
          </w:tcPr>
          <w:p>
            <w:pPr>
              <w:spacing w:after="0"/>
              <w:rPr>
                <w:sz w:val="21"/>
                <w:szCs w:val="21"/>
                <w:color w:val="auto"/>
              </w:rPr>
            </w:pPr>
          </w:p>
        </w:tc>
        <w:tc>
          <w:tcPr>
            <w:tcW w:w="8980" w:type="dxa"/>
            <w:vAlign w:val="bottom"/>
          </w:tcPr>
          <w:p>
            <w:pPr>
              <w:ind w:left="340"/>
              <w:spacing w:after="0"/>
              <w:rPr>
                <w:sz w:val="20"/>
                <w:szCs w:val="20"/>
                <w:color w:val="auto"/>
              </w:rPr>
            </w:pPr>
            <w:r>
              <w:rPr>
                <w:rFonts w:ascii="Arial" w:cs="Arial" w:eastAsia="Arial" w:hAnsi="Arial"/>
                <w:sz w:val="18"/>
                <w:szCs w:val="18"/>
                <w:color w:val="auto"/>
              </w:rPr>
              <w:t>Signatures</w:t>
            </w:r>
          </w:p>
        </w:tc>
        <w:tc>
          <w:tcPr>
            <w:tcW w:w="1160" w:type="dxa"/>
            <w:vAlign w:val="bottom"/>
          </w:tcPr>
          <w:p>
            <w:pPr>
              <w:spacing w:after="0"/>
              <w:rPr>
                <w:sz w:val="21"/>
                <w:szCs w:val="21"/>
                <w:color w:val="auto"/>
              </w:rPr>
            </w:pPr>
          </w:p>
        </w:tc>
      </w:tr>
      <w:tr>
        <w:trPr>
          <w:trHeight w:val="1951"/>
        </w:trPr>
        <w:tc>
          <w:tcPr>
            <w:tcW w:w="110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EverCommerce is simplifying and empowering the lives of business owners whose services support us every day. We provide tailored, end-to-end Software-as-a-Service (“SaaS”) solutions that support the highly diverse workflows and customer interactions that professionals in home services, health services, and fitness &amp; wellness services need to automate manual processes, generate new business, and create more loyal customers.</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EverCommerce is a leading provider of integrated, vertically-tailored SaaS solutions for service-based small- and medium-sized businesses (“service SMBs”). Our platform spans across the full lifecycle of interactions between consumers and service professionals with vertical-specific applications. Today, we serve more than 685,000 customers across three core verticals: Home Services; Health Services; and Fitness &amp; Wellness Services. Within our core verticals, our customers operate within numerous micro-verticals, ranging from home service professionals, such as home improvement contractors and home maintenance technicians, to physician practices and therapists within Health Services, to personal trainers and salon owners within Fitness &amp; Wellness. Our platform provides vertically-tailored SaaS solutions that address service SMBs’ increasingly specialized demands, as well as highly complementary solutions that complete end-to-end offerings, allowing service SMBs and EverCommerce to succeed in the market, and provide end consumers more convenient service experiences. For the year ended December 31, 2022, we estimate that approximately 90% of our customers contributed less than $2,000 in revenue and approximately 5% contributed more than $5,000 in revenue.</w:t>
      </w:r>
    </w:p>
    <w:p>
      <w:pPr>
        <w:spacing w:after="0" w:line="17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Small- and medium-sized businesses (“SMBs”) are an important engine for economic growth. Collectively, in 2022 SMBs represented the single largest employer and employee category in the U.S. economy, accounting for 99.9% of businesses in the United States, 46% of the U.S. private workforce and over 40% of U.S. GDP. The services sector is the backbone of the U.S. economy, representing approximately 77% of U.S. GDP and 80% of U.S. employment. Service businesses are the largest segment of the SMB market, employing approximately 50 million people in the U.S. alone.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Today, service SMBs are accelerating their adoption of digital technologies to increase growth, drive efficiencies and enhance customer engagement. At the same time, their technology needs are becoming increasingly specialized as they adapt their businesses to better compete and align with evolving consumer preferences. However, service SMBs typically lack available resources to invest in and support expensive enterprise technology solutions and often rely on little-to-no technology. When technology is used, it is often a fragmented set of point solutions with insufficient integrated capabilities to support the complete service lifecycle.</w:t>
      </w:r>
    </w:p>
    <w:p>
      <w:pPr>
        <w:spacing w:after="0" w:line="14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Since inception, we have taken a differentiated approach from other software providers. We recognize that all service SMBs require solutions that enable them to perform three key functions: (i) acquire new customers and generate new business opportunities; (ii) manage and scale business operations; and</w:t>
      </w:r>
    </w:p>
    <w:p>
      <w:pPr>
        <w:jc w:val="both"/>
        <w:ind w:firstLine="8"/>
        <w:spacing w:after="0" w:line="268" w:lineRule="auto"/>
        <w:tabs>
          <w:tab w:leader="none" w:pos="322" w:val="left"/>
        </w:tabs>
        <w:numPr>
          <w:ilvl w:val="0"/>
          <w:numId w:val="5"/>
        </w:numPr>
        <w:rPr>
          <w:rFonts w:ascii="Arial" w:cs="Arial" w:eastAsia="Arial" w:hAnsi="Arial"/>
          <w:sz w:val="17"/>
          <w:szCs w:val="17"/>
          <w:color w:val="auto"/>
        </w:rPr>
      </w:pPr>
      <w:r>
        <w:rPr>
          <w:rFonts w:ascii="Arial" w:cs="Arial" w:eastAsia="Arial" w:hAnsi="Arial"/>
          <w:sz w:val="17"/>
          <w:szCs w:val="17"/>
          <w:color w:val="auto"/>
        </w:rPr>
        <w:t>improve and expand on customer relationships. However, services SMBs require functionality specific to their vertical market because the workflows vary by vertical. For example, the business management requirements of Home Services contractors are different than the business management requirements of small physician practices or boutique gyms. As a result we have built a comprehensive platform designed specifically to meet the unique end-to-end workflow needs of service SMBs. Our integrated solutions include Business Management Software (such as route-based dispatching, medical practice management and gym member management), Billing &amp; Payment Solutions (such as e-invoicing, mobile payments and integrated payment processing), Customer Engagement Applications (such as reputation management and messaging solutions) and Marketing Technology Solutions (such as websites, hosting and digital lead generation). These solutions help our customers address the challenges posed by legacy solutions by providing software that addresses the complete customer engagement workflow, streamlining front- and back-office processes, driving new sales and retention, enabling deeper performance insights and improving customer experiences with digital, mobile-friendly engagement.</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go to market with suites of solutions that are aligned to our three core verticals: (1) the EverPro suite of solutions in Home Services; (2) the EverHealth suite of solutions within Health Services; and (3) the EverWell suite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of solutions in Fitness &amp; Wellness Services. Within each suite, our Business Management Software – the system of action at the center of a service business’ operation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expand into offerings via product development (“build”) and acquisitions (“buy”) that integrate their workflows, fill gaps in the solutions value chain and power the full scope of our customers’ businesses. This results in a self-reinforcing flywheel, enabling us to drive more value for our customers and, in turn, fuel our growth by increasing Average Revenue per Unit (“ARPU”), improving customer stickiness and increasing our market share.</w:t>
      </w:r>
    </w:p>
    <w:p>
      <w:pPr>
        <w:spacing w:after="0" w:line="16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While we offer multiple products and address several verticals and micro-verticals, we manage our business with a singular, centralized approach to strategy and operations. We centralize key functions including marketing, business operations, cybersecurity and general and administrative functions, ensuring consistency in execution across each of our verticals, and ultimately stimulating a culture of operational excellence.</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Our financial results have reflected our rapid growth. Our revenue has grown at a compound annual growth rate (“CAGR”) of 36.9% from 2019 to 2022, and reached $620.7 million for the year ended December 31, 2022, up from $490.1 million for the year ended December 31, 2021, which represents revenue growth of 26.6% from 2021 to 2022. Our net loss was $59.8 million for the year ended December 31, 2022, compared to a net loss of $82.0 million for the year ended December 31, 2021. Our Adjusted EBITDA reached $119.0 million for the year ended December 31, 2022, up from $107.2 million for the year ended December 31, 2021. Moreover, our business benefits from attractive unit economics; we estimate the lifetime value of our customers to be approximately six times the cost of acquiring them. For a reconciliation of Adjusted EBITDA to the most directly comparable Generally Accepted Accounting Principles (“GAAP”) financial measure, information about why we consider Adjusted EBITDA useful and a discussion of the material risks and limitations of this measure, please see Part II. Item 7,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Operations—Key Business and Financial Metrics—Non-GAAP Financial Measures.”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trends impacting our industry</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Service SMBs are still in the early innings of transforming their businesses for the digital age. We estimate that only 9% of the service SMB market has been penetrated with full end-to-end software solutions. However, we believe that small businesses now generally view digitization as critical to long-term success. Similar to other industries that are going through major digital transformations – including education, life sciences, public sector, real estate and banking – we believe a number of trends are contributing to the adoption of modern, vertically-tailored software solutions for service SMBs. EverCommerce is operating at the center of many of these trends, including:</w:t>
      </w:r>
    </w:p>
    <w:p>
      <w:pPr>
        <w:spacing w:after="0" w:line="147" w:lineRule="exact"/>
        <w:rPr>
          <w:sz w:val="20"/>
          <w:szCs w:val="20"/>
          <w:color w:val="auto"/>
        </w:rPr>
      </w:pPr>
    </w:p>
    <w:p>
      <w:pPr>
        <w:jc w:val="both"/>
        <w:ind w:left="660" w:hanging="328"/>
        <w:spacing w:after="0" w:line="263"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Accelerating adoption of digital technologies. </w:t>
      </w:r>
      <w:r>
        <w:rPr>
          <w:rFonts w:ascii="Arial" w:cs="Arial" w:eastAsia="Arial" w:hAnsi="Arial"/>
          <w:sz w:val="18"/>
          <w:szCs w:val="18"/>
          <w:color w:val="auto"/>
        </w:rPr>
        <w:t>Consumers’ preferences for digital experiences have accelerated in recent years. At the same time,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digital solutions are emerging to enable businesses to increase growth, drive efficiencies and enhance customer engagement. Together, these trends are contributing to the accelerating adoption of digital technologies.</w:t>
      </w:r>
    </w:p>
    <w:p>
      <w:pPr>
        <w:spacing w:after="0" w:line="14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Mobile enablement. </w:t>
      </w:r>
      <w:r>
        <w:rPr>
          <w:rFonts w:ascii="Arial" w:cs="Arial" w:eastAsia="Arial" w:hAnsi="Arial"/>
          <w:sz w:val="18"/>
          <w:szCs w:val="18"/>
          <w:color w:val="auto"/>
        </w:rPr>
        <w:t>Due in large part to consumer demand and purchasing habits, a substantial amount of commerce is now conducted via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mobile device, whether through a standalone mobile application or as an integrated, companion application to a broader web-based software. Mobile commerce is estimated to represent just over $4.00 of every $10.00 spent online, with growth rapidly outpacing other forms of eCommerce. Within the service economy in particular, home service, wellness and other professionals are often on-the-go, making mobile functionality of paramount importance.</w:t>
      </w:r>
    </w:p>
    <w:p>
      <w:pPr>
        <w:spacing w:after="0" w:line="160"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experience. </w:t>
      </w:r>
      <w:r>
        <w:rPr>
          <w:rFonts w:ascii="Arial" w:cs="Arial" w:eastAsia="Arial" w:hAnsi="Arial"/>
          <w:sz w:val="17"/>
          <w:szCs w:val="17"/>
          <w:color w:val="auto"/>
        </w:rPr>
        <w:t>With the confluence of changing consumer preferences towards digital and a younger, more tech-savvy generation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owners taking seat, businesses are increasingly looking to upgrade and streamline how they engage with their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ind w:left="660" w:hanging="328"/>
        <w:spacing w:after="0" w:line="252" w:lineRule="auto"/>
        <w:tabs>
          <w:tab w:leader="none" w:pos="648" w:val="left"/>
        </w:tabs>
        <w:numPr>
          <w:ilvl w:val="0"/>
          <w:numId w:val="7"/>
        </w:numPr>
        <w:rPr>
          <w:rFonts w:ascii="Arial" w:cs="Arial" w:eastAsia="Arial" w:hAnsi="Arial"/>
          <w:sz w:val="19"/>
          <w:szCs w:val="19"/>
          <w:color w:val="auto"/>
        </w:rPr>
      </w:pPr>
      <w:r>
        <w:rPr>
          <w:rFonts w:ascii="Arial" w:cs="Arial" w:eastAsia="Arial" w:hAnsi="Arial"/>
          <w:sz w:val="17"/>
          <w:szCs w:val="17"/>
          <w:b w:val="1"/>
          <w:bCs w:val="1"/>
          <w:i w:val="1"/>
          <w:iCs w:val="1"/>
          <w:color w:val="auto"/>
        </w:rPr>
        <w:t xml:space="preserve">Digital marketing. </w:t>
      </w:r>
      <w:r>
        <w:rPr>
          <w:rFonts w:ascii="Arial" w:cs="Arial" w:eastAsia="Arial" w:hAnsi="Arial"/>
          <w:sz w:val="17"/>
          <w:szCs w:val="17"/>
          <w:color w:val="auto"/>
        </w:rPr>
        <w:t>Digital channels are allowing businesses to reach their existing and potential end consumers in more innovative, effective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efficient ways than ever before. We expect both increasing adoption of digital marketing tools, compounded by expected increased spend on such tools, recognizing the power and importance of these digital channels. These trends continue to give rise to evolving and new digital marketing solutions aimed at helping businesses target end consumers, lower acquisition costs and increase lifetime value.</w:t>
      </w:r>
    </w:p>
    <w:p>
      <w:pPr>
        <w:spacing w:after="0" w:line="207" w:lineRule="exact"/>
        <w:rPr>
          <w:rFonts w:ascii="Arial" w:cs="Arial" w:eastAsia="Arial" w:hAnsi="Arial"/>
          <w:sz w:val="19"/>
          <w:szCs w:val="19"/>
          <w:color w:val="auto"/>
        </w:rPr>
      </w:pPr>
    </w:p>
    <w:p>
      <w:pPr>
        <w:jc w:val="both"/>
        <w:ind w:left="660" w:hanging="328"/>
        <w:spacing w:after="0" w:line="274"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Digital payments. </w:t>
      </w:r>
      <w:r>
        <w:rPr>
          <w:rFonts w:ascii="Arial" w:cs="Arial" w:eastAsia="Arial" w:hAnsi="Arial"/>
          <w:sz w:val="16"/>
          <w:szCs w:val="16"/>
          <w:color w:val="auto"/>
        </w:rPr>
        <w:t>Digital payment processing solution adoption continues to expand within our core SMB customer base. Five years ago,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estimated that less than 50% of SMBs in the United States had adopted digital payment processing solutions, and instead relied on paper invoices for payment. This has expanded to nearly 70% in the last couple of years, a trend that we expect to continue in the future. Integrated payments (e.g., digital payment acceptance that is embedded into the software that companies use to manage their businesses) have driven operating efficiencies for businesses and have improved payment security and tracking as compared to traditional paper methods.</w:t>
      </w:r>
    </w:p>
    <w:p>
      <w:pPr>
        <w:spacing w:after="0" w:line="151" w:lineRule="exact"/>
        <w:rPr>
          <w:rFonts w:ascii="Arial" w:cs="Arial" w:eastAsia="Arial" w:hAnsi="Arial"/>
          <w:sz w:val="16"/>
          <w:szCs w:val="16"/>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Increasingly vertical- and micro vertical-specific software needs. </w:t>
      </w:r>
      <w:r>
        <w:rPr>
          <w:rFonts w:ascii="Arial" w:cs="Arial" w:eastAsia="Arial" w:hAnsi="Arial"/>
          <w:sz w:val="18"/>
          <w:szCs w:val="18"/>
          <w:color w:val="auto"/>
        </w:rPr>
        <w:t>SMBs across verticals are specializing in order to better compete and align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end-customer preferences, which has resulted in a greater need for vertically-tailored software solutions to address micro-vertical specific workflows. For example, software for instructional dance and martial arts centers has emerged within the Fitness &amp; Wellness industry in recent years to better service the specialized educational training needs of these end-customers.</w:t>
      </w:r>
    </w:p>
    <w:p>
      <w:pPr>
        <w:spacing w:after="0" w:line="146"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Decreasing barriers to software adoption. </w:t>
      </w:r>
      <w:r>
        <w:rPr>
          <w:rFonts w:ascii="Arial" w:cs="Arial" w:eastAsia="Arial" w:hAnsi="Arial"/>
          <w:sz w:val="18"/>
          <w:szCs w:val="18"/>
          <w:color w:val="auto"/>
        </w:rPr>
        <w:t>Given their size and resource capabilities, SMBs generally require lower priced and easier-to-implement technology solutions than larger-scale enterprise businesses. As a result of the innovations in cloud technology and the proliferation of SaaS, today’s solutions are more affordable and easier for SMBs to implement than ever before. According to Cisco, cloud solutions are one of the top three areas for near-term technology investment for small businesses.</w:t>
      </w:r>
    </w:p>
    <w:p>
      <w:pPr>
        <w:spacing w:after="0" w:line="146"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COVID-19 pandemic accelerated pre-existing trends. </w:t>
      </w:r>
      <w:r>
        <w:rPr>
          <w:rFonts w:ascii="Arial" w:cs="Arial" w:eastAsia="Arial" w:hAnsi="Arial"/>
          <w:sz w:val="18"/>
          <w:szCs w:val="18"/>
          <w:color w:val="auto"/>
        </w:rPr>
        <w:t>We believe the COVID-19 pandemic accelerated demand for digital solutions, especially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areas like customer engagement, resulting in SMBs increasing investment in technology to modernize and drive growth and operational efficiencies. According to Forrester, it saw significant gains in its Customer Experience Index in 2020 due to accelerated implementation and leverage of Voice of Customer (“VoC”) measurement tools like Net Promoter Score (“NPS”). We believe the effects of COVID-19 on businesses have advanced the shift to modern, cloud-based software solutions.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existing approaches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Historically, service SMBs have not heavily relied on technology to manage key workflows, but they are increasingly turning to software solutions to streamline operations and boost efficiency. However, the offerings available in the market often fail to meet the needs of today’s service SMBs, and have some or all of the following limitations:</w:t>
      </w:r>
    </w:p>
    <w:p>
      <w:pPr>
        <w:spacing w:after="0" w:line="143" w:lineRule="exact"/>
        <w:rPr>
          <w:sz w:val="20"/>
          <w:szCs w:val="20"/>
          <w:color w:val="auto"/>
        </w:rPr>
      </w:pPr>
    </w:p>
    <w:p>
      <w:pPr>
        <w:jc w:val="both"/>
        <w:ind w:left="660" w:hanging="328"/>
        <w:spacing w:after="0" w:line="263"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Lacking vertical-specific functionality. </w:t>
      </w:r>
      <w:r>
        <w:rPr>
          <w:rFonts w:ascii="Arial" w:cs="Arial" w:eastAsia="Arial" w:hAnsi="Arial"/>
          <w:sz w:val="18"/>
          <w:szCs w:val="18"/>
          <w:color w:val="auto"/>
        </w:rPr>
        <w:t>Traditional technology companies offer broad, horizontal solutions that apply a “one-size-fits-all”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 and aim to solve functional challenges across different verticals. For service SMBs, these solutions have an excess of broad functionality but lack the vertical specialization required in specific verticals.</w:t>
      </w:r>
    </w:p>
    <w:p>
      <w:pPr>
        <w:spacing w:after="0" w:line="156" w:lineRule="exact"/>
        <w:rPr>
          <w:rFonts w:ascii="Arial" w:cs="Arial" w:eastAsia="Arial" w:hAnsi="Arial"/>
          <w:sz w:val="18"/>
          <w:szCs w:val="18"/>
          <w:color w:val="auto"/>
        </w:rPr>
      </w:pPr>
    </w:p>
    <w:p>
      <w:pPr>
        <w:jc w:val="both"/>
        <w:ind w:left="660" w:hanging="328"/>
        <w:spacing w:after="0" w:line="311" w:lineRule="auto"/>
        <w:tabs>
          <w:tab w:leader="none" w:pos="655"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Sold as point solutions. </w:t>
      </w:r>
      <w:r>
        <w:rPr>
          <w:rFonts w:ascii="Arial" w:cs="Arial" w:eastAsia="Arial" w:hAnsi="Arial"/>
          <w:sz w:val="16"/>
          <w:szCs w:val="16"/>
          <w:color w:val="auto"/>
        </w:rPr>
        <w:t>Existing solutions typically address a single application, use case or stage of a broader customer engagement workflow.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These solutions lack the necessary integration of business data and operational workflows that service SMBs need to execute end-to-end processes. Moreover, they limit visibility into business performance and businesses’ ability to optimize data gathered across various processes.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9" w:name="page10"/>
    <w:bookmarkEnd w:id="9"/>
    <w:p>
      <w:pPr>
        <w:spacing w:after="0" w:line="157" w:lineRule="exact"/>
        <w:rPr>
          <w:sz w:val="20"/>
          <w:szCs w:val="20"/>
          <w:color w:val="auto"/>
        </w:rPr>
      </w:pPr>
    </w:p>
    <w:p>
      <w:pPr>
        <w:ind w:left="660" w:right="20" w:hanging="328"/>
        <w:spacing w:after="0" w:line="342" w:lineRule="auto"/>
        <w:tabs>
          <w:tab w:leader="none" w:pos="655"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Built on inflexible, legacy technology infrastructure. </w:t>
      </w:r>
      <w:r>
        <w:rPr>
          <w:rFonts w:ascii="Arial" w:cs="Arial" w:eastAsia="Arial" w:hAnsi="Arial"/>
          <w:sz w:val="16"/>
          <w:szCs w:val="16"/>
          <w:color w:val="auto"/>
        </w:rPr>
        <w:t>Existing solutions are often built on legacy, on-premise infrastructure. These technologies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lack the flexibility and scalability required by today’s service SMBs, and are not customizable to meet individual customers’ needs.</w:t>
      </w:r>
    </w:p>
    <w:p>
      <w:pPr>
        <w:spacing w:after="0" w:line="96"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and resource-intensive. </w:t>
      </w:r>
      <w:r>
        <w:rPr>
          <w:rFonts w:ascii="Arial" w:cs="Arial" w:eastAsia="Arial" w:hAnsi="Arial"/>
          <w:sz w:val="18"/>
          <w:szCs w:val="18"/>
          <w:color w:val="auto"/>
        </w:rPr>
        <w:t>Service SMBs are generally price-sensitive and have limited resources. Existing software solutions often require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significant capital, time and technical resources to implement, inhibiting faster adoption. Moreover, it is difficult for service SMBs to maintain these solutions and roll out new versions and add-on features without significant time and resources.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believe our solutions address a massive market opportunity today. We estimate the total number of service SMBs, which represent service-based businesses with 500 or fewer employees, was approximately 400 million globally in 2020, of which 31 million were in North America.</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estimate the total addressable market (“TAM”) for our current solutions was approximately $1.3 trillion globally in 2020, of which approximately $520 billion was in North America, which refers to the United States and Canada. Of the $520 billion, we estimate a $59 billion opportunity in Home Services, a $84 billion opportunity in Health Services, a $21 billion opportunity in Fitness &amp; Wellness Services and a $356 billion opportunity in other services categories. We believe there is considerable runway for long-term growth given the vast majority of our market opportunity is untapped; we estimate that only 9% of the North America service SMB market has been penetrated with full end-to-end software solutions today, and estimate this number to increase to over 13% by 2025.</w:t>
      </w:r>
    </w:p>
    <w:p>
      <w:pPr>
        <w:spacing w:after="0" w:line="1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arrive at the TAM by estimating the number of service SMBs, multiplying by the list price of the solutions we provide, and making regional adjustments for the number of firms that could pay the listed price.</w:t>
      </w:r>
    </w:p>
    <w:p>
      <w:pPr>
        <w:spacing w:after="0" w:line="13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TAM also includes our payments opportunity, which we arrive at by estimating total revenue across our vertical segments and multiplying by both pricing and penetration estimates.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there are multiple sources of upside to our current TAM. As the number of service SMBs grow, as we develop or acquire complementary solutions, and as we enter new geographies, our market opportunity will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91440</wp:posOffset>
            </wp:positionV>
            <wp:extent cx="5349240" cy="254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492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solutions</w:t>
      </w:r>
    </w:p>
    <w:p>
      <w:pPr>
        <w:spacing w:after="0" w:line="20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end-to-end solutions. These solutions provide value to service SMBs by improving their ability to market their services, streamline operations and retain and engage their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101600</wp:posOffset>
            </wp:positionV>
            <wp:extent cx="5349240" cy="2228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4924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left="660" w:hanging="328"/>
        <w:spacing w:after="0" w:line="25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Business Management Software</w:t>
      </w:r>
      <w:r>
        <w:rPr>
          <w:rFonts w:ascii="Arial" w:cs="Arial" w:eastAsia="Arial" w:hAnsi="Arial"/>
          <w:sz w:val="18"/>
          <w:szCs w:val="18"/>
          <w:color w:val="auto"/>
        </w:rPr>
        <w:t>: Our vertically-tailored Business Management Software is the system of action at the center of a service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streamline their operations and focus on growing their customers and improving their services.</w:t>
      </w:r>
    </w:p>
    <w:p>
      <w:pPr>
        <w:spacing w:after="0" w:line="147" w:lineRule="exact"/>
        <w:rPr>
          <w:rFonts w:ascii="Arial" w:cs="Arial" w:eastAsia="Arial" w:hAnsi="Arial"/>
          <w:sz w:val="18"/>
          <w:szCs w:val="18"/>
          <w:color w:val="auto"/>
        </w:rPr>
      </w:pPr>
    </w:p>
    <w:p>
      <w:pPr>
        <w:jc w:val="both"/>
        <w:ind w:left="660" w:hanging="328"/>
        <w:spacing w:after="0" w:line="271" w:lineRule="auto"/>
        <w:tabs>
          <w:tab w:leader="none" w:pos="655"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 xml:space="preserve">Billing &amp; Payment Solutions: </w:t>
      </w:r>
      <w:r>
        <w:rPr>
          <w:rFonts w:ascii="Arial" w:cs="Arial" w:eastAsia="Arial" w:hAnsi="Arial"/>
          <w:sz w:val="17"/>
          <w:szCs w:val="17"/>
          <w:color w:val="auto"/>
        </w:rPr>
        <w:t>Our Billing &amp; Payment Solutions provide integrated payments, billing and invoicing automation and business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intelligence and analytics. Our omni-channel payments capabilities include point-of-sale, eCommerce, online bill payments, recurring billing, electronic invoicing and mobile payments. Supported payment types include credit card, debit card and Automated Clearing House (“ACH”) processing. Based on the monthly average processing volume for the quarter ended December 31, 2022, we estimate that we process annualized total volume of $10.9 billion. We further estimate that, based on our current customers and payment volumes, we have an aggregate annualized payment processing opportunity of approximately $90 billion. Our payments platform also provides a full suite of service commerce features, including customer management as well as cash flow reporting and analytics. These value-add features help SMBs to ensure more timely billing and payments collection and provide improved cash flow visibility.</w:t>
      </w:r>
    </w:p>
    <w:p>
      <w:pPr>
        <w:spacing w:after="0" w:line="151" w:lineRule="exact"/>
        <w:rPr>
          <w:rFonts w:ascii="Arial" w:cs="Arial" w:eastAsia="Arial" w:hAnsi="Arial"/>
          <w:sz w:val="17"/>
          <w:szCs w:val="17"/>
          <w:b w:val="1"/>
          <w:bCs w:val="1"/>
          <w:color w:val="auto"/>
        </w:rPr>
      </w:pPr>
    </w:p>
    <w:p>
      <w:pPr>
        <w:jc w:val="both"/>
        <w:ind w:left="660" w:hanging="328"/>
        <w:spacing w:after="0" w:line="272" w:lineRule="auto"/>
        <w:tabs>
          <w:tab w:leader="none" w:pos="655" w:val="left"/>
        </w:tabs>
        <w:numPr>
          <w:ilvl w:val="0"/>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Customer Engagement Applications: </w:t>
      </w:r>
      <w:r>
        <w:rPr>
          <w:rFonts w:ascii="Arial" w:cs="Arial" w:eastAsia="Arial" w:hAnsi="Arial"/>
          <w:sz w:val="17"/>
          <w:szCs w:val="17"/>
          <w:color w:val="auto"/>
        </w:rPr>
        <w:t>Our Customer Engagement Applications modernize how businesses engage and interact with customers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leveraging 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VoC insights and manage the customer experience lifecycle. These applications include: customer health scoring, customer support systems, real-time alerts, NPS-based 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57" w:lineRule="exact"/>
        <w:rPr>
          <w:sz w:val="20"/>
          <w:szCs w:val="20"/>
          <w:color w:val="auto"/>
        </w:rPr>
      </w:pPr>
    </w:p>
    <w:p>
      <w:pPr>
        <w:jc w:val="both"/>
        <w:ind w:left="660" w:hanging="328"/>
        <w:spacing w:after="0" w:line="254"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Marketing Technology Solutions: </w:t>
      </w:r>
      <w:r>
        <w:rPr>
          <w:rFonts w:ascii="Arial" w:cs="Arial" w:eastAsia="Arial" w:hAnsi="Arial"/>
          <w:sz w:val="18"/>
          <w:szCs w:val="18"/>
          <w:color w:val="auto"/>
        </w:rPr>
        <w:t>Our Marketing Technology Solutions work alongside our Customer Engagement Applications to help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holistically grow their businesses through new business generation and improved engagement and marketing throughout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(“SEO”), paid search and display advertising, social media and blog automation, call tracking, review monitoring and marketplace lead generation, among others. Our solutions can be purchased and integrated with EverCommerce business management solutions, as well as sold and integrated into 3rd party solutions via the EverConnect brand and solutions suite.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verticals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solutions, many of which we believe are the market leaders in their industries, are deployed in verticals that are comprised of numerous micro-verticals, which through product development and new solution acquisition, offer natural growth opportunities for EverCommerce. We currently go to market with three distinct, vertically-tailored, integrated SaaS solution suites:</w:t>
      </w:r>
    </w:p>
    <w:p>
      <w:pPr>
        <w:spacing w:after="0" w:line="143" w:lineRule="exact"/>
        <w:rPr>
          <w:sz w:val="20"/>
          <w:szCs w:val="20"/>
          <w:color w:val="auto"/>
        </w:rPr>
      </w:pPr>
    </w:p>
    <w:p>
      <w:pPr>
        <w:jc w:val="both"/>
        <w:ind w:left="660" w:hanging="328"/>
        <w:spacing w:after="0" w:line="272" w:lineRule="auto"/>
        <w:tabs>
          <w:tab w:leader="none" w:pos="655"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EverPro – Home Services: </w:t>
      </w:r>
      <w:r>
        <w:rPr>
          <w:rFonts w:ascii="Arial" w:cs="Arial" w:eastAsia="Arial" w:hAnsi="Arial"/>
          <w:sz w:val="17"/>
          <w:szCs w:val="17"/>
          <w:color w:val="auto"/>
        </w:rPr>
        <w:t>Our EverPro solutions are purpose-built for home service professionals, with varying specialized functionality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micro-verticals. For home improvement and field service professionals, project management and field service management applications serve as their business systems of action, respectively. Professionals in this market rely significantly on driving business from residential homeowners, and thus value tailored solutions that capture and manage lead generation from those end consumers. Ranging from professionals across residential home improvement and remodeling, and field services, to security and alarm professionals across residential installation and monitoring, central stations, corporate and campus planning and government, our EverPro solutions are designed to serve the specific needs of the professionals in these home improvement and field services sub-markets.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104775</wp:posOffset>
            </wp:positionV>
            <wp:extent cx="5349240" cy="2571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4924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57" w:lineRule="exact"/>
        <w:rPr>
          <w:sz w:val="20"/>
          <w:szCs w:val="20"/>
          <w:color w:val="auto"/>
        </w:rPr>
      </w:pPr>
    </w:p>
    <w:p>
      <w:pPr>
        <w:jc w:val="both"/>
        <w:ind w:left="328" w:hanging="328"/>
        <w:spacing w:after="0" w:line="291" w:lineRule="auto"/>
        <w:tabs>
          <w:tab w:leader="none" w:pos="323"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EverHealth – Health Services: </w:t>
      </w:r>
      <w:r>
        <w:rPr>
          <w:rFonts w:ascii="Arial" w:cs="Arial" w:eastAsia="Arial" w:hAnsi="Arial"/>
          <w:sz w:val="16"/>
          <w:szCs w:val="16"/>
          <w:color w:val="auto"/>
        </w:rPr>
        <w:t>Our EverHealth solutions are purpose-built for health service professionals. The Health Services market is rooted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 group of core solutions, including practice management and electronic health record (“EHR”) / electronic medical record (“EMR”) software. We offer different types and scales of solutions for micro-verticals, including small group and specialty practices, behavioral health professionals, specialty branches of hospital systems, ambulatory services, urgent care and EMT and physical, occupational and speech therapists, among others. We believe that our patient and provider engagement solutions position us well to benefit from major industry trends such as the digitalization of front-office operations and patient engagement. As with EverPro, we believe we are well positioned to continue to take market-share in current-and future-focus specialty micro-verticals, such as urology, audiology, chronic care management, otolaryngology and nephrology.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685800</wp:posOffset>
            </wp:positionH>
            <wp:positionV relativeFrom="paragraph">
              <wp:posOffset>97790</wp:posOffset>
            </wp:positionV>
            <wp:extent cx="5349240" cy="257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13" w:name="page14"/>
    <w:bookmarkEnd w:id="13"/>
    <w:p>
      <w:pPr>
        <w:spacing w:after="0" w:line="157" w:lineRule="exact"/>
        <w:rPr>
          <w:sz w:val="20"/>
          <w:szCs w:val="20"/>
          <w:color w:val="auto"/>
        </w:rPr>
      </w:pPr>
    </w:p>
    <w:p>
      <w:pPr>
        <w:jc w:val="both"/>
        <w:ind w:left="660" w:hanging="328"/>
        <w:spacing w:after="0" w:line="272"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EverWell – Fitness &amp; Wellness: </w:t>
      </w:r>
      <w:r>
        <w:rPr>
          <w:rFonts w:ascii="Arial" w:cs="Arial" w:eastAsia="Arial" w:hAnsi="Arial"/>
          <w:sz w:val="17"/>
          <w:szCs w:val="17"/>
          <w:color w:val="auto"/>
        </w:rPr>
        <w:t>Our EverWell solutions are purpose-built for Fitness &amp; Wellness service professionals. The Fitness &amp; Wellness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 includes tech-savvy businesses which generally require integrated solutions that provide modern, convenient experiences for end consumers. Member management and consumer-facing scheduling and facility access solutions are “must-have” software capabilities for modern gyms, spas and salons. In addition, adjacent solutions in relationship management, inventory management, personal training scheduling and fitness tracking are increasingly needed to support a seamless, value-add consumer experience. Our EverWell solutions are built specifically for fitness professionals, which include gyms, studios, health clubs, specialized instructors (e.g., educational dance, gymnastics and cheer) and personal trainers and for wellness professionals, which include salons, spas and massage therapists.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104775</wp:posOffset>
            </wp:positionV>
            <wp:extent cx="5349240" cy="257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We offer select solutions to customers in other services verticals, including education, non-profit, pet care and automotive repair, among many others.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While these offerings are not a part of our core suites, they are managed as part of our centralized approach to strategy and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we win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our offerings deliver tremendous value to our customers and are differentiated by the following qualities:</w:t>
      </w:r>
    </w:p>
    <w:p>
      <w:pPr>
        <w:spacing w:after="0" w:line="198" w:lineRule="exact"/>
        <w:rPr>
          <w:sz w:val="20"/>
          <w:szCs w:val="20"/>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Tailored, vertical-specific approach. </w:t>
      </w:r>
      <w:r>
        <w:rPr>
          <w:rFonts w:ascii="Arial" w:cs="Arial" w:eastAsia="Arial" w:hAnsi="Arial"/>
          <w:sz w:val="18"/>
          <w:szCs w:val="18"/>
          <w:color w:val="auto"/>
        </w:rPr>
        <w:t>We are exclusively focused on providing service SMBs with tailored solutions to help meet their specific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Our vertical and micro-vertical approach enables us to provide tailored solutions featuring critical vertical-specific functionality that better serves our customers when compared to industry-agnostic solutions offered by other businesses.</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solutions for end-to-end workflow. </w:t>
      </w:r>
      <w:r>
        <w:rPr>
          <w:rFonts w:ascii="Arial" w:cs="Arial" w:eastAsia="Arial" w:hAnsi="Arial"/>
          <w:sz w:val="18"/>
          <w:szCs w:val="18"/>
          <w:color w:val="auto"/>
        </w:rPr>
        <w:t>Our end-to-end suites integrate solutions across the full range of our customers’ workflows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internal and back-office functions and customer-facing services), simplifying their operations and providing a frictionless experience when compared to disjointed point solutions offered by other software businesses.</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SaaS-based solutions. </w:t>
      </w:r>
      <w:r>
        <w:rPr>
          <w:rFonts w:ascii="Arial" w:cs="Arial" w:eastAsia="Arial" w:hAnsi="Arial"/>
          <w:sz w:val="18"/>
          <w:szCs w:val="18"/>
          <w:color w:val="auto"/>
        </w:rPr>
        <w:t>Our scalable and flexible SaaS solutions alleviate resource needs associated with implementing and managing costly on-premise infrastructure, which simplifies the management of distributed workforces, enhances operational simplicity, and provides continuous delivery of updates and upgrades to our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57" w:lineRule="exact"/>
        <w:rPr>
          <w:sz w:val="20"/>
          <w:szCs w:val="20"/>
          <w:color w:val="auto"/>
        </w:rPr>
      </w:pPr>
    </w:p>
    <w:p>
      <w:pPr>
        <w:jc w:val="both"/>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Mobile capabilities. </w:t>
      </w:r>
      <w:r>
        <w:rPr>
          <w:rFonts w:ascii="Arial" w:cs="Arial" w:eastAsia="Arial" w:hAnsi="Arial"/>
          <w:sz w:val="18"/>
          <w:szCs w:val="18"/>
          <w:color w:val="auto"/>
        </w:rPr>
        <w:t>Our SaaS, web-based and mobile solutions enable business owners, administrators and in-the-field service professionals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access schedules, customer accounts and business performance analytics, among other critical features, wherever they are. In addition, our native mobile applications provide in-depth service delivery functionality for technicians and service professionals in-the-field, even out of cellular or wireless network areas.</w:t>
      </w:r>
    </w:p>
    <w:p>
      <w:pPr>
        <w:spacing w:after="0" w:line="159"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Exceptional digital experiences. </w:t>
      </w:r>
      <w:r>
        <w:rPr>
          <w:rFonts w:ascii="Arial" w:cs="Arial" w:eastAsia="Arial" w:hAnsi="Arial"/>
          <w:sz w:val="18"/>
          <w:szCs w:val="18"/>
          <w:color w:val="auto"/>
        </w:rPr>
        <w:t>Our customers’ use of our offerings allows them to deliver exceptional digital experiences to consumers across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multiple channels, enhancing engagement, retention and loyalty. For example, our customers can use our technology to develop modern touchpoints for consumers such as online scheduling, appointment reminders, online customer portals, online and mobile payments, SMS text updates, email updates and consumer-facing mobile applications.</w:t>
      </w:r>
    </w:p>
    <w:p>
      <w:pPr>
        <w:spacing w:after="0" w:line="146"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Cost- and resource-efficient. </w:t>
      </w:r>
      <w:r>
        <w:rPr>
          <w:rFonts w:ascii="Arial" w:cs="Arial" w:eastAsia="Arial" w:hAnsi="Arial"/>
          <w:sz w:val="18"/>
          <w:szCs w:val="18"/>
          <w:color w:val="auto"/>
        </w:rPr>
        <w:t>SMBs are generally price-sensitive and resource-constrained, however legacy software solutions are often too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expensive to adopt. Our solutions are affordable and easy to implement, and our customers benefit from our strong customer service capabilities, enabling them to optimize their use of digital solutions without significant financial or resource burden.</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Customer-driven innovation. </w:t>
      </w:r>
      <w:r>
        <w:rPr>
          <w:rFonts w:ascii="Arial" w:cs="Arial" w:eastAsia="Arial" w:hAnsi="Arial"/>
          <w:sz w:val="18"/>
          <w:szCs w:val="18"/>
          <w:color w:val="auto"/>
        </w:rPr>
        <w:t>The insight we gain into our more than 685,000 customers’ use of our offerings informs our product pipeline,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allowing us to constantly refine existing solutions and deliver new solutions that are most valuable to them.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focused on growing and scaling our business in a rapid, yet sustainable and disciplined fashion. We intend to drive significant growth by executing the following key strategies:</w:t>
      </w:r>
    </w:p>
    <w:p>
      <w:pPr>
        <w:spacing w:after="0" w:line="130" w:lineRule="exact"/>
        <w:rPr>
          <w:sz w:val="20"/>
          <w:szCs w:val="20"/>
          <w:color w:val="auto"/>
        </w:rPr>
      </w:pPr>
    </w:p>
    <w:p>
      <w:pPr>
        <w:jc w:val="both"/>
        <w:ind w:left="660" w:hanging="328"/>
        <w:spacing w:after="0" w:line="255"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Attract new customers: </w:t>
      </w:r>
      <w:r>
        <w:rPr>
          <w:rFonts w:ascii="Arial" w:cs="Arial" w:eastAsia="Arial" w:hAnsi="Arial"/>
          <w:sz w:val="18"/>
          <w:szCs w:val="18"/>
          <w:color w:val="auto"/>
        </w:rPr>
        <w:t>We believe that there is a significant opportunity to attract new customers with our current offerings and within the market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segments in which we currently operate. We estimate that there are over 31 million service SMBs in North America alone, and 400 million globally. Our current verticals and adjacent markets in the service economy are highly fragmented. By improving the awareness of our brands and solutions, we believe that we can increase penetration and sell our complete value chain of solutions to service SMB customers. Through acquisitions and organic growth of our business, the number of customers on our platform increased from approximately 110,000 at the end of 2018 to more than 685,000 at the end of 2022.</w:t>
      </w:r>
    </w:p>
    <w:p>
      <w:pPr>
        <w:spacing w:after="0" w:line="165"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into new products and verticals: </w:t>
      </w:r>
      <w:r>
        <w:rPr>
          <w:rFonts w:ascii="Arial" w:cs="Arial" w:eastAsia="Arial" w:hAnsi="Arial"/>
          <w:sz w:val="18"/>
          <w:szCs w:val="18"/>
          <w:color w:val="auto"/>
        </w:rPr>
        <w:t>Given our position in the service SMB ecosystem, as well as our relationships and level of entrenchment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customers, we use insights gained through our customer lifecycle to identify additional solutions that are value-additive for our customers. These insights allow us to continually assess opportunities to develop or acquire solutions to further expand market share, drive customer stickiness and fuel growth for our business.</w:t>
      </w:r>
    </w:p>
    <w:p>
      <w:pPr>
        <w:spacing w:after="0" w:line="146" w:lineRule="exact"/>
        <w:rPr>
          <w:rFonts w:ascii="Arial" w:cs="Arial" w:eastAsia="Arial" w:hAnsi="Arial"/>
          <w:sz w:val="18"/>
          <w:szCs w:val="18"/>
          <w:color w:val="auto"/>
        </w:rPr>
      </w:pPr>
    </w:p>
    <w:p>
      <w:pPr>
        <w:jc w:val="both"/>
        <w:ind w:left="660" w:hanging="328"/>
        <w:spacing w:after="0" w:line="25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ARPU and grow wallet share: </w:t>
      </w:r>
      <w:r>
        <w:rPr>
          <w:rFonts w:ascii="Arial" w:cs="Arial" w:eastAsia="Arial" w:hAnsi="Arial"/>
          <w:sz w:val="18"/>
          <w:szCs w:val="18"/>
          <w:color w:val="auto"/>
        </w:rPr>
        <w:t>Today, we serve more than 685,000 service SMBs, which represent a significant opportunity for growth.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 become more embedded in our customers’ daily business operations, we are better positioned to add value by cross-selling and up-selling adjacent solutions. We believe we had an addressable annualized revenue opportunity with our existing customers of greater than $5 billion as of December 31, 2022, as our integrated vertical SaaS solutions allow us to offer customers additional capabilities across their entire customer engagement lifecycle. As we continue to develop, acquire and transform our solutions, we aim to continue adding value to our customers by displacing point-solution competitors and legacy, manual methods with our integrated digital offerings, increasing our ARPU and improving customer experience and retention.</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conjunction with the strategies cited above, we also acquire solutions to accelerate our position as a market leader, fill gaps within our vertically tailored solutions, deepen our competitive moats in existing verticals and enter new verticals and geographies. We have an established framework for identification, execution, integration and onboarding of targets. These acquired solutions bring deep industry expertise and vertically-tailored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solutions that provide additional sources of growth. We believe that our methodology, track record and reputation for sourcing, evaluating and integrating acquisitions positions us as an “acquirer-of-choice” for potential targets. We have acquired 52 companies since our inception, including five in 2021 and nine in 2020. We are currently tracking over 12,000 businesses around the world, primarily across our core verticals, as potential acquisition opportunities.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18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define a customer as an individual or entity that utilized or was capable of utilizing an EverCommerce solution or service for which they paid any one or combination of recurring, re-occurring or transactional fees in a given period. For solutions contracting with entities that service groups of customers, for example franchises or other multi-location businesses, the customer is counted at the level of the individual business utilizing the solution.</w:t>
      </w:r>
    </w:p>
    <w:p>
      <w:pPr>
        <w:spacing w:after="0" w:line="10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serve a wide range of customers across various verticals, micro-verticals, geographies and sizes. We believe the customers that we serve are representative of the highly diverse and varied nature of the SMB service economy. Our customers provide expert services which, in turn, play a critical role in supporting the everyday lives of millions of end consumers – for their homes, their health and their well-being.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Our Verticals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19030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Home Services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Health Services</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Fitness &amp; Wellness Services</w:t>
      </w:r>
    </w:p>
    <w:p>
      <w:pPr>
        <w:spacing w:after="0" w:line="31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9030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Micro-vertical Examples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34290</wp:posOffset>
            </wp:positionV>
            <wp:extent cx="51689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68900" cy="8255"/>
                    </a:xfrm>
                    <a:prstGeom prst="rect">
                      <a:avLst/>
                    </a:prstGeom>
                    <a:noFill/>
                  </pic:spPr>
                </pic:pic>
              </a:graphicData>
            </a:graphic>
          </wp:anchor>
        </w:drawing>
      </w:r>
    </w:p>
    <w:p>
      <w:pPr>
        <w:spacing w:after="0" w:line="1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HVAC/plumbing, electrical professionals, remodeling and home improvement contractors, window and door replacement specialties, security and alarm installation and monitoring businesses</w:t>
      </w:r>
    </w:p>
    <w:p>
      <w:pPr>
        <w:spacing w:after="0" w:line="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Specialty private medical practices, mental health therapists, chronic care specialists, ambulatory and EMT services, specialty branches of hospital systems</w:t>
      </w:r>
    </w:p>
    <w:p>
      <w:pPr>
        <w:spacing w:after="0" w:line="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Chain and franchise gyms, full-service health clubs, boutique studios, personal trainers, dance and instructional schools, salons and spas, massage therapists</w:t>
      </w:r>
    </w:p>
    <w:p>
      <w:pPr>
        <w:spacing w:after="0" w:line="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Non-profits, veterinary care facilities, small accounting and tax firms, educational facilities, social services, pet/veterinary care, professional services, consumer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-1905</wp:posOffset>
            </wp:positionV>
            <wp:extent cx="51689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689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0" w:space="720"/>
            <w:col w:w="8120"/>
          </w:cols>
          <w:pgMar w:left="320" w:top="1440" w:right="339" w:bottom="1440" w:gutter="0" w:footer="0" w:header="0"/>
          <w:type w:val="continuous"/>
        </w:sectPr>
      </w:pPr>
    </w:p>
    <w:p>
      <w:pPr>
        <w:spacing w:after="0" w:line="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we served more than 685,000 customers. Of these customers, approximately 66% were based in the United States and approximately 34% were international. Despite not having merger and acquisition driven customer additions in 2022, we grew our total customer base organically by approximately 14% for the year.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While we have built a scaled, differentiated platform, we compete in a variety of highly fragmented markets and face competition from a variety of sources:</w:t>
      </w:r>
    </w:p>
    <w:p>
      <w:pPr>
        <w:spacing w:after="0" w:line="221"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Manual processes, basic PC tools, standalone payment terminals and homegrown solutions, utilized by many service SMBs;</w:t>
      </w:r>
    </w:p>
    <w:p>
      <w:pPr>
        <w:spacing w:after="0" w:line="184"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Vertically-specialized competitors, including mobile sales applications and field service management platforms in Home Services, EHR/EMR and practice management platforms in Health Services and facility and employee management and member management and programming platforms in Fitness &amp; Wellness Services; and</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Horizontal competitors, including Salesforce for CRM, Intuit for financial products, Square for payments and HubSpot for marketing related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 w:name="page17"/>
    <w:bookmarkEnd w:id="16"/>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principal competitive factors affecting our market include:</w:t>
      </w:r>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Breadth and depth of vertical solutions;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Quality of products and features;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Seamless integration and ease-of-use;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support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Pricing and costs;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strategy and pace of innovation;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Name recognition and brand reputation;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Sales and marketing execution;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Platform security.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Part I. Item 1A.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for a more comprehensive description of risks related to competition.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strategy</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product strategy organization develops an in-depth understanding of the customer and their varied workflow needs across our target industries, in order to pursue holistic “buy” vs “build” strategies to deliver an integrated value chain to our customers. The product management organization partners closely with our marketing, sales and customer teams to hear market insights and VoC feedback to improve retention and wallet expansion, build stronger integrations between solutions and pursue adjacent market penetration opportunities.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go-to-market</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go-to-market organization includes our centralized marketing, business development, sales and customer success functions who align to build positive customer experiences across the business. These teams drive scalable and efficient organic growth in three key areas: new customer acquisition, wallet share expansion and go-to-market of acquired or built products. Our centralized, highly-trained team members are organized into several targeted and coordinated groups to address specific service SMB market’s highly varied audiences, while aligning priorities through Centers of Excellence to ensure the broader set of unified EverCommerce growth and scale objectives are met. Our teams relentlessly test and measure results to expand channels, optimize go-to-market, increase sales conversion, identify customer upsell opportunities and explore adjacent expansion verticals. Through this targeted, coordinated approach, we maximize expert resource allocation and allow for growth programs of scale with attractive customer unit economics across our business.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an example of this approach, we acquired and onboarded Joist in our EverPro solutions group in December 2018. Joist is a mobile app used by small contractors to provide estimates, invoices and collect payment for a project. At the time of acquisition, Joist went to market with a freemium model in the very early stages of monetization. Shortly after onboarding Joist, we began executing several different growth and profitability initiatives, including: (i) product enhancements to transition from its freemium model to a tiered subscription model; (ii) leveraging our centralized digital marketing capabilities, we accelerated customer acquisition and added more than 40,000 SaaS customers in 18 months; and (iii) modifying payments integration to increase unit profitability by leveraging the scale of our payments platform. In the aggregate, these actions helped to drive an approximately five times increase in revenue over our first two years of ownership of Joist.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people, culture and values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consider our people and culture to be vital to our success. We place a high level of emphasis on the relationships we have with our people, their engagement and commitment to the organization. Our fundamental belief is that when a company has a strong relationship with its employees, they in turn deliver exceptional customer service and in turn that delivers strong business performance. We have seen and believe our diverse, inclusive and innovative workforce is and will continue to be a competitive advantage. We plan to continue to make investment in our human capital a priority.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We believe in and prioritize diversity, equality and inclusivity in our workplace and behave in a manner where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values are the underpinnings of how we build programs, in the selection and promotion of individuals and how we support the growth and development of our people. We aggressively manage and measure our identification, selection, retention, growth and development of our current and future employees. We have a robust methodology that enables us to successfully and with a high level of engagement, integrate individuals into our organization.</w:t>
      </w:r>
    </w:p>
    <w:p>
      <w:pPr>
        <w:spacing w:after="0" w:line="1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human-first culture has been built upon our values and they are a critical part of how we behave, lead and engage with our people. Our values reflect who EverCommerce is and serve as our guiding force on how we plan to achieve our organizational objectives.</w:t>
      </w:r>
    </w:p>
    <w:p>
      <w:pPr>
        <w:spacing w:after="0" w:line="1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providing continuous learning, autonomy and engaging work, we provide a series of competitive benefits, including health insurance for employees and dependents, a 401k match, paid parental leave and flexible time off. We allot over 15,000 hours per year for our employees to volunteer for causes that are important to them. Within the tight-knit culture we have built and sustained, we celebrate our people and their successes with company events, team building activities and other important benefits. We invest in continuous growth and development with training and education and we provide career opportunities for people to continue to stretch their strengths and capabilities. None of our employees are represented by labor unions or covered by collective bargaining agreements.</w:t>
      </w:r>
    </w:p>
    <w:p>
      <w:pPr>
        <w:spacing w:after="0" w:line="1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we had approximately 2,300 employees operating across six countries, including approximately 1,800 employees located in the United States.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w:t>
      </w:r>
    </w:p>
    <w:p>
      <w:pPr>
        <w:spacing w:after="0" w:line="18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Our SaaS solutions are strategically integrated to best serve our service SMB customers and ensure they have all the tools to help them grow and scale. We leverage a common set of best practices, IT infrastructure and architectures that serve as a foundation for highly scalable and secure software solutions.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Key areas and features of our centralized strategy and operations that serve as a foundation to our technology approach include:</w:t>
      </w:r>
    </w:p>
    <w:p>
      <w:pPr>
        <w:spacing w:after="0" w:line="198"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Software development: </w:t>
      </w:r>
      <w:r>
        <w:rPr>
          <w:rFonts w:ascii="Arial" w:cs="Arial" w:eastAsia="Arial" w:hAnsi="Arial"/>
          <w:sz w:val="18"/>
          <w:szCs w:val="18"/>
          <w:color w:val="auto"/>
        </w:rPr>
        <w:t>Our software teams use best-in-class technologies and practices to develop our SaaS, mobile and (in selected situations)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on-premise solutions. Our software is purpose-built to meet the specific needs of the industries we serve.</w:t>
      </w:r>
    </w:p>
    <w:p>
      <w:pPr>
        <w:spacing w:after="0" w:line="129"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Tech and IT shared services: </w:t>
      </w:r>
      <w:r>
        <w:rPr>
          <w:rFonts w:ascii="Arial" w:cs="Arial" w:eastAsia="Arial" w:hAnsi="Arial"/>
          <w:sz w:val="18"/>
          <w:szCs w:val="18"/>
          <w:color w:val="auto"/>
        </w:rPr>
        <w:t>Our shared services across its technology platforms provides a centralized and consistent approach to software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as well as cloud engineering and data center migration. Our centralized IT administration allows for 24-hour support for all our people and platforms worldwide.</w:t>
      </w:r>
    </w:p>
    <w:p>
      <w:pPr>
        <w:spacing w:after="0" w:line="143"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Shared infrastructure: </w:t>
      </w:r>
      <w:r>
        <w:rPr>
          <w:rFonts w:ascii="Arial" w:cs="Arial" w:eastAsia="Arial" w:hAnsi="Arial"/>
          <w:sz w:val="18"/>
          <w:szCs w:val="18"/>
          <w:color w:val="auto"/>
        </w:rPr>
        <w:t>We systematically upgrade our data centers, centralize our collaboration platforms onto Office 365 and deploy a variety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standardized third-party software products sourced through EverCommerce. Migration of more than half of our technology solutions to AWS has allowed for gains in productivity, cost efficiency, expanded capacity and faster innovation.</w:t>
      </w:r>
    </w:p>
    <w:p>
      <w:pPr>
        <w:spacing w:after="0" w:line="156" w:lineRule="exact"/>
        <w:rPr>
          <w:rFonts w:ascii="Arial" w:cs="Arial" w:eastAsia="Arial" w:hAnsi="Arial"/>
          <w:sz w:val="18"/>
          <w:szCs w:val="18"/>
          <w:color w:val="auto"/>
        </w:rPr>
      </w:pPr>
    </w:p>
    <w:p>
      <w:pPr>
        <w:jc w:val="both"/>
        <w:ind w:left="660" w:right="2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Cyber security: </w:t>
      </w:r>
      <w:r>
        <w:rPr>
          <w:rFonts w:ascii="Arial" w:cs="Arial" w:eastAsia="Arial" w:hAnsi="Arial"/>
          <w:sz w:val="18"/>
          <w:szCs w:val="18"/>
          <w:color w:val="auto"/>
        </w:rPr>
        <w:t>Our Security Operations team uses industry best practices and functional expertise to perform regular risk assessments, audits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remediation across our IT infrastructure and the data we maintain therein. Our centralized security efforts also include incident prevention, incident response, monitoring, scanning and alerting.</w:t>
      </w:r>
    </w:p>
    <w:p>
      <w:pPr>
        <w:spacing w:after="0" w:line="14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Offshore development team: </w:t>
      </w:r>
      <w:r>
        <w:rPr>
          <w:rFonts w:ascii="Arial" w:cs="Arial" w:eastAsia="Arial" w:hAnsi="Arial"/>
          <w:sz w:val="18"/>
          <w:szCs w:val="18"/>
          <w:color w:val="auto"/>
        </w:rPr>
        <w:t>Our software is primarily developed internally; however, we also use independent firms and contractors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and internationally to perform some of our product development activities.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20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Regulators around the world have adopted or proposed requirements regarding the collection, use, transfer, security, storage, destruction and other processing of personal data. These laws are increasing in number and complexity, resulting in higher risk of enforcement, fines and other penalties. Our privacy and legal teams are committed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processing and fulfilling any requests regarding the exercise of an individual’s privacy rights with respect to personal information.</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our consumer transactions business is now, or may in the future be, subject to certain financial services laws, regulations and rules, such as the Payment Card Industry Data Security Standards, the Gramm-Leach-Bliley Act and the National Automated Clearing House Association ACH Rules, and our healthcare services businesses are subject to certain healthcare security and privacy laws, such as HIPAA, as amended by the Health Information Technology for Economic and Clinical Health Act of 2009, and regulations promulgated thereunder (collectively, “HIPAA”) in the United States and Personal Information Protection and Electronic Documents Act and Personal Health Information Protection Act (“PIPEDA”) in Canada.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regulatory matters</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Our business operates in the healthcare space, and as such is affected by changes in healthcare laws, regulations and industry standards. The healthcare industry is highly regulated and subject to frequently changing political, legislative, regulatory and other influences. We are subject, either directly or through our customers, to a number of federal, state and local healthcare laws and regulations that involve matters central to our Health Services business. Failure to satisfy those legal and regulatory requirements, or the adoption of new laws or regulations that impact our business or our customers, could have a significant negative impact on our results of operations, financial condition or liquidity. For additional information regarding potential risks relating to compliance with healthcare laws and regulations, see Part I, Item 1A, </w:t>
      </w:r>
      <w:r>
        <w:rPr>
          <w:rFonts w:ascii="Arial" w:cs="Arial" w:eastAsia="Arial" w:hAnsi="Arial"/>
          <w:sz w:val="18"/>
          <w:szCs w:val="18"/>
          <w:i w:val="1"/>
          <w:iCs w:val="1"/>
          <w:color w:val="auto"/>
        </w:rPr>
        <w:t>“Risk Factors – The healthcare industry is heavily regulated at the local, state and</w:t>
      </w:r>
      <w:r>
        <w:rPr>
          <w:rFonts w:ascii="Arial" w:cs="Arial" w:eastAsia="Arial" w:hAnsi="Arial"/>
          <w:sz w:val="18"/>
          <w:szCs w:val="18"/>
          <w:color w:val="auto"/>
        </w:rPr>
        <w:t xml:space="preserve"> </w:t>
      </w:r>
      <w:r>
        <w:rPr>
          <w:rFonts w:ascii="Arial" w:cs="Arial" w:eastAsia="Arial" w:hAnsi="Arial"/>
          <w:sz w:val="18"/>
          <w:szCs w:val="18"/>
          <w:i w:val="1"/>
          <w:iCs w:val="1"/>
          <w:color w:val="auto"/>
        </w:rPr>
        <w:t>federal levels. Our failure to comply with regulatory requirements could create liability for us or our customers, result in adverse publicity and negatively affect our business.”</w:t>
      </w:r>
    </w:p>
    <w:p>
      <w:pPr>
        <w:spacing w:after="0" w:line="205"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In addition to the potential for evolving laws and regulations, the application and interpretation of these laws and regulations are often uncertain. These laws are enforced by federal, state and local regulatory agencies in the jurisdictions where we operate, and in some instances also through private civil litigation. </w:t>
      </w:r>
      <w:r>
        <w:rPr>
          <w:rFonts w:ascii="Arial" w:cs="Arial" w:eastAsia="Arial" w:hAnsi="Arial"/>
          <w:sz w:val="18"/>
          <w:szCs w:val="18"/>
          <w:color w:val="231F20"/>
        </w:rPr>
        <w:t>Violation of any of such laws or any other governmental regulations that apply may result in penalties, including, without limitation, significant</w:t>
      </w:r>
      <w:r>
        <w:rPr>
          <w:rFonts w:ascii="Arial" w:cs="Arial" w:eastAsia="Arial" w:hAnsi="Arial"/>
          <w:sz w:val="18"/>
          <w:szCs w:val="18"/>
          <w:color w:val="auto"/>
        </w:rPr>
        <w:t xml:space="preserve"> </w:t>
      </w:r>
      <w:r>
        <w:rPr>
          <w:rFonts w:ascii="Arial" w:cs="Arial" w:eastAsia="Arial" w:hAnsi="Arial"/>
          <w:sz w:val="18"/>
          <w:szCs w:val="18"/>
          <w:color w:val="231F20"/>
        </w:rPr>
        <w:t>administrative, civil and criminal penalties, damages, fines, disgorgement, additional reporting and/or compliance obligations to settle allegations of non-compliance, contractual damages, the curtailment or restructuring of operations, exclusion from participation in governmental healthcare programs and imprisonment.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Protecting our intellectual property and proprietary technology is an important aspect of our business and continued growth. We rely on a combination of trademark, copyright, patent, trade secret and other intellectual property laws in the United States and other jurisdictions, as well as written agreements and other contractual provisions, to protect our proprietary technology, processes and other intellectual property.</w:t>
      </w:r>
    </w:p>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December 31, 2022, we had 155 registered trademarks in the United States (including EverCommerce), three registered trademarks in the EU (for the EverCommerce logo), two registered trademarks in Puerto Rico, one registered trademark in Canada, 15 registered trademarks in New Zealand, six registered trademarks in Australia and seven registered trademarks in the United Kingdom; six trademark applications in process in the United States and six trademark applications in process in Canada; 35 registered copyrights in the United States and one registered copyright in Canada; and six issued patents in the United States and four pending patents in the United States. We also have a portfolio of approximately 3,200 registered domain names for websites that we use in our business or that are registered defensively to protect our brands.</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we generally enter into confidentiality agreements and assignment of invention agreements with employees and contractors throughout our business, including those involved in the development of our proprietary intellectual property. We also enter into confidentiality agreements with our customers, partners and third parties who have access to our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much of the intellectual property we use is owned by us, we have obtained rights to use intellectual property of third parties through licenses and service agreements with those third parties. Although we believe these licenses are sufficient for the operation of our business, these licenses typically limit our use of the third parties’ intellectual property to specific uses and for specific time periods.</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intend to pursue additional intellectual property protection to the extent we believe it would be beneficial and cost-effective. See “Risk Factors—Risks Related to Intellectual Property—We may be unable to adequately protect and enforce, and we may incur significant costs in enforcing or defending, our intellectual property and other proprietary rights.”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were initially formed under the laws of the state of Delaware in September 2016 under the name PaySimple Holdings, Inc., with “EverCommerce” being our “doing business as” name. In December 2020, we changed our name to EverCommerce Inc. Our website address is www.evercommerce.com. We file or furnish electronically with the Securities and Exchange Commission (“SEC”) our annual reports on Form 10-K, quarterly reports on Form 10-Q, current reports on Form 8-K, proxy statements and other information, as well as amendments to those reports. These and other SEC filings are available to the public over the Internet at the SEC’s website at http://www.sec.gov. We make available on our website at www.evercommerce.com, under “Investor Relations,” free of charge, copies of these reports as soon as reasonably practicable after filing or furnishing these reports with the SEC. The information contained on our website is not incorporated by reference into this Annual Report on Form 10-K.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business involves significant risks, some of which are described below. You should carefully consider the risks and uncertainties described below, together with all of the other information in this Annual Report on Form 10-K. The risks and uncertainties described below are not the only ones we face. Additional risk and uncertainties that we are unaware of or that we deem immaterial may also become important factors that adversely affect our business. The realization of any of these risks and uncertainties could have a material adverse effect on our reputation, business, financial condition, results of operations, growth and future prospects as well as our ability to accomplish our strategic objectives. In that event, the market price of our common stock could decline and you could lose part or all of your investment.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Our limited operating history and our evolving business make it difficult to evaluate our future prospects and the risks and challenges we may encounter.</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limited operating history and evolving business make it difficult to evaluate and assess the success of our business to date, our future prospects and the risks and challenges that we may encounter. These risks and challenges include our ability to:</w:t>
      </w:r>
    </w:p>
    <w:p>
      <w:pPr>
        <w:spacing w:after="0" w:line="19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new and digitally-inclined service SMBs to the EverCommerce platform;</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 existing customers and leverage cross-sell and upsell opportunities;</w:t>
      </w:r>
    </w:p>
    <w:p>
      <w:pPr>
        <w:ind w:left="660" w:hanging="328"/>
        <w:spacing w:after="0" w:line="234"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successfully update the EverCommerce platform, including expanding into new verticals and international markets and integrating additional solution capabilities to further benefit our service SMB customers and enhance the end-customer experience;</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through future acquisitions and successfully identify and integrate acquired entities, services and technologies;</w:t>
      </w:r>
    </w:p>
    <w:p>
      <w:pPr>
        <w:ind w:left="660" w:hanging="328"/>
        <w:spacing w:after="0" w:line="23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hire, integrate and retain talented people at all levels of our organization;</w:t>
      </w:r>
    </w:p>
    <w:p>
      <w:pPr>
        <w:ind w:left="660" w:hanging="328"/>
        <w:spacing w:after="0" w:line="234"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comply with existing and new laws and regulations applicable to our business and in the industries in which we participate;</w:t>
      </w:r>
    </w:p>
    <w:p>
      <w:pPr>
        <w:ind w:left="660" w:hanging="328"/>
        <w:spacing w:after="0" w:line="226"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anticipate and respond to macroeconomic changes, changes within the existing and future industries in which we participate, including the Home Services, Health Services and Fitness &amp; Wellness industries, and changes in the markets in which we operate;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foresee and manage market volatility impacts on market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react to challenges from existing and new competitors;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improve and enhance the value of our reputation and brand;</w:t>
      </w:r>
    </w:p>
    <w:p>
      <w:pPr>
        <w:ind w:left="660" w:hanging="328"/>
        <w:spacing w:after="0" w:line="23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manage our growth; and</w:t>
      </w:r>
    </w:p>
    <w:p>
      <w:pPr>
        <w:ind w:left="660" w:hanging="328"/>
        <w:spacing w:after="0" w:line="24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maintain and improve the infrastructure underlying the EverCommerce platform, including our software, websites, mobile applications and data centers, as well as our cybersecurity and data protection measures.</w:t>
      </w:r>
    </w:p>
    <w:p>
      <w:pPr>
        <w:spacing w:after="0" w:line="213"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If we fail to address the risks and difficulties that we face, including those associated with the challenges listed above and those described elsewhere in this “Risk Factors” section, our business, financial condition and results of operations could be adversely affected. Further, because we have limited historical financial data and our business continues to evolve and expand within the industries in which we operate, any predictions about our future revenue and expenses may not be as accurate as they would be if we had a longer operating history, operated a more predictable business or operated in a single or unregulated industry. We have encountered in the past, and will encounter in the future, risks and uncertainties frequently experienced by growing companies with limited operating histories and evolving businesses that operate in regulated and competitive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would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recent growth rates may not be sustainable or indicative of future growth.</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Since our founding, we have generated significant growth through acquisitions and by driving organic growth of our business. Our revenue has grown at a CAGR of 36.9% from 2019 to 2022, and reached $620.7 million for the year ended December 31, 2022, up from $490.1 million for the year ended December 31, 2021, which represents revenue growth of 26.6% from 2021 to 2022. Our historical rate of growth may not be sustainable or indicative of our future rate of growth. For example, while acquisitions have significantly contributed to our growth to date, we may make fewer or no acquisitions in the future. We believe that our continued growth in revenue, as well as our ability to improve or maintain margins and profitability, will depend upon, among other factors, our ability to address the challenges, risks and difficulties described elsewhere in this “Risk Factors” section and the extent to which our various offerings grow and contribute to our results of operations. We cannot provide assurance that we will be able to successfully manage any such challenges or risks to our future growth. In addition, our base of customers may not continue to grow or may decline due to a variety of possible risks, including changes in macroeconomic conditions, increased competition, changes in the regulatory landscape and the maturation of our business. Any of these factors could cause our revenue growth to decline and may adversely affect our margins and profitability. Failure to continue our revenue growth or improve margins would have a material adverse effect on our business, financial condition and results of operations. You should not rely on our historical rate of revenue growth as an indication of our future performance.</w:t>
      </w:r>
    </w:p>
    <w:p>
      <w:pPr>
        <w:spacing w:after="0" w:line="20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To manage our current and anticipated future growth effectively, we must continue to maintain and enhance our technology infrastructure, financial and accounting systems and controls. We must also attract, train and retain a significant number of qualified sales and marketing personnel, client support personnel, professional services personnel, software engineers, technical personnel and management personnel, and the availability of such personnel, in particular software engineers, may be constrained.</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key element of how we manage our growth is our ability to scale our capabilities and satisfactorily implement our solutions for our customers’ needs.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net losses in the past and we may not achieve profitability in the future.</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have incurred significant operating losses since our inception. Our net loss was $59.8 million and $82.0 million for the years ended December 31, 2022 and 2021, respectively. Our operating expenses may increase substantially in the foreseeable future as we continue to invest to grow our business and build relationships with or clients and partners, develop new solutions and comply with requirements of being a public company. These efforts may prove to be more expensive than we currently anticipate, and we may not succeed in increasing our revenue sufficiently to offset these higher expenses. If we are unable to effectively manage the risks and difficulties of investing to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 w:name="page22"/>
    <w:bookmarkEnd w:id="21"/>
    <w:p>
      <w:pPr>
        <w:jc w:val="both"/>
        <w:spacing w:after="0" w:line="261" w:lineRule="auto"/>
        <w:rPr>
          <w:sz w:val="20"/>
          <w:szCs w:val="20"/>
          <w:color w:val="auto"/>
        </w:rPr>
      </w:pPr>
      <w:r>
        <w:rPr>
          <w:rFonts w:ascii="Arial" w:cs="Arial" w:eastAsia="Arial" w:hAnsi="Arial"/>
          <w:sz w:val="18"/>
          <w:szCs w:val="18"/>
          <w:color w:val="auto"/>
        </w:rPr>
        <w:t>our business, building relationships and developing new solutions as we encounter them, our business, financial condition and results of operations may suffer.</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continue to experience significant quarterly and annual fluctuations in our operating results due to a number of factors, which makes our future operating results difficult to predict.</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Historically, we have experienced fluctuations in period to period operating results, with stronger results and higher revenue in the second and third quarters of the year, and our quarterly and annual operating results may continue to fluctuate significantly due to a variety of factors, many of which are outside of our control. As a result, comparing our operating results on a period-to-period basis may not be meaningful. Our past results may not be a predictor of our future performance.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affect our operating results and the ability to predict our future results and trajectory include:</w:t>
      </w:r>
    </w:p>
    <w:p>
      <w:pPr>
        <w:spacing w:after="0" w:line="239"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increase sales to existing customers and to renew agreements with our existing customers at comparable prices;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attract new customers with greater needs for our services;</w:t>
      </w: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 or pricing pressure on our software and related services;</w:t>
      </w: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periodic fluctuations in demand for our software and services and volatility in the sales of our solutions and services;</w:t>
      </w: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or failure of our acquisition strategy;</w:t>
      </w:r>
    </w:p>
    <w:p>
      <w:pPr>
        <w:ind w:left="660" w:right="20" w:hanging="328"/>
        <w:spacing w:after="0" w:line="234"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timely develop and implement new solutions and services, as well as improve and enhance existing solutions and services, in a manner that meets customer requirements;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hire, train and retain key personnel;</w:t>
      </w: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any significant changes in the competitive dynamics of our market, including new entrants or substantial discounting of products or services;</w:t>
      </w:r>
    </w:p>
    <w:p>
      <w:pPr>
        <w:spacing w:after="0" w:line="7" w:lineRule="exact"/>
        <w:rPr>
          <w:rFonts w:ascii="Arial" w:cs="Arial" w:eastAsia="Arial" w:hAnsi="Arial"/>
          <w:sz w:val="17"/>
          <w:szCs w:val="17"/>
          <w:color w:val="auto"/>
        </w:rPr>
      </w:pP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w:t>
      </w:r>
    </w:p>
    <w:p>
      <w:pPr>
        <w:ind w:left="660" w:hanging="328"/>
        <w:spacing w:after="0" w:line="219"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significant change in our facilities-related costs;</w:t>
      </w: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of hiring personnel and of large expenses such as those for third-party professional services;</w:t>
      </w: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general economic conditions;</w:t>
      </w:r>
    </w:p>
    <w:p>
      <w:pPr>
        <w:ind w:left="660" w:hanging="328"/>
        <w:spacing w:after="0" w:line="23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appropriately resolve any disputes relating to our intellectual property; and</w:t>
      </w:r>
    </w:p>
    <w:p>
      <w:pPr>
        <w:ind w:left="660" w:hanging="328"/>
        <w:spacing w:after="0" w:line="24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a recession, pandemic or any other adverse global economic conditions on our business, including the impact of the ongoing COVID-19 pandemic.</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in the past experienced, and we may experience in the future, significant variations in our level of sales. Such variations in our sales have led and may lead to significant fluctuations in our cash flows, revenue and deferred revenue on a quarterly and annual basis. Failure to achieve our quarterly goals will decrease our value and, accordingly, the value of our securities.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reduce our rate of acquisitions and may be unsuccessful in achieving continued growth through acquisitions.</w:t>
      </w:r>
    </w:p>
    <w:p>
      <w:pPr>
        <w:spacing w:after="0" w:line="239"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color w:val="auto"/>
        </w:rPr>
        <w:t>Since April 2017, we have consummated 52 acquisitions and have generated significant growth through acquisitions. Although we expect to continue to acquire companies and other assets in the future, such acquisitions pose a number of challenges and risks, including the following:</w:t>
      </w:r>
    </w:p>
    <w:p>
      <w:pPr>
        <w:spacing w:after="0" w:line="174"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identify suitable acquisition candidates or acquire additional assets at attractive valuations and on favorable terms;</w:t>
      </w:r>
    </w:p>
    <w:p>
      <w:pPr>
        <w:spacing w:after="0" w:line="11" w:lineRule="exact"/>
        <w:rPr>
          <w:rFonts w:ascii="Arial" w:cs="Arial" w:eastAsia="Arial" w:hAnsi="Arial"/>
          <w:sz w:val="18"/>
          <w:szCs w:val="18"/>
          <w:color w:val="auto"/>
        </w:rPr>
      </w:pPr>
    </w:p>
    <w:p>
      <w:pPr>
        <w:ind w:left="660" w:hanging="328"/>
        <w:spacing w:after="0" w:line="21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availability of suitable acquisition candidates;</w:t>
      </w:r>
    </w:p>
    <w:p>
      <w:pPr>
        <w:ind w:left="660" w:hanging="328"/>
        <w:spacing w:after="0" w:line="234"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ability to compete successfully for identified acquisition candidates, complete acquisitions or accurately estimate the financial effect of acquisitions on our business;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higher than expected or unanticipated acquisition costs;</w:t>
      </w:r>
    </w:p>
    <w:p>
      <w:pPr>
        <w:jc w:val="both"/>
        <w:ind w:left="660" w:hanging="328"/>
        <w:spacing w:after="0" w:line="239"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effective integration and management of acquired businesses in a manner that permits the combined company to achieve the full revenue and cost synergies and other benefits anticipated to result from the acquisition, due to difficulties such as incompatible accounting, information management or other control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 w:name="page23"/>
    <w:bookmarkEnd w:id="22"/>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retention of an acquired company’s key employees or customers;</w:t>
      </w:r>
    </w:p>
    <w:p>
      <w:pPr>
        <w:spacing w:after="0" w:line="1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contingent or undisclosed liabilities, incompatibilities and/or other obstacles to successful integration not discovered during the pre-acquisition due diligence process;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availability of management resources to evaluate acquisition candidates and oversee the integration and operation of the acquired businesses;</w:t>
      </w:r>
    </w:p>
    <w:p>
      <w:pPr>
        <w:spacing w:after="0" w:line="18"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obtain the necessary debt or equity financing, on favorable terms or at all, to finance any of our potential acquisitions;</w:t>
      </w:r>
    </w:p>
    <w:p>
      <w:pPr>
        <w:ind w:left="660" w:hanging="328"/>
        <w:spacing w:after="0" w:line="23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interest expense, restructuring charges and amortization expenses related to intangible assets;</w:t>
      </w:r>
    </w:p>
    <w:p>
      <w:pPr>
        <w:ind w:left="660" w:hanging="328"/>
        <w:spacing w:after="0" w:line="21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significant dilution to our stockholders for acquisitions made utilizing our securities; and</w:t>
      </w:r>
    </w:p>
    <w:p>
      <w:pPr>
        <w:ind w:left="660" w:hanging="328"/>
        <w:spacing w:after="0" w:line="243"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generate cash necessary to execute our acquisition strategy and/or the reduction of cash that would otherwise be available to fund operations or for other purposes.</w:t>
      </w:r>
    </w:p>
    <w:p>
      <w:pPr>
        <w:spacing w:after="0" w:line="213"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While our acquisition strategy leverages our experience and utilizes internal criteria for evaluating acquisition candidates and prospective businesses, there can be no guarantee that each business will have all of the positive attributes we seek. If we complete an acquisition that does not meet some or all of our criteria, such acquisition may not be as successful as one involving a business that does meet most or all of our criteria. There can be no assurance that our criteria are accurate or helpful indicators of success, and we may fail or opt not to acquire successful businesses that do not otherwise satisfy our internal requirements and preferences. In addition, we may consider acquisitions outside of our existing vertical markets and in industries or services in which we have limited expertise or experience. While we will endeavor to evaluate the risks inherent in any particular acquisition candidate, there can be no assurance that we will adequately ascertain or assess all of the significant risk factors to such new markets, industries or services.</w:t>
      </w:r>
    </w:p>
    <w:p>
      <w:pPr>
        <w:spacing w:after="0" w:line="19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Even if we are able to complete acquisitions and other investments, such activities may not ultimately strengthen our competitive position or achieve our strategic goals and could be viewed negatively by existing or prospective customers, investors or other stakeholders. We may not realize the anticipated benefits of any or all of our acquisitions or other investments in the time frame expected or at all. For example, the process of integrating operations could cause an interruption of, or loss of momentum in, the activities of one or more of our combined businesses and the possible loss of key personnel. Further, acquisitions and consolidations may also disrupt our ongoing business, divert our resources and require significant management attention that would otherwise be available for ongoing development of our current business. Acquisitions can also result in a complex corporate structure with different systems and procedures in place across various acquired entities, particularly during periods in which acquired entities are being integrated or transitioned to our preferred systems and procedures. Initiatives to integrate these disparate systems and procedures can be challenging and costly, and the risk of failure high.</w:t>
      </w:r>
    </w:p>
    <w:p>
      <w:pPr>
        <w:spacing w:after="0" w:line="22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Moreover, there can be no assurance that we will be able to identify suitable acquisition targets in the future, or to complete such acquisitions on acceptable terms or at all. If we are unable to identify acquisition targets that meet our investment criteria and close such transactions on acceptable terms, our potential for growth by way of acquisition may be restricted, which could have an adverse effect on achievement of our strategy and the resulting expected financial benefits.</w:t>
      </w:r>
    </w:p>
    <w:p>
      <w:pPr>
        <w:spacing w:after="0" w:line="21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occurrence of any of these factors may result in a decrease in any or all acquisition activity and otherwise adversely impact our operations, which may lead to less growth and a deterioration of our financial and operational condition.</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Revenues and profits generated through acquisitions may be less than anticipated, and we may fail to uncover all liabilities of acquisition targets through the due diligence process prior to an acquisition, resulting in unanticipated costs, losses or a decline in profits, as well as potential impairment charges. Claims against us relating to any acquisition may necessitate our seeking claims against the seller for which the seller may not indemnify us or that may exceed the seller’s indemnification obligations.</w:t>
      </w:r>
    </w:p>
    <w:p>
      <w:pPr>
        <w:spacing w:after="0" w:line="218"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evaluating and determining the purchase price for a prospective acquisition, we estimate the future revenues and profits from that acquisition based largely on historical financial performance. Following an acquisition, we may experience some attrition in the number of clients serviced by an acquired provider of billing and payment solutions and marketing and customer retention services. Should the rate of post-acquisition client attrition exceed the rate we forecasted, the revenues and profits from the acquisition may be less than we estimated, which could result in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3" w:name="page24"/>
    <w:bookmarkEnd w:id="23"/>
    <w:p>
      <w:pPr>
        <w:jc w:val="both"/>
        <w:spacing w:after="0" w:line="261" w:lineRule="auto"/>
        <w:rPr>
          <w:sz w:val="20"/>
          <w:szCs w:val="20"/>
          <w:color w:val="auto"/>
        </w:rPr>
      </w:pPr>
      <w:r>
        <w:rPr>
          <w:rFonts w:ascii="Arial" w:cs="Arial" w:eastAsia="Arial" w:hAnsi="Arial"/>
          <w:sz w:val="18"/>
          <w:szCs w:val="18"/>
          <w:color w:val="auto"/>
        </w:rPr>
        <w:t>or a decline in profits, as well as potential impairment charges. Moreover, the anticipated benefits of any acquisition, including our revenue or return on investment assumptions, may not be realized.</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perform a due diligence review of each of our acquisition targets. This due diligence review, however, may not adequately uncover all of the contingent or undisclosed liabilities we may incur as a consequence of the proposed acquisition, exposing us to potentially significant, unanticipated costs, as well as potential impairment charges. Although a seller generally may have indemnification obligations to us under an acquisition or merger agreement, these obligations usually will be subject to financial limitations, such as general deductibles and maximum recovery amounts, as well as time limitations. Certain transactions are also subject to limitations of the scope of a Representation and Warranty Insurance policy. We cannot assure you that our right to indemnification from any seller will be enforceable, collectible or sufficient in amount, scope or duration to fully offset the amount of any undiscovered or underestimated liabilities that we may incur. Any such liabilities, individually or in the aggregate, could have a material adverse effect on our business, results of operations and financial condition. In addition, our insurance does not cover all of our potential losses, and we are subject to various self-insured retentions and deductibles under our insurance. Although we believe we have sufficient reserves for contingencies, a judgment may be rendered against us in cases in which we could be uninsured or which exceed the amounts that we currently have reserved or anticipate incurring for such matters.</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In order to support the growth of our business and our acquisition strategy, we may need to incur additional indebtedness or seek capital through new equity or debt financings, which sources of additional capital may not be available to us on acceptable terms or at all and may result in substantial dilution to our stockholders.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Our operations have consumed substantial amounts of cash since inception and we intend to continue to make significant investments to support our business growth, acquire complementary businesses and technologies, respond to business challenges or opportunities, develop new solutions and services and enhance our existing solutions and services and operating infrastructure. Our net cash provided by operating activities was $64.8 million in 2022 and $37.5 million in 2021. We had cash and cash equivalents of $92.6 million and restricted cash of $3.2 million as of December 31, 2022.</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color w:val="auto"/>
        </w:rPr>
        <w:t>Our future capital requirements may be significantly different from our current estimates and will depend on many factors, including the need to:</w:t>
      </w:r>
    </w:p>
    <w:p>
      <w:pPr>
        <w:spacing w:after="0" w:line="23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finance unanticipated working capital requirements;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acquire complementary businesses, technologies, solutions or services;</w:t>
      </w:r>
    </w:p>
    <w:p>
      <w:pPr>
        <w:ind w:left="660" w:hanging="328"/>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or enhance our technological infrastructure and our existing solutions and services;</w:t>
      </w:r>
    </w:p>
    <w:p>
      <w:pPr>
        <w:ind w:left="660" w:hanging="328"/>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fund strategic relationships, including joint ventures and co-investments;</w:t>
      </w:r>
    </w:p>
    <w:p>
      <w:pPr>
        <w:ind w:left="660" w:hanging="328"/>
        <w:spacing w:after="0" w:line="23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respond to competitive pressures; and</w:t>
      </w: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manage costs associated with any adverse market conditions or other macroeconomic factors.</w:t>
      </w:r>
    </w:p>
    <w:p>
      <w:pPr>
        <w:spacing w:after="0" w:line="223"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Accordingly, we may need to engage in equity or debt financings or collaborative arrangements to secure additional funds. Additional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ordinary shares.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In addition, during times of economic instability, it has been difficult for many companies to obtain financing in the public markets or to obtain debt financing, and we may not be able to obtain additional financing on commercially reasonable terms, if at all. If we are unable to obtain adequate financing or financing on terms satisfactory to us, it could have a material adverse effect on our business, financial condition and results of operations. Further, the Company maintains the majority of its cash and cash equivalents in accounts with major U.S. and multi-national financial institutions, and our deposits at certain of these institutions exceed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 w:name="page25"/>
    <w:bookmarkEnd w:id="24"/>
    <w:p>
      <w:pPr>
        <w:ind w:right="460"/>
        <w:spacing w:after="0" w:line="261" w:lineRule="auto"/>
        <w:rPr>
          <w:sz w:val="20"/>
          <w:szCs w:val="20"/>
          <w:color w:val="auto"/>
        </w:rPr>
      </w:pPr>
      <w:r>
        <w:rPr>
          <w:rFonts w:ascii="Arial" w:cs="Arial" w:eastAsia="Arial" w:hAnsi="Arial"/>
          <w:sz w:val="18"/>
          <w:szCs w:val="18"/>
          <w:b w:val="1"/>
          <w:bCs w:val="1"/>
          <w:i w:val="1"/>
          <w:iCs w:val="1"/>
          <w:color w:val="auto"/>
        </w:rPr>
        <w:t>We may not be able to continue to expand our share of our existing vertical markets or expand into new vertical markets, which would inhibit our ability to grow and increase our profitability.</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future growth and profitability depend, in part, upon our continued expansion within the vertical markets in which we currently operate, the emergence of other vertical markets for our solutions and our ability to penetrate new vertical markets. As part of our strategy to expand into new vertical markets, we look for acquisition opportunities and partnerships that will allow us to increase our market penetration, technological capabilities, offering of solutions and distribution capabilities. We may not be able to successfully identify suitable acquisition or partnership candidates in the future, and if we do, they may not provide us with the benefits we anticipated.</w:t>
      </w:r>
    </w:p>
    <w:p>
      <w:pPr>
        <w:spacing w:after="0" w:line="22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Our expansion into new vertical markets also depends upon our ability to adapt our existing technology or to develop new technologies to meet the particular needs of each new vertical market. We may not have adequate financial or technological resources to develop effective and secure services or distribution channels that will satisfy the demands of these new vertical markets. Penetrating these new vertical markets may also prove to be more challenging or costly or take longer than we may anticipate. Further, as positive references from existing customers are vital to expanding into new vertical and geographic markets within the service economy, any dissatisfaction on the part of existing customers may harm our brand and reputation and inhibit market acceptance of our services. If we fail to expand into new vertical markets and increase our penetration into existing vertical markets, we may not be able to continue to grow our revenues and earnings.</w:t>
      </w: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face intense competition in each of the industries in which we operate, which could negatively impact our business, results of operations and financial condition and cause our market share to decline.</w:t>
      </w:r>
    </w:p>
    <w:p>
      <w:pPr>
        <w:spacing w:after="0" w:line="18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market for our solutions and services is highly competitive and subject to rapidly changing technology, shifting customer needs and frequent introductions of new products and services. As our platform is utilized across industries, we compete in a variety of highly fragmented markets and face competition from a variety of sources, including manual processes, basic PC tools, homegrown solutions, as well as from vertically-specialized and horizontal competitors. Vertically-specialized competitors include mobile sales applications and field service management platforms in Home Services, EHR / EMR and practice management platforms in Health Services and facility and employee management and member management and programming platforms in Fitness &amp; Wellness Services. Horizontal competitors include Salesforce for CRM, Intuit for financial products, Square for payments and HubSpot for marketing related solutions.</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We expect the intensity of competition to increase in the future as new companies enter our markets and existing competitors develop stronger capabilities. Our competitors may be able to devote greater resources to the development, promotion and sale of their offerings than we can to ours, which could allow them to respond more quickly than we can to new technologies and changes in customer needs and achieve wider market acceptance. Because the barriers to entry into our industry are generally low, we expect to continue to face competition from new entrants. We also encounter competition from a broad range of firms which possess greater resources than we do, and small independent firms that compete primarily on the basis of price. We may not compete effectively and competitive pressures might prevent us from acquiring and maintaining the customer base necessary for us to be successful.</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may also potentially face competition from our current partners. Our partners, including our integration partners for our Electronic Health Record and Practice Management solutions within Health Services, our Business Management Software solutions within Home Services and our payment and customer relationship management solutions within Fitness &amp; Wellness Services, as well as our third-party payment processing partners, could become our competitors by offering similar services. Some of our partners offer, or may begin to offer, services in the same or similar manner as we do. Although there are many potential opportunities for, and applications of, these services, our partners may seek opportunities or target new clients in areas that may overlap with those that we have chosen to pursue.</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may face competition from companies that we do not yet know about. If existing or new companies develop or market products or services that are similar to ours, develop entirely new solutions, acquire one of our existing competitors or form a strategic alliance with one of our competitors or other industry participants, our ability to compete effectively could be significantly impacted, which would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25" w:name="page26"/>
    <w:bookmarkEnd w:id="25"/>
    <w:p>
      <w:pPr>
        <w:spacing w:after="0" w:line="21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The industries in which we operate are rapidly evolving and the market for technology-enabled services that empower SMBs is relatively immature and unproven. If we are not successful in promoting the benefits of or maintaining the competitiveness of our solutions and services, our growth may be limited.</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three current verticals represent markets for our solutions and services that are subject to rapid and significant change. The market for software and technology-enabled services that empower SMBs is characterized by rapid technological change, new product and service introductions, consumerism and engagement and the entrance of non-traditional competitors. In addition, there may be a limited-time opportunity to achieve and maintain a significant share of these markets due in part to the rapidly evolving nature of the businesses within our Home Services, Health Services and Fitness &amp; Wellness Services verticals, the technology industries that support these businesses and the substantial resources available to our existing and potential competitors. The market for technology-enabled services within these verticals is relatively new and unproven, and it is uncertain whether this market will achieve and sustain high levels of demand and market adoption.</w:t>
      </w:r>
    </w:p>
    <w:p>
      <w:pPr>
        <w:spacing w:after="0" w:line="21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order to remain competitive, we are continually involved in a number of projects to compete with these new market entrants by developing new services, growing our client base and penetrating new markets. Some of these projects include the expansion of our integration capabilities around our vertical markets, such as field service management, EHR, PM and other solutions. These projects carry risks, such as cost overruns, delays in delivery, performance problems and lack of acceptance by our clients, which could adversely impact our business, results of operations and financial condition.</w:t>
      </w:r>
    </w:p>
    <w:p>
      <w:pPr>
        <w:spacing w:after="0" w:line="18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Moreover, our ability to grow organically may be limited by, among other things, extensive saturation in the verticals in which we operate or a change or reduction in demand from SMBs due to changing economic conditions, strategic priorities, or otherwise. For many of our businesses, organic growth depends on product innovation, new product development, and timely responses to changing SMB demands and preferences. Consequently, failure to develop new or improved products in response to changing SMB preferences in a timely manner may hinder our growth potential, affect our competitive position, and adversely affect our business and results of operations.</w:t>
      </w: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Consolidation in the industries in which we operate could decrease demand for our solutions and services by existing and potential clients in such industries.</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Participants and businesses in the industries in which we operate may consolidate and merge to create larger or more integrated entities with greater market power. We expect regulatory, economic and other conditions to result in additional consolidation in the future. As consolidation accelerates, the economies of scale of our clients’ organizations may grow. If a client experiences sizable growth following consolidation, it may determine that it no longer needs to rely on us and may reduce its demand for our solutions and services. In addition, if an existing independent client elects to become a part of a franchise group, or if an existing franchise client opts to change to a different franchise group, such clients may be required by the terms of their respective franchise group to use different solutions and services, which would have an adverse impact on our operations and demand for our solutions. Furthermore, as companies consolidate to create larger and more integrated entities with greater market power, these new entities may try to use their market power to negotiate fee reductions for our solutions and services. Finally, consolidation may also result in the acquisition or future development by our customers of products and services that compete with our solutions and services. Any of these potential results of consolidation could have a material adverse effect on our business, financial condition and results of operations.</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We are dependent on payment card networks, such as Visa and MasterCard, and payment processors, such as Worldpay and PayPal, and if we fail to comply with the applicable requirements of our payment network or payment processors, they can seek to fine us, suspend us or terminate our registrations through our bank sponsors.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We have entered into agreements with certain payment processors, including Worldpay and PayPal, in order to enable our clients’ processing of credit, debit and prepaid card transactions through the card networks, such as Visa and MasterCard. Pursuant to these agreements with payment processors, we are registered with the card networks as an independent sales organization (“ISO”) of our sponsor bank or as a payment facilitator, and are subject to the card network rules and certain other obligations. The payment networks routinely update and modify requirements applicable to merchant acquirers, including rules regulating data integrity, third-party relationships (such as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jc w:val="both"/>
        <w:spacing w:after="0" w:line="324" w:lineRule="auto"/>
        <w:rPr>
          <w:sz w:val="20"/>
          <w:szCs w:val="20"/>
          <w:color w:val="auto"/>
        </w:rPr>
      </w:pPr>
      <w:r>
        <w:rPr>
          <w:rFonts w:ascii="Arial" w:cs="Arial" w:eastAsia="Arial" w:hAnsi="Arial"/>
          <w:sz w:val="16"/>
          <w:szCs w:val="16"/>
          <w:color w:val="auto"/>
        </w:rPr>
        <w:t>with respect to bank sponsors and ISOs), merchant chargeback standards and the Payment Card Industry Data Security Standards (“PCI DSS”). The rules of the card networks are set by their boards, which may be influenced by card issuers, some of which offer competing transaction processing services.</w:t>
      </w:r>
    </w:p>
    <w:p>
      <w:pPr>
        <w:spacing w:after="0" w:line="15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If we fail to comply with the applicable rules and requirements of the payment card networks or payment processors, they could suspend or terminate our registration. Further, our transaction processing capabilities, including with respect to settlement processes, could be delayed or otherwise disrupted, and recurring non-compliance could result in the payment networks or payment processors seeking to fine us, or suspend or terminate our registrations which allow us to process transactions on their networks, which would make it impossible for us to conduct our business on its current scale. Under certain circumstances specified in the payment network rules, we may be required to submit to periodic audits, self-assessments or other assessments of our compliance with the PCI DSS. Such activities may reveal that we have failed to comply with the PCI DSS. In addition, even if we comply with the PCI DSS, there is no assurance that we will be protected from a security breach. In the regular course of business, we enter into standard form contracts with a number of payment processors for the provision of payment processing and related services. Our contracts with payment processors, including Worldpay and PayPal, include standard confidentiality, indemnification and data protection obligations, among others. Our contracts with Worldpay and PayPal provide for certain termination events, such as material breach, and are subject to automatic annual renewal unless terminated by either party upon prior notice or for cause. The termination of our registration with the payment networks or our relationships with the payment processors, or any changes in payment network, payment processor or issuer rules that limit our ability to provide merchant acquiring services, could have an adverse effect on our payment processing volumes, revenues and operating costs. If we are unable to comply with the requirements applicable to our settlement activities, the payment networks or payment processors may no longer allow us to provide these services, which would require us to spend additional resources to obtain settlement services from a third-party provider. In addition, if we were precluded from processing Visa and MasterCard transactions, which we access through our payment processor arrangements, we would lose substantially all of our revenue.</w:t>
      </w:r>
    </w:p>
    <w:p>
      <w:pPr>
        <w:spacing w:after="0" w:line="19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also subject to the operating rules of the National Automated Clearing House Association (“NACHA”), a self-regulatory organization which administers and facilitates private-sector operating rules for ACH payments and defines the roles and responsibilities of financial institutions and other ACH network participants. The NACHA Rules and Operating Guidelines impose obligations on us and our partner financial institutions. These obligations include audit and oversight by the financial institutions and the imposition of mandatory corrective action, including termination, for serious violations. If an audit or self-assessment under PCI DSS or NACHA identifies any deficiencies that we need to remediate, the remediation efforts may distract our management team and be expensive and time consuming.</w:t>
      </w:r>
    </w:p>
    <w:p>
      <w:pPr>
        <w:spacing w:after="0" w:line="21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If we cannot keep pace with rapid developments and changes in the electronic payments market or are unable to introduce, develop and market new and enhanced versions of our software solutions, we may be put at a competitive disadvantage with respect to our services that incorporated payment technology.</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Payment-related transactions comprised approximately 14% of our revenue in 2022. The electronic payments market is subject to constant and significant changes. This market is characterized by rapid technological evolution, new product and service introductions, evolving industry standards, changing client needs and the entrance of non-traditional competitors, including products and services that enable card networks and banks to transact with consumers directly. To remain competitive, we continually pursue initiatives to develop new solutions and services to compete with these new market entrants. These projects carry risks, such as cost overruns, delays in delivery, performance problems and lack of client acceptance. In addition, new solutions and offerings may not perform as intended or generate the business or revenue growth expected. Any delay in the delivery of new solutions and services or the failure to differentiate our solutions and services or to accurately predict and address market demand could render our solutions and services less desirable, or even obsolete, to our clients and to our distribution partners. Furthermore, even though the market for integrated payment processing solutions and services is evolving, it may develop too rapidly or not rapidly enough for us to recover the costs we have incurred in developing new solutions and services targeted at this market. Any of the foregoing could have a material and adverse effect on our operating results and financial condition.</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continued growth and development of our payment processing activities will depend on our ability to anticipate and adapt to changes in consumer behavior. For example, consumer behavior may change regarding the use of payment card transactions, including the relative increased use of crypto-currencies, other emerging or alternative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 w:name="page28"/>
    <w:bookmarkEnd w:id="27"/>
    <w:p>
      <w:pPr>
        <w:jc w:val="both"/>
        <w:spacing w:after="0" w:line="262" w:lineRule="auto"/>
        <w:rPr>
          <w:sz w:val="20"/>
          <w:szCs w:val="20"/>
          <w:color w:val="auto"/>
        </w:rPr>
      </w:pPr>
      <w:r>
        <w:rPr>
          <w:rFonts w:ascii="Arial" w:cs="Arial" w:eastAsia="Arial" w:hAnsi="Arial"/>
          <w:sz w:val="17"/>
          <w:szCs w:val="17"/>
          <w:color w:val="auto"/>
        </w:rPr>
        <w:t>payment methods and payment card systems that we or our processing partners do not adequately support or that do not provide adequate commissions to parties like us. Any failure to timely integrate emerging payment methods into our software, to anticipate consumer behavior changes or to contract with processing partners that support such emerging payment technologies could cause us to lose traction among our customers or referral sources, resulting in a corresponding loss of revenue, if those methods become popular among end-users of their services.</w:t>
      </w:r>
    </w:p>
    <w:p>
      <w:pPr>
        <w:spacing w:after="0" w:line="199"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solutions and services we deliver are designed to process complex transactions and provide reports and other information on those transactions, all at very high volumes and processing speeds. Our technology offerings must also integrate with a variety of network, hardware, mobile and software platforms and technologies, and we need to continuously modify and enhance our solutions and services to adapt to changes and innovation in these technologies. Any failure to deliver an effective, reliable and secure service or any performance issue that arises with a new solution or service could result in significant processing or reporting errors or other losses. If we do not deliver a promised new solution or service to our clients or distribution partners in a timely manner or the solution or service does not perform as anticipated, our development efforts could result in increased costs and a loss in business that could reduce our earnings and cause a loss of revenue. We also rely in part on third parties, including some of our competitors and potential competitors, for the development of and access to new technologies, including software and hardware. Our future success will depend in part on our ability to develop or adapt to technological changes and evolving industry standards. If we are unable to develop, adapt to or access technological changes or evolving industry standards on a timely and cost-effective basis, our business, financial condition and results of operations would be materially adversely affected.</w:t>
      </w:r>
    </w:p>
    <w:p>
      <w:pPr>
        <w:spacing w:after="0" w:line="20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Real or perceived errors, failures or bugs in our solutions could adversely affect our business, results of operations, financial condition and growth prospects.</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customers expect a consistent level of quality in the provision of our solutions and services. The support services that we provide are also a key element of the value proposition to our customers. However, complex technological solutions such as ours often contain errors or defects, particularly when first introduced or when new versions or enhancements are released. Errors will affect the implementation, as well as the performance, of our solutions and software and could delay the development or release of new solutions or new versions of solutions, adversely affect our reputation and our customers’ willingness to buy solutions from us, and adversely affect market acceptance or perception of our solutions. We may also experience technical or other difficulties in the integration of acquired technologies and software solutions into our existing platforms and applications. Any such errors or delays in introducing or implementing new or enhanced solutions or allegations of unsatisfactory performance could cause us to lose revenue or market share, increase our service costs, cause us to incur substantial costs, cause us to lose significant customers, negatively affect our ability to attract new clients, subject us to liability for damages and divert our resources from other tasks, any one of which could materially and adversely affect our business, results of operations and financial condition.</w:t>
      </w:r>
    </w:p>
    <w:p>
      <w:pPr>
        <w:spacing w:after="0" w:line="21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Unauthorized disclosure, destruction or modification of data, disruption of our software or services or cyber breaches could expose us to liability, protracted and costly litigation and damage our reputation.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We are responsible both for our own business and to a significant degree for acts and omissions by certain of our distribution partners and third-party vendors under the rules and regulations established by the payment networks, such as Visa, MasterCard, Discover and American Express and the debit networks. We and other third parties collect, process, store and transmit sensitive data, such as names, addresses, social security numbers, credit or debit card numbers and expiration dates or other payment card information, drivers’ license numbers and bank account numbers, and we have ultimate liability to the payment networks and member financial institutions that register us with the payment networks for our failure, or the failure of certain distribution partners and third parties with whom we contract, to protect this data in accordance with payment network requirements. Certain of our software and technology-enabled services are intended for use in collecting, storing and displaying clinical and health care-related information used in the diagnosis and treatment of patients and in related health care settings such as registration, scheduling and billing. We attempt to limit by contract our liability, however, the limitations of liability set forth in the contracts may not be enforceable or otherwise protect us from liability, and we may also be subject to claims that are not covered by contract. Although we maintain liability insurance coverage, there can be no assurance that such coverage will cover any claim, prove to be adequate or continue to remain available on acceptable terms, if at all. The loss, destruction or unauthorized modification of client or cardholder data could result in significant fines, sanctions and proceedings or actions against us by the payment networks, governmental bodies, our customers,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 w:name="page29"/>
    <w:bookmarkEnd w:id="28"/>
    <w:p>
      <w:pPr>
        <w:jc w:val="both"/>
        <w:spacing w:after="0" w:line="257" w:lineRule="auto"/>
        <w:rPr>
          <w:sz w:val="20"/>
          <w:szCs w:val="20"/>
          <w:color w:val="auto"/>
        </w:rPr>
      </w:pPr>
      <w:r>
        <w:rPr>
          <w:rFonts w:ascii="Arial" w:cs="Arial" w:eastAsia="Arial" w:hAnsi="Arial"/>
          <w:sz w:val="17"/>
          <w:szCs w:val="17"/>
          <w:color w:val="auto"/>
        </w:rPr>
        <w:t>clients’ customers or others, which could have a material adverse effect on our business, financial condition and results of operations. Any such sanction, fine, proceeding or action could result in significant damage to our reputation or the reputation of our customers, negatively impact our ability to attract or retain customers, force us to incur significant expenses in defense of these proceedings, disrupt our operations, distract our management, increase our costs of doing business and may result in the imposition of monetary liability. A significant cybersecurity breach could also result in payment networks prohibiting us from processing transactions on their networks or the loss of our financial institution sponsorship that facilitates our participation in the payment networks, either of which could materially impede our ability to conduct business.</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In addition our products and services have been and may in the future be targets of cyber-attacks that attempt to sabotage or otherwise disable them, and the defensive and preventative measures we take ultimately may not be able to effectively detect, prevent, or protect against or otherwise mitigate losses from all cyber-attacks. Threats can come from a variety of sources, including criminal hackers, hacktivists, state-sponsored intrusions, industrial espionage and insider threats. Certain efforts may be supported by significant financial and technological resources, making them even more sophisticated and difficult to detect. Numerous and evolving cybersecurity threats, including advanced and persisting cyber-attacks, cyber-extortion, ransomware attacks, spear phishing and social engineering schemes, the introduction of computer viruses or other malware and the physical destruction of all or portions of our information technology and infrastructure could compromise the confidentiality, availability and integrity of the data in our systems. Despite our efforts to create security barriers against such threats, it is virtually impossible for us to eliminate these risks entirely. Any such breach could compromise our networks or the products we offer our customers, creating system disruptions or slowdowns and exploiting security vulnerabilities of our products. Additionally, the information stored on our networks could be accessed, publicly disclosed, lost or stolen, any of which could subject us to liability and cause us financial harm. These breaches, or any perceived breach, may also result in reporting obligations, damage to our reputation, negative publicity, loss of key partners, customers and transactions, increased remedial costs, or costly litigation, and may therefore adversely impact market acceptance of our products and services and may seriously affect our business, financial condition or results of operations.</w:t>
      </w:r>
    </w:p>
    <w:p>
      <w:pPr>
        <w:spacing w:after="0" w:line="20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An increasing number of organizations, including large merchants, businesses, technology companies and financial institutions, as well as government institutions, have disclosed breaches of their information security systems, some of which have involved sophisticated and highly targeted attacks on their websites, mobile applications and infrastructure. The techniques used to obtain unauthorized, improper, or illegal access to systems and information (including customers’ personal data), disable or degrade service, or sabotage systems are constantly evolving and have become increasingly complex and sophisticated, may be difficult to detect quickly, and often are not recognized or detected until after they have been launched against a target.</w:t>
      </w:r>
    </w:p>
    <w:p>
      <w:pPr>
        <w:spacing w:after="0" w:line="192"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have been and could in the future be subject to breaches of security by hackers or other malicious actors. Although we proactively employ multiple measures to defend our systems against intrusions and attacks and to protect the data we collect, our measures may not prevent unauthorized access or use of sensitive data. We experience cyber-attacks and other security incidents of varying degrees from time to time, though none which individually or in the aggregate has led to costs or consequences which have materially impacted our operations or business. We may be required to expend significant additional resources in our efforts to modify or enhance our protective measures against evolving threats. A breach of our system or a third-party system upon which we rely may subject us to material losses or liability, including payment network fines, assessments and claims for unauthorized purchases with misappropriated credit, debit or card information, impersonation or other similar fraud claims. A misuse of such data or a cybersecurity breach could harm our reputation and deter our clients and potential clients from using electronic payments generally and our solutions and services specifically, thus reducing our revenue. In addition, any such misuse or breach could cause us to incur costs to correct the breaches or failures, expose us to uninsured liability, increase our risk of regulatory scrutiny, subject us to lawsuits and result in the imposition of material penalties and fines under state and federal laws or by the payment networks. While we maintain insurance coverage that may, subject to policy terms and conditions, cover certain aspects of cyber risks, such insurance coverage may be insufficient to cover all losses.</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Although we generally require that our agreements with our distribution partners and service providers who have access to client and customer data include confidentiality obligations that restrict these parties from using or disclosing any client or customer data except as necessary to perform their services under the applicable agreements, there can be no assurance that these contractual measures will prevent the unauthorized disclosure of business or client data, nor can we be sure that such third parties would be willing or able to satisfy liabilities arising from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breach of these agreements. Any failure by such third parties to adequately take these protective measures could result in protracted or costly litigation.</w:t>
      </w:r>
    </w:p>
    <w:p>
      <w:pPr>
        <w:spacing w:after="0" w:line="26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our agreements with our bank sponsors (as well as payment network requirements) require us to take certain protective measures to ensure the confidentiality of business and consumer data. Any failure to adequately comply with these protective measures could result in fees, penalties, litigation or termination of our bank sponsor agreements.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Accordingly, if our cybersecurity measures and those of our service providers, fail to protect against unauthorized access, attacks (which may include sophisticated cyber-attacks) and the mishandling of data by our employees and contractors, then our reputation, business, results of operations and financial condition could be adversely affected.</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Our estimated total addressable market is subject to inherent challenges and uncertainties. If we have overestimated the size of our total addressable market or the various markets in which we operate, our future growth opportunities may be limited.</w:t>
      </w:r>
    </w:p>
    <w:p>
      <w:pPr>
        <w:spacing w:after="0" w:line="19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estimate the TAM, defined above, for our current solutions for service SMBs was approximately $1.3 trillion globally in 2020, of which approximately $520 billion was in North America, which refers to the United States and Canada. Of the $520 billion, we estimate a $59 billion opportunity in Home Services, a $84 billion opportunity in Health Services, a $21 billion opportunity in Fitness &amp; Wellness Services and a $356 billion opportunity in other services categories. We have based our estimates on a number of internal and third-party estimates and resources, including, without limitation, third party reports and the experience of our management team across these industries. While we believe our assumptions and the data underlying our estimates are reasonable, these assumptions and estimates may not be correct and the conditions supporting our assumptions or estimates may change at any time, thereby reducing the predictive accuracy of these underlying factors. As a result, our estimates of the annual total addressable market for our current solutions and services may prove to be incorrect. If third-party or internally generated data prove to be inaccurate or we make errors in our assumptions based on that data, our the annual total addressable market for our solutions and services may be smaller than we have estimated, our future growth opportunities and sales growth may be impaired, any of which could have a material adverse effect on our business, financial condition and results of operations.</w:t>
      </w:r>
    </w:p>
    <w:p>
      <w:pPr>
        <w:spacing w:after="0" w:line="218" w:lineRule="exact"/>
        <w:rPr>
          <w:sz w:val="20"/>
          <w:szCs w:val="20"/>
          <w:color w:val="auto"/>
        </w:rPr>
      </w:pPr>
    </w:p>
    <w:p>
      <w:pPr>
        <w:jc w:val="both"/>
        <w:ind w:right="20"/>
        <w:spacing w:after="0" w:line="362" w:lineRule="auto"/>
        <w:rPr>
          <w:sz w:val="20"/>
          <w:szCs w:val="20"/>
          <w:color w:val="auto"/>
        </w:rPr>
      </w:pPr>
      <w:r>
        <w:rPr>
          <w:rFonts w:ascii="Arial" w:cs="Arial" w:eastAsia="Arial" w:hAnsi="Arial"/>
          <w:sz w:val="15"/>
          <w:szCs w:val="15"/>
          <w:b w:val="1"/>
          <w:bCs w:val="1"/>
          <w:i w:val="1"/>
          <w:iCs w:val="1"/>
          <w:color w:val="auto"/>
        </w:rPr>
        <w:t>We calculate certain operational metrics using internal systems and tools and do not independently verify such metrics. Certain metrics are subject to inherent challenges in measurement, and real or perceived inaccuracies in such metrics may harm our reputation and negatively affect our business.</w:t>
      </w:r>
    </w:p>
    <w:p>
      <w:pPr>
        <w:spacing w:after="0" w:line="12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We refer to a number of operational metrics in our public disclosures, including Pro Forma Revenue Growth Rate, Adjusted Gross Profit, Adjusted EBITDA, monthly net pro forma revenue retention rate, lifetime value of a customer, customer acquisition costs and other metrics. We calculate these metrics using internal systems and tools that are not independently verified by any third party. These metrics may differ from estimates or similar metrics published by third parties or other companies due to differences in sources, methodologies or the assumptions on which we rely. Our internal systems and tools have a number of limitations, and our methodologies for tracking these metrics may change over time, which could result in unexpected changes to our metrics, including the metrics we publicly disclose on an ongoing basis. If the internal systems and tools we use to track these metrics under count or over count performance or contain algorithmic or other technical errors, the data we present may not be accurate. While these numbers are based on what we believe to be reasonable estimates of our metrics for the applicable period of measurement, there are inherent challenges in measuring savings, the use of our solutions, services and offerings and other metrics. In addition, limitations or errors with respect to how we measure data or with respect to the data that we measure may affect our understanding of certain details of our business, which would affect our long-term strategies. If our operating metrics or our estimates are not accurate representations of our business, or if investors do not perceive our operating metrics to be accurate, or if we discover material inaccuracies with respect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these figures, our reputation may be significantly harmed, and our operating and financial results could be adversely affected.</w:t>
      </w:r>
    </w:p>
    <w:p>
      <w:pPr>
        <w:spacing w:after="0" w:line="23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Failure to effectively develop and expand our sales and marketing capabilities could harm our ability to increase our customer base and achieve broader market acceptance and utilization of our solutions.</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ability to increase our customer base and achieve broader market acceptance of our solutions and services will depend to a significant extent on our ability to expand our sales and marketing organizations, and to deploy our sales and marketing resources efficiently. An important component of our growth strategy is to increase the cross-selling of our solutions and services to current and future SMB customers. However, if we are not successful in doing so, or our existing and potential customers find our additional solutions and services to be unnecessary or unattractive, we may not be able to increase our customer base. We have invested, and plan to continue to invest, significant resources in expanding our sales initiatives as well as our sales force focused on identifying new strategic partners. However, we may not achieve anticipated revenue growth from expanding our sales force if we are unable to hire, develop, integrate and retain talented and effective sales personnel, if our new and existing sales personnel are unable to achieve desired productivity levels in a reasonable period of time.</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also dedicate significant resources to sales and marketing programs. The effectiveness and cost of our online advertising has varied over time and may vary in the future due to competition for key search terms, changes in search engine use and changes in the search algorithms and rules used by major search engines. These efforts will require us to invest significant financial and other resources. Our business and operating results will be harmed if our sales and marketing efforts do not generate significant increases in revenue.</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not able to maintain and enhance our reputation and brand recognition, our business and results of operations may be harmed.</w:t>
      </w:r>
    </w:p>
    <w:p>
      <w:pPr>
        <w:spacing w:after="0" w:line="250"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We believe that maintaining and enhancing our reputation and brand recognition is critical to our relationships with existing clients and the customers or patients that they serve and to our ability to attract new clients. As our marketing efforts depend significantly on positive recommendations and referrals from our current and past SMB customers, a failure to maintain and provide high-quality solutions and services, or a market perception that we do not maintain or provide high-quality solutions and services, may harm our reputation and impair our ability to secure new customers. Any decisions we make regarding regulatory compliance, user privacy, payments and other issues, and any media, legislative or regulatory scrutiny of our business, or our current or former directors, employees, contractors, or vendors, could negatively affect our brands. If we do not successfully maintain and enhance the integrity, quality, efficiency and scalability of our software and systems, as well as our reputation and brand recognition among our customers and the end customers they serve, our business may not grow and we could lose existing customers, which would harm our business, results of operations and financial condition. For example, the success of our digital lead generation capabilities within our EverPro platform depends, in part, on our ability to establish and maintain relationships with quality and trustworthy home service professionals and home improvement contractors, such as home maintenance technicians and security alarm professionals operating in both residential and commercial settings. We provide our home service professionals with solutions to capture and manage lead generations to residential homeowners and business owners, who in turn want to work with home service professionals whom they can trust to provide quality workmanship. Unsatisfactory work performed by any of our recommended home service professionals could result in bad publicity and related damage to our reputation and/or litigation, which in turn may adversely affect our business, financial condition and results of operations.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Further, the promotion of our platforms and services may require us to make substantial investments and we anticipate that, as our market becomes increasingly competitive, these marketing initiatives may become increasingly difficult and expensive. Our marketing activities may not be successful or yield increased revenue, and to the extent that these activities yield increased revenue, the increased revenue may not offset the expenses we incur and our results of operations could be harmed. In addition, any factor that diminishes our reputation or that of our management, including failing to meet the expectations of our customers, could make it substantially more difficult for us to attract new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 w:name="page32"/>
    <w:bookmarkEnd w:id="31"/>
    <w:p>
      <w:pPr>
        <w:jc w:val="both"/>
        <w:spacing w:after="0" w:line="261" w:lineRule="auto"/>
        <w:rPr>
          <w:sz w:val="20"/>
          <w:szCs w:val="20"/>
          <w:color w:val="auto"/>
        </w:rPr>
      </w:pPr>
      <w:r>
        <w:rPr>
          <w:rFonts w:ascii="Arial" w:cs="Arial" w:eastAsia="Arial" w:hAnsi="Arial"/>
          <w:sz w:val="18"/>
          <w:szCs w:val="18"/>
          <w:b w:val="1"/>
          <w:bCs w:val="1"/>
          <w:i w:val="1"/>
          <w:iCs w:val="1"/>
          <w:color w:val="auto"/>
        </w:rPr>
        <w:t>If we are unable to retain our current customers, which are primarily SMBs, or sell additional functionality and services to them, our revenue growth may be adversely affected.</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To increase our revenue, in addition to acquiring new customers, we must continue to retain existing clients and convince them to expand their use of our solutions and services by increasing the number of users and incenting them to pay for additional functionality. Many of our clients are SMBs, which can be more difficult to retain than large enterprises as SMBs often have higher rates of business failures and more limited resources, particularly in weaker economic environments, and are typically less able to make technology-related decisions based on factors other than price. Further, SMBs are fragmented in terms of size, geography, sophistication and nature of business and, consequently, are more challenging to serve at scale and in a cost-effective manner. As a result, we may be unable to retain existing clients or increase the usage of our solutions and services by them, which would have an adverse effect on our business, revenue and other operating results, and accordingly, on the trading price of our common stock.</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ability to sell additional functionality to our existing customers may require more sophisticated and costly sales efforts, especially for our larger customers with more senior management and established procurement functions. Similarly, the rate at which our customers purchase additional solutions from us depends on several factors, including general economic conditions and the pricing of additional functionality. SMBs are typically more susceptible to such factors and any adverse changes in the economic environment or business failures of our SMB customers may have a greater impact on us than on our competitors who do not focus on SMBs to the extent that we do. If our efforts to sell additional functionality to our clients are not successful, our business and growth prospects would suffer.</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While some of our contracts are non-cancelable annual subscription contracts, most of our contracts with clients primarily consist of open-ended arrangements that can be terminated by either party without penalty, generally upon providing 30-day notice. Our clients have no obligation to renew their subscriptions for our solutions and services after the expiration of their subscription period. For us to maintain or improve our operating results, it is important that our customers continue to maintain their subscriptions on the same or more favorable terms. We cannot accurately predict renewal or expansion rates given the diversity of our customer base in terms of size, industry and geography. Our renewal and expansion rates may decline or fluctuate as a result of several factors, including consumer spending levels, client satisfaction with our solutions and services, decreases in the number of users, changes in the type and size of our customers, pricing changes, competitive conditions, the acquisition of our customers by other companies and general economic conditions. If our customers do not renew their subscriptions, our revenue and other operating results will decline and our business will suffer. If our renewal or expansion rates fall significantly below the expectations of the public market, securities analysts, or investors, the trading price of our common stock would likely decline.</w:t>
      </w:r>
    </w:p>
    <w:p>
      <w:pPr>
        <w:spacing w:after="0" w:line="2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Further, we have key customers and a more pronounced customer concentration in certain markets. Consequently, the loss of any of our key customers or any significant reduction in their usage of our solutions and services may reduce our sales revenue and net profit. There can be no guarantee that our key customers will not in the future seek to source some or all of their solutions and services from competitors or begin to develop such solutions or services in-house. Any loss, change or other adverse event related to our key customer relationships could have an adverse effect on our business, results of operations and financial condition.</w:t>
      </w:r>
    </w:p>
    <w:p>
      <w:pPr>
        <w:spacing w:after="0" w:line="2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Our systems and our third-party providers’ systems, including Worldpay, PayPal and other payment processing partners, may fail, or our third-party providers may discontinue providing their services or technology generally or to us specifically, which in either case could interrupt our business, cause us to lose business and increase our costs.</w:t>
      </w:r>
    </w:p>
    <w:p>
      <w:pPr>
        <w:spacing w:after="0" w:line="19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We rely on our systems, technology and infrastructure to perform well on a consistent basis. From time to time in the past we have experienced (and in the future we may experience) occasional interruptions that make some or all of this framework and related information unavailable or that prevent us from providing solutions and services. Any such interruption could arise for any number of reasons. We also rely on third parties, such as Worldpay, PayPal and other payment processing partners, for specific services, software and hardware used in providing our solutions and services. Some of these organizations and service providers are our competitors or provide similar services and technology to our competitors, and we may not have long-term contracts with them. If these contracts are canceled or we are unable to renew them on commercially reasonable terms, or at all, our business, financial condition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 w:name="page33"/>
    <w:bookmarkEnd w:id="32"/>
    <w:p>
      <w:pPr>
        <w:jc w:val="both"/>
        <w:spacing w:after="0" w:line="255" w:lineRule="auto"/>
        <w:rPr>
          <w:sz w:val="20"/>
          <w:szCs w:val="20"/>
          <w:color w:val="auto"/>
        </w:rPr>
      </w:pPr>
      <w:r>
        <w:rPr>
          <w:rFonts w:ascii="Arial" w:cs="Arial" w:eastAsia="Arial" w:hAnsi="Arial"/>
          <w:sz w:val="17"/>
          <w:szCs w:val="17"/>
          <w:color w:val="auto"/>
        </w:rPr>
        <w:t>results of operation could be adversely impacted. The termination by our service or technology providers of their arrangements with us or their failure to perform their services efficiently and effectively may adversely affect our relationships with our clients and, if we cannot find alternate providers quickly, may cause those clients to terminate their processing agreements with us. We will continually work to expand and enhance the efficiency and scalability of our framework to improve the consumer and service professional experience, accommodate substantial increases in the number of visitors to our various platforms, ensure acceptable load times for our various solutions and services and keep up with changes in technology and user preferences. If we do not do so in a timely and cost-effective manner, the user experience and demand across our brands and businesses could be adversely affected, which could adversely affect our business, financial condition and results of operations.</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Our systems and operations or those of our third-party technology vendors could be exposed to damage or interruption from, among other things, fire, extreme weather events (including floods, storms, droughts and extreme temperatures) and other natural disasters, power loss, telecommunications failure, unauthorized entry, computer viruses, denial-of-service attacks, acts of terrorism, human error, vandalism or sabotage, financial insolvency and similar events. Extreme weather events, as well as changes in ambient temperature and precipitation patterns, may become more frequent or severe as a result of climate change. Our property and business interruption insurance may not be adequate to compensate us for all losses or failures that may occur, and the cost and availability of such insurance may be adversely impacted to the extent events become more frequent or severe. While we and the third parties upon whom we rely have certain backup systems in place for certain aspects of our respective frameworks, none of our frameworks are fully redundant and disaster recovery planning is not sufficient for all eventualities. Defects in our systems or those of third parties, errors or delays in the processing of payment transactions, telecommunications failures or other difficulties could result in:</w:t>
      </w:r>
    </w:p>
    <w:p>
      <w:pPr>
        <w:spacing w:after="0" w:line="211"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clients;</w:t>
      </w: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client and cardholder data;</w:t>
      </w:r>
    </w:p>
    <w:p>
      <w:pPr>
        <w:ind w:left="660" w:hanging="328"/>
        <w:spacing w:after="0" w:line="21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fines imposed by payment networks;</w:t>
      </w: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harm to our business or reputation resulting from negative publicity;</w:t>
      </w: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exposure to fraud losses or other liabilities;</w:t>
      </w:r>
    </w:p>
    <w:p>
      <w:pPr>
        <w:ind w:left="660" w:hanging="328"/>
        <w:spacing w:after="0" w:line="23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additional operating and development costs; or</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diversion of management, technical or other resources, among other consequences.</w:t>
      </w:r>
    </w:p>
    <w:p>
      <w:pPr>
        <w:spacing w:after="0" w:line="2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the extent that such disruptions result in delays or cancellations of customer orders, or adversely impact the deployment of our solutions, our business, operating results and financial condition would be adversely affected.</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lower margin solutions and services grow at a faster rate than our higher margin solutions and services, we may experience lower aggregate profitability and margins.</w:t>
      </w:r>
    </w:p>
    <w:p>
      <w:pPr>
        <w:spacing w:after="0" w:line="19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While we have experienced significant growth across our offering of solutions and services, certain solutions and services, such as our Marketing Technology Solutions, have lower margins as compared to our subscription and transaction fee services, such as our vertical Business Management Software and integrated payment solutions. For the year ended December 31, 2022, subscription and transaction fees and Marketing Technology Solutions generated 75.0% and 21.7%, respectively, of our total revenues. To the extent our lower margin solutions and services grow as a portion of our overall business, there is an adverse impact on our aggregate profitability and margins.</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addition, we may be unable to achieve satisfactory prices for our offerings or maintain prices at competitive levels across our offering of solutions and services. If we are unable to maintain our prices, or if our costs increase and we are unable to offset such increase with a commensurate increase in our prices, our margins could decline. We will continue to be subject to significant pricing pressure, and expect that we will continue to experience growth across our offerings, including in respect of our lower margin solutions, such as our Marketing Technology Solutions, which will likely have a material adverse effect on our margins.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 w:name="page34"/>
    <w:bookmarkEnd w:id="33"/>
    <w:p>
      <w:pPr>
        <w:jc w:val="both"/>
        <w:spacing w:after="0" w:line="291" w:lineRule="auto"/>
        <w:rPr>
          <w:sz w:val="20"/>
          <w:szCs w:val="20"/>
          <w:color w:val="auto"/>
        </w:rPr>
      </w:pPr>
      <w:r>
        <w:rPr>
          <w:rFonts w:ascii="Arial" w:cs="Arial" w:eastAsia="Arial" w:hAnsi="Arial"/>
          <w:sz w:val="17"/>
          <w:szCs w:val="17"/>
          <w:b w:val="1"/>
          <w:bCs w:val="1"/>
          <w:i w:val="1"/>
          <w:iCs w:val="1"/>
          <w:color w:val="auto"/>
        </w:rPr>
        <w:t>The COVID-19 pandemic has impacted, and a future pandemic, epidemic or outbreak of an infectious disease could impact, our business, financial condition and results of operations, as well as the business or operations of third parties with whom we conduct business.</w:t>
      </w:r>
    </w:p>
    <w:p>
      <w:pPr>
        <w:spacing w:after="0" w:line="174"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COVID-19 pandemic and related health concerns relating to the outbreak significantly increased economic uncertainty and has caused economies, businesses, markets and communities around the globe to be disrupted, and in many cases, shut-down. The COVID-19 pandemic is evolving, and to date has led to the implementation of various responses, including government-imposed quarantines, travel restrictions and other public health safety measures, as well as the development and controlled distribution of vaccines. Measures to control the spread of the disease also negatively impacted SMBs, including consumer spending and business spending habits, and adversely impacted our workforce and operations and the operations of our customers across industries and markets. Although measures have eased in many regions, overall measures to contain COVID-19 outbreaks may be reinstated, causing similar adverse impacts.</w:t>
      </w:r>
    </w:p>
    <w:p>
      <w:pPr>
        <w:spacing w:after="0" w:line="2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Conversely, pandemics, epidemics and outbreaks may significantly and temporarily increase demand in certain industries and markets in which we operate. For example, the COVID-19 pandemic generally increased demand for, and utilization of, telehealth services, and increased demand from customers shifting to technology-focused, digital-first business models. While such increases may help to offset the decline of business and demand in other industries, there can be no assurance that these levels of interest, demand and use will continue at current levels or will not decrease in the future. Federal and state budget shortfalls, exacerbated by the COVID-19 pandemic, could lead to potential reductions in funding for Medicare and Medicaid. Further reductions in reimbursements from Medicare and Medicaid could lead to our Health Services customers postponing expenditures on information technology and related services.</w:t>
      </w:r>
    </w:p>
    <w:p>
      <w:pPr>
        <w:spacing w:after="0" w:line="21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It is possible that the increase in remote or hybrid work arrangements stemming from the COVID-19 pandemic may also result in consumer and patient privacy, IT security and fraud risks.</w:t>
      </w:r>
    </w:p>
    <w:p>
      <w:pPr>
        <w:jc w:val="both"/>
        <w:spacing w:after="0" w:line="243" w:lineRule="auto"/>
        <w:rPr>
          <w:sz w:val="20"/>
          <w:szCs w:val="20"/>
          <w:color w:val="auto"/>
        </w:rPr>
      </w:pPr>
      <w:r>
        <w:rPr>
          <w:rFonts w:ascii="Arial" w:cs="Arial" w:eastAsia="Arial" w:hAnsi="Arial"/>
          <w:sz w:val="18"/>
          <w:szCs w:val="18"/>
          <w:color w:val="auto"/>
        </w:rPr>
        <w:t>Further, the widespread COVID-19 pandemic resulted in, and may in the future result in, significant disruption of global financial markets, which could result in a reduction in our ability to access capital that could adversely affect our liquidity.</w:t>
      </w:r>
    </w:p>
    <w:p>
      <w:pPr>
        <w:spacing w:after="0" w:line="21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full extent to which the outbreak of COVID-19 will impact our business, results of operations and financial condition is still unknown and will depend on future developments, which are highly uncertain and cannot be predicted. To the extent the COVID-19 pandemic or another pandemic, epidemic or outbreak of an infectious disease adversely affects our business, financial condition and results of operations, it may also have the effect of heightening many of the other risks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We are subject to economic and political risk, the business cycles of our clients and changes in the overall level of consumer and commercial spending, which could negatively impact our business, financial condition and results of operations.</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We are exposed to general economic conditions that affect consumer confidence, consumer spending, consumer discretionary income and changes in consumer purchasing habits. A sustained deterioration in general economic conditions, particularly in the United States, or increases in interest rates, could adversely affect our financial performance by reducing the number or aggregate volume of transactions made using electronic payments and increasing interest payments on our debt. A reduction in the amount of consumer or commercial spending could result in a decrease in our revenue and profits. If our customers make fewer purchases or sales of products and services using electronic payments, or consumers spend less money through electronic payments, we will have fewer transactions to process at lower dollar amounts, resulting in lower revenue.</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While we attempt to minimize our exposure to economic or market fluctuations by serving a balanced mix of end markets and geographic regions, any significant or sustained downturn in a specific end market or geographic region can impact our business and that of our customers. These factors may make it difficult for our customers and us to accurately forecast and plan future business activities; neither we nor our customers can predict the timing, strength or duration of any economic downturn or subsequent recovery. Furthermore, if a significant portion of our customers are concentrated in a specific geographic area or industry, our business may be disproportionately affected by negative trends or economic downturns in those specific geographic areas or industries. These factors may also cause our customers to reduce their capital expenditures, alter the mix of services purchased and otherwise slow their spending on our services. In addition, due to these conditions, many of our competitors may be more inclined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4" w:name="page35"/>
    <w:bookmarkEnd w:id="34"/>
    <w:p>
      <w:pPr>
        <w:jc w:val="both"/>
        <w:spacing w:after="0" w:line="324" w:lineRule="auto"/>
        <w:rPr>
          <w:sz w:val="20"/>
          <w:szCs w:val="20"/>
          <w:color w:val="auto"/>
        </w:rPr>
      </w:pPr>
      <w:r>
        <w:rPr>
          <w:rFonts w:ascii="Arial" w:cs="Arial" w:eastAsia="Arial" w:hAnsi="Arial"/>
          <w:sz w:val="16"/>
          <w:szCs w:val="16"/>
          <w:color w:val="auto"/>
        </w:rPr>
        <w:t>to take greater or unusual risks or accept terms and conditions in contracts that we might not deem acceptable. These conditions and factors may reduce the demand for our services and solutions, and more generally may adversely affect our business, results of operations and financial condition.</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 weakening in the economy could have a negative impact on our customers, as well as the customers they serve who purchase solutions and services using the payment processing systems to which we provide access, which could, in turn, negatively affect our business, financial condition and results of operations. Many of our clients are SMBs. To continue to grow our revenue, we must add new SMB customers, sell additional solutions and services to existing SMB customers and encourage existing SMB customers to continue doing business with us. However, a weakening in the economy could force SMBs to close at higher than historical rates in part because many of them are not as well capitalized as larger organizations and are typically less able to make technology-related decisions based on factors other than price, which could expose us to potential credit losses and future transaction declines. Further, credit card issuers may reduce credit limits and become more selective in their card issuance practices. We also have a certain amount of fixed and semi-fixed costs, including rent, debt service and salaries, which could limit our ability to quickly adjust costs and respond to changes in our business and the economy.</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General inflation, including wage inflation, increases in interest rates, currency volatility as well as monetary, fiscal and policy interventions by national or regional governments in anticipation of or reaction to such events could have negative impacts on our business by increasing our operating costs and our borrowing costs as well as decreasing the capital available for our customers to purchase our solutions and services.</w:t>
      </w:r>
    </w:p>
    <w:p>
      <w:pPr>
        <w:spacing w:after="0" w:line="20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currently manage our exchange rate and interest rate risk using hedging instruments. We cannot be certain such practices will be available and/or effective at mitigating foreign currency and interest rate risk to which we are exposed. If we are unsuccessful in detecting material exposures in a timely manner, any hedging strategies we deploy are not effective, or there are no hedging strategies available for certain exposures that are prudent given the associated risks and the potential mitigation of the underlying exposure achieved, our operating results or financial position could be adversely affected in the future.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retain our personnel and hire additional skilled personnel, we may be unable to achieve our goals.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future success depends upon our ability to attract, train and retain highly skilled employees and contract workers, particularly our management team, sales and marketing personnel, professional services personnel and software engineers. Any of our key personnel have worked for us for a significant amount of time or were recruited by us specifically due to their experience. Our success depends in part upon the reputation and influence within the industry of our senior managers who have, over the years, developed long standing and favorable relationships with our vendors, card associations, bank sponsors and other payment processing and service providers. Each of our executive officers and other key employees may terminate his or her relationship with us at any time and the loss of the services of one or a combination of our senior executives or members of our senior management team, including our Chief Executive Officer, Eric Remer, our President, Matthew Feierstein and our Chief Financial Officer, Marc Thompson, may significantly delay or prevent the achievement of our business or development objectives and could materially harm our business. Further, contractual obligations related to confidentiality and assignment of intellectual property rights may be ineffective or unenforceable, and departing employees may share our proprietary information with competitors in ways that could adversely impact us.</w:t>
      </w:r>
    </w:p>
    <w:p>
      <w:pPr>
        <w:spacing w:after="0" w:line="21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certain senior management personnel are substantially vested in their stock option grants or other equity compensation. While we periodically grant additional equity awards to management personnel and other key employees to provide additional incentives to remain employed by us, employees may be more likely to leave us if a significant portion of their equity compensation is fully vested.</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face intense competition for qualified individuals from numerous other technology companies. Often, significant amounts of time and resources are required to train technical personnel and we may lose new employees to our competitors or other technology companies before we realize the benefit of our investment in recruiting and training them. We may be unable to attract and retain suitably qualified individuals who are capable of meeting our growing technical, operational and managerial requirements, on a timely basis or at all, and we have paid and may in the future be required to pay increased compensation in order to do so, including as a result of wage inflation. Because of the technical nature of our solutions and services and the dynamic market in which we compete, any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 w:name="page36"/>
    <w:bookmarkEnd w:id="35"/>
    <w:p>
      <w:pPr>
        <w:jc w:val="both"/>
        <w:spacing w:after="0" w:line="294" w:lineRule="auto"/>
        <w:rPr>
          <w:sz w:val="20"/>
          <w:szCs w:val="20"/>
          <w:color w:val="auto"/>
        </w:rPr>
      </w:pPr>
      <w:r>
        <w:rPr>
          <w:rFonts w:ascii="Arial" w:cs="Arial" w:eastAsia="Arial" w:hAnsi="Arial"/>
          <w:sz w:val="16"/>
          <w:szCs w:val="16"/>
          <w:color w:val="auto"/>
        </w:rPr>
        <w:t>attract and retain qualified personnel, as well as our contract workers, could have a material adverse effect on our ability to generate sales or successfully develop new solutions, client and consulting services and enhancements of existing solutions and services. Also, to the extent we hire personnel from competitors, we may be subject to allegations that they have been improperly solicited or divulged proprietary or other confidential information.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 and competitive position.</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 xml:space="preserve">As of December 31, 2022, we had cash, cash equivalents and restricted cash of $95.8 million, $190.0 million of available borrowing capacity under our New Revolver (as defined in Part II. Item 7. </w:t>
      </w:r>
      <w:r>
        <w:rPr>
          <w:rFonts w:ascii="Arial" w:cs="Arial" w:eastAsia="Arial" w:hAnsi="Arial"/>
          <w:sz w:val="17"/>
          <w:szCs w:val="17"/>
          <w:i w:val="1"/>
          <w:iCs w:val="1"/>
          <w:color w:val="auto"/>
        </w:rPr>
        <w:t>“Management’s Discussion and Analysis of Results of Operation and Financial Condition</w:t>
      </w:r>
      <w:r>
        <w:rPr>
          <w:rFonts w:ascii="Arial" w:cs="Arial" w:eastAsia="Arial" w:hAnsi="Arial"/>
          <w:sz w:val="17"/>
          <w:szCs w:val="17"/>
          <w:color w:val="auto"/>
        </w:rPr>
        <w:t xml:space="preserve"> - </w:t>
      </w:r>
      <w:r>
        <w:rPr>
          <w:rFonts w:ascii="Arial" w:cs="Arial" w:eastAsia="Arial" w:hAnsi="Arial"/>
          <w:sz w:val="17"/>
          <w:szCs w:val="17"/>
          <w:i w:val="1"/>
          <w:iCs w:val="1"/>
          <w:color w:val="auto"/>
        </w:rPr>
        <w:t>Liquidity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Capital Resources”) </w:t>
      </w:r>
      <w:r>
        <w:rPr>
          <w:rFonts w:ascii="Arial" w:cs="Arial" w:eastAsia="Arial" w:hAnsi="Arial"/>
          <w:sz w:val="17"/>
          <w:szCs w:val="17"/>
          <w:color w:val="auto"/>
        </w:rPr>
        <w:t>and $543.1 million outstanding under our Credit Facilities (as defined in Part II. Item 7.</w:t>
      </w:r>
      <w:r>
        <w:rPr>
          <w:rFonts w:ascii="Arial" w:cs="Arial" w:eastAsia="Arial" w:hAnsi="Arial"/>
          <w:sz w:val="17"/>
          <w:szCs w:val="17"/>
          <w:i w:val="1"/>
          <w:iCs w:val="1"/>
          <w:color w:val="auto"/>
        </w:rPr>
        <w:t xml:space="preserve"> “Management’s Discussion and Analysis of Results of Operation and Financial Condition </w:t>
      </w:r>
      <w:r>
        <w:rPr>
          <w:rFonts w:ascii="Arial" w:cs="Arial" w:eastAsia="Arial" w:hAnsi="Arial"/>
          <w:sz w:val="17"/>
          <w:szCs w:val="17"/>
          <w:color w:val="auto"/>
        </w:rPr>
        <w:t>-</w:t>
      </w:r>
      <w:r>
        <w:rPr>
          <w:rFonts w:ascii="Arial" w:cs="Arial" w:eastAsia="Arial" w:hAnsi="Arial"/>
          <w:sz w:val="17"/>
          <w:szCs w:val="17"/>
          <w:i w:val="1"/>
          <w:iCs w:val="1"/>
          <w:color w:val="auto"/>
        </w:rPr>
        <w:t xml:space="preserve"> Liquidity and Capital Resources”)</w:t>
      </w:r>
      <w:r>
        <w:rPr>
          <w:rFonts w:ascii="Arial" w:cs="Arial" w:eastAsia="Arial" w:hAnsi="Arial"/>
          <w:sz w:val="17"/>
          <w:szCs w:val="17"/>
          <w:color w:val="auto"/>
        </w:rPr>
        <w:t>. To service this debt and any additional debt we may incur in the future,</w:t>
      </w:r>
      <w:r>
        <w:rPr>
          <w:rFonts w:ascii="Arial" w:cs="Arial" w:eastAsia="Arial" w:hAnsi="Arial"/>
          <w:sz w:val="17"/>
          <w:szCs w:val="17"/>
          <w:i w:val="1"/>
          <w:iCs w:val="1"/>
          <w:color w:val="auto"/>
        </w:rPr>
        <w:t xml:space="preserve"> </w:t>
      </w:r>
      <w:r>
        <w:rPr>
          <w:rFonts w:ascii="Arial" w:cs="Arial" w:eastAsia="Arial" w:hAnsi="Arial"/>
          <w:sz w:val="17"/>
          <w:szCs w:val="17"/>
          <w:color w:val="auto"/>
        </w:rPr>
        <w:t>we need to generate cash. Our ability to generate cash is subject, to a certain extent, to our ability to successfully execute our business strategy, including acquisition activity, as well as general economic, financial, competitive, regulatory and other factors beyond our control. There can be no assurance that our business will be able to generate sufficient cash flow from operations or that future borrowings or other financing will be available to us in an amount sufficient to enable us to service our debt and fund our other liquidity needs. To the extent we are required to use our cash flow from operations or the proceeds of any future financing to service our debt instead of funding working capital, capital expenditures, acquisition activity or other general corporate purposes, we will be less able to plan for, or react to, changes in our business, industry and in the economy generally. This will place us at a competitive disadvantage compared to our competitors that have less debt. There can be no assurance that we will be able to refinance any of our debt on commercially reasonable terms or at all, or that the terms of that debt will allow any of the above alternative measures or that these measures would satisfy our scheduled debt service obligations. If we are unable to generate sufficient cash flow to repay or refinance our debt on favorable terms, it could significantly adversely affect our financial condition and the value of our outstanding debt. Our ability to restructure or refinance our debt will depend on the condition of the capital markets and our financial condition. Any refinancing of our debt could be at higher interest rates and may require us to comply with more onerous covenants, which could further restrict our business operations.</w:t>
      </w:r>
    </w:p>
    <w:p>
      <w:pPr>
        <w:spacing w:after="0" w:line="20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terms of our Credit Facilities contain, and any agreements evidencing or governing other future debt may contain, certain restrictive covenants that limit our ability, among other things, to engage in certain activities that are in our long-term best interests and align with our business strategies or operations, including our ability to:</w:t>
      </w:r>
    </w:p>
    <w:p>
      <w:pPr>
        <w:spacing w:after="0" w:line="188"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liens on property, assets or revenues;</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incur or assume additional debt or amend our debt and other material agreements;</w:t>
      </w:r>
    </w:p>
    <w:p>
      <w:pPr>
        <w:ind w:left="660" w:hanging="328"/>
        <w:spacing w:after="0" w:line="23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declare or make distributions and redeem or repurchase equity interests or issue preferred stock;</w:t>
      </w:r>
    </w:p>
    <w:p>
      <w:pPr>
        <w:ind w:left="660" w:hanging="328"/>
        <w:spacing w:after="0" w:line="23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prepay, redeem or repurchase debt;</w:t>
      </w:r>
    </w:p>
    <w:p>
      <w:pPr>
        <w:ind w:left="660" w:hanging="328"/>
        <w:spacing w:after="0" w:line="23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make investments;</w:t>
      </w:r>
    </w:p>
    <w:p>
      <w:pPr>
        <w:ind w:left="660" w:hanging="328"/>
        <w:spacing w:after="0" w:line="21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engage in certain business activities; and</w:t>
      </w: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engage in certain mergers and asset sales.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under certain circumstances, we will be required to satisfy and maintain a specified financial ratio under the terms of our Credit Facilities. While we have not previously breached and are not in breach of any of these covenants, there can be no guarantee that we will not breach these covenants in the future. Our ability to comply with these covenants and restrictions may be affected by events and factors beyond our control. Our failure to comply with any of these covenants or restrictions could result in an event of default under the terms of our indebtedness. An event of default would permit the lending banks to take certain actions, including terminating all outstanding commitments and declaring all amounts outstanding to be immediately due and payable, including all outstanding borrowings, accrued and unpaid interest thereon and all other amounts owing or payable with respect to such borrowings and any terminated commitments. In addition, the lenders would have the right to proceed against the collateral we granted to them, which includes substantially all of our assets. If payment of outstanding amounts under our Credit Facilities accelerated, our assets may be insufficient to repay such amounts in full, and our common stockholders could experience a partial or total loss of their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Interest rate fluctuations may affect our results of operations and financial condition.</w:t>
      </w:r>
    </w:p>
    <w:p>
      <w:pPr>
        <w:spacing w:after="0" w:line="239"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Fluctuations in interest rates could have a material effect on our business. As a result, we may incur higher interest costs if interest rates increase. These higher interest costs could have a material adverse impact on our financial condition and the levels of cash we maintain for working capital.</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In addition, the terms of any Eurocurrency borrowings under our Credit Facilities use a LIBOR rate, which represents the ICE Benchmark Administration Interest Settlement Rate, as a benchmark for establishing the rate of interest. The London Interbank Offered Rate (“LIBOR”), is the subject of recent national, international and other regulatory guidance and proposals for reform and is expected to be replaced with a new benchmark or to perform differently than in the past. Some tenors of LIBOR were discontinued on December 31, 2021 and the administrator of LIBOR has announced its intention to extend the publication of most tenors of LIBOR for U.S. dollars through June 30, 2023. While our Credit Facilities generally provide for alternative and LIBOR successor rates in the event that the existing rate cannot be determined in accordance with the terms of the agreements, the consequences of these developments cannot be entirely predicted but could include an increase in the cost of our variable rate indebtedness.</w:t>
      </w:r>
    </w:p>
    <w:p>
      <w:pPr>
        <w:spacing w:after="0" w:line="193"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b w:val="1"/>
          <w:bCs w:val="1"/>
          <w:i w:val="1"/>
          <w:iCs w:val="1"/>
          <w:color w:val="auto"/>
        </w:rPr>
        <w:t>As a result of becoming a public company, we are obligated to develop and maintain proper and effective internal control over financial reporting, and if we fail to develop and maintain an effective system of disclosure controls and internal control over financial reporting, our ability to produce timely and accurate financial statements or comply with applicable laws and regulations could be impaired.</w:t>
      </w:r>
    </w:p>
    <w:p>
      <w:pPr>
        <w:spacing w:after="0" w:line="191"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of 2002 (“the Sarbanes-Oxley Act”), the Dodd-Frank Wall Street Reform and Consumer Protection Act of 2010, the listing requirements of The Nasdaq Stock Market and other applicable securities rules and regulations. Compliance with these rules and regulations has increased and will continue to increase our legal and financial compliance costs, make some activities more difficult, time consuming, or costly, and increase demand on our systems and resources, particularly after we are no longer an emerging growth company. It may require significant resources and management oversight to maintain and, if necessary, improve our disclosure controls and procedures and internal control over financial reporting to meet this standard. As a result, management’s attention may be diverted from other business concerns, which could adversely affect our business and operating results. Although we have already hired additional employees to comply with these requirements, we may need to hire more employees in the future or engage outside consultants, which would increase our costs and expenses.</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a public company, we are required, pursuant to Section 404 of the Sarbanes-Oxley Act, to furnish a report by management on, among other things, the effectiveness of our internal control over financial reporting. Effective internal control over financial reporting is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Ineffective internal controls could also cause investors to lose confidence in our reported financial information, which could have a negative effect on the trading price of our common stock.</w:t>
      </w:r>
    </w:p>
    <w:p>
      <w:pPr>
        <w:spacing w:after="0" w:line="216"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This assessment includes disclosure of any material weaknesses identified by our management in our internal control over financial reporting, as well as a statement that our independent registered public accounting firm has issued an opinion on the effectiveness of our internal control over financial reporting, provided that our independent registered public accounting firm will not be required to attest to the effectiveness of our internal control over financial reporting until our first annual report required to be filed with the SEC following the date (i) we are either an “accelerated filer” or a “large accelerated filer,” each as defined in the Exchange Act, and (ii) we are no longer an emerging growth company, as defined in the JOBS Act. We could be an emerging growth company for up to five years.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 We are also required to disclose changes made in our internal control and procedures on a quarterly basis. To comply with the requirements of being a public company, we may need to undertake various actions, such as implementing new internal controls and procedures and hiring accounting or internal audit staff.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 w:name="page38"/>
    <w:bookmarkEnd w:id="37"/>
    <w:p>
      <w:pPr>
        <w:jc w:val="both"/>
        <w:spacing w:after="0" w:line="245" w:lineRule="auto"/>
        <w:rPr>
          <w:sz w:val="20"/>
          <w:szCs w:val="20"/>
          <w:color w:val="auto"/>
        </w:rPr>
      </w:pPr>
      <w:r>
        <w:rPr>
          <w:rFonts w:ascii="Arial" w:cs="Arial" w:eastAsia="Arial" w:hAnsi="Arial"/>
          <w:sz w:val="18"/>
          <w:szCs w:val="18"/>
          <w:color w:val="auto"/>
        </w:rPr>
        <w:t>We have identified a material weakness in our internal control over financial reporting as of December 31, 2022, as described in Part II, Item 9A. The material weakness identified related to certain IT general controls (“ITGCs”) support certain of the Company’s solution organizations’ revenue processes which were found to be not operating effectively. As a result, certain of the Company’s related IT-dependent manual and application controls that rely upon the affected ITGCs, or information coming from IT systems with affected ITGCs, for continued operation were also deemed ineffective. We have concluded that these material weaknesses arose due to acquired IT infrastructure.</w:t>
      </w:r>
    </w:p>
    <w:p>
      <w:pPr>
        <w:spacing w:after="0" w:line="213"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In addition to taking remediation measures in response to the material weaknesses we identified, we may need to expend additional resources and provide additional management oversight in order to establish effective disclosure controls and procedures and internal control over financial reporting. Implementing any appropriate changes to our internal controls may require specific compliance training of our employees, entail substantial costs, take a significant period of time to complete or divert management’s attention from other business concerns.</w:t>
      </w:r>
    </w:p>
    <w:p>
      <w:pPr>
        <w:spacing w:after="0" w:line="211" w:lineRule="exact"/>
        <w:rPr>
          <w:sz w:val="20"/>
          <w:szCs w:val="20"/>
          <w:color w:val="auto"/>
        </w:rPr>
      </w:pPr>
    </w:p>
    <w:p>
      <w:pPr>
        <w:jc w:val="both"/>
        <w:spacing w:after="0" w:line="241" w:lineRule="auto"/>
        <w:rPr>
          <w:sz w:val="20"/>
          <w:szCs w:val="20"/>
          <w:color w:val="auto"/>
        </w:rPr>
      </w:pPr>
      <w:r>
        <w:rPr>
          <w:rFonts w:ascii="Arial" w:cs="Arial" w:eastAsia="Arial" w:hAnsi="Arial"/>
          <w:sz w:val="17"/>
          <w:szCs w:val="17"/>
          <w:color w:val="auto"/>
        </w:rPr>
        <w:t>The material weaknesses will not be considered remediated until our remediation plan has been fully implemented, the applicable controls operate for a sufficient period of time, and we have concluded, through testing, that the newly implemented and enhanced controls are operating effectively. At this time, we cannot predict the success of such efforts or the outcome of our assessment of the remediation efforts. We can give no assurance that our efforts will remediate these material weaknesses in our internal control over financial reporting, or that additional material weaknesses will not be identified in the future. Our failure to implement and maintain effective internal control over financial reporting could result in errors in our consolidated financial statements that could result in a restatement of our financial statements, and could cause us to fail to meet our reporting obligations, any of which could diminish investor confidence in us and cause a decline in the price of our common stock. Additionally, ineffective internal control could expose us to an increased risk of financial reporting fraud and the misappropriation of assets and subject us to potential delisting from the stock exchange on which we list or to other regulatory investigations and civil or criminal sanctions.</w:t>
      </w:r>
    </w:p>
    <w:p>
      <w:pPr>
        <w:spacing w:after="0" w:line="204"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addition, as we continue to scale and improve our operations, including our internal systems and processes, we are currently implementing, and in the future may seek to implement, a variety of critical systems, such as billing, human resource information systems, financial reporting and accounting systems. We cannot assure you that new systems, including any increases in scale or related improvements, will be successfully implemented or that appropriate personnel will be available to facilitate and manage these processes. Failure to implement necessary systems and procedures, transition to new systems and processes or hire the necessary personnel could result in higher costs, compromised internal reporting and processes and system errors or failures. The implementation and transition to any new critical system may be disruptive to our business if they do not work as planned or if we experience issues related to such implementation or transition, which could have a material adverse effect on our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may be subject to certain limitations.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general, under Section 382 of the Internal Revenue Code of 1986, as amended, or the Code, a corporation that undergoes an “ownership change” is subject to limitations on its ability to utilize its pre-ownership change Net Operating Losses (“NOLs”) to offset future taxable income.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Similar rules may apply under state tax laws. Our existing NOLs may be subject to limitations arising from previous ownership changes, and if there is a future change in our stock ownership (which may be outside of our control) that results in an ownership change, our ability to utilize NOLs could be further limited by Section 382 of the Code. U.S. federal NOLs generated in taxable years beginning on or before December 31, 2017, or pre-2017 NOLs, are subject to expiration while U.S. federal and certain state NOLs generated in taxable years beginning after December 31, 2017, or post- 2017 NOLs, are not subject to expiration. Additionally, for taxable years beginning after December 31, 2020, the deductibility of federal post-2017 NOLs is limited to 80% of our taxable income in such year, where taxable income is determined without regard to the NOL for such post-2017 NOLs. For these and other reasons, we may not be able to realize a tax benefit from the use of our NOLs.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38" w:name="page39"/>
    <w:bookmarkEnd w:id="38"/>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Government healthcare regulation, healthcare industry standards and other requirements create risks and challenges with respect to our compliance efforts and our business strategies within Health Services.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The healthcare industry is highly regulated and subject to frequently changing laws, regulations and industry standards. These laws and regulations may impact us directly or indirectly through our contracts with Health Services customers. Many healthcare laws and regulations are complex, and their application to specific solutions, services and relationships may not be clear. In particular, many existing healthcare laws and regulations, when enacted, did not anticipate the healthcare IT solutions and services that we provide, and these laws and regulations may be applied to our solutions and services in ways that we do not anticipate. In addition, federal and state efforts to reform or revise aspects of the healthcare industry or to revise or create additional legal or regulatory requirements could impact our operations, the use of our solutions and our ability to market new solutions, or could create unexpected liabilities for us. There can be no assurance that our business or operations will not be challenged or impacted by enforcement initiatives.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increasing focus on environmental sustainability and social initiatives could increase our costs, harm our reputation and adversely impact our financial results.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There has been increasing public focus by investors, customers environmental activists, the media and governmental and nongovernmental organizations on a variety of environmental, social and other sustainability matters. In addition, certain financial institutions, including banks and insurance companies, have made commitments regarding environmental, social and sustainability matters that they may pass on to those they provide capital to. Moreover, some investors and financial institutions use ESG or sustainability scores, ratings or benchmarks to make financing, investment and voting decisions. We experience pressure to make commitments relating to sustainability matters that affect us, including the design and implementation of specific risk mitigation strategic initiatives relating to sustainability. While we may, from time to time, engage in certain voluntary initiatives (which may include disclosures, policies, and targets, among others) to improve the ESG profile of our operations and/or products, we cannot guarantee that they will have the desired effect. If we are not effective in addressing environmental, social and other sustainability matters affecting our business, or setting and meeting relevant sustainability goals, our reputation and financial results may suffer. We may experience increased costs in order to execute upon our sustainability goals and measure achievement of those goals, which could have an adverse impact on our business and financial condition. Moreover, any disclosures we do make regarding environmental, social and other sustainability matters may attract the attention of ESG-sensitive investors and other actors and subject us to additional scrutiny and engagement, and increase associated costs.</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In addition, this emphasis on environmental, social and other sustainability matters has resulted and may result in the adoption of new laws and regulations, including new reporting requirements. Compliance with environmental, social and other sustainability laws, regulations, expectations or reporting requirements may result in increased compliance costs, as well as additional scrutiny that could heighten all of the risks associated with environmental, social and sustainability matters. Moreover, if we fail, or are perceived as failing, to comply with new laws, regulations, expectations or reporting requirements, our reputation and business could be adversely impacted. Any reputational damage associated with ESG factors may also adversely impact our ability to recruit and retain employees and customers. We also anticipate increasing ESG-related regulation, disclosure-related and otherwise, which may require us to incur additional costs and result in scrutiny that may augment any of the risks discussed in this risk factor. Such ESG matters may also impact our suppliers and customers, which may compound or cause new impacts on our business, financial condition, or results of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4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b w:val="1"/>
          <w:bCs w:val="1"/>
          <w:i w:val="1"/>
          <w:iCs w:val="1"/>
          <w:color w:val="auto"/>
        </w:rPr>
        <w:t>We may be unable to adequately protect or enforce, and we may incur significant costs in enforcing or defending, our intellectual property and other proprietary rights.</w:t>
      </w:r>
    </w:p>
    <w:p>
      <w:pPr>
        <w:spacing w:after="0" w:line="21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Our success depends in part on our ability to enforce and defend our intellectual property and other proprietary rights. We rely upon a combination of trademark, trade secret, copyright and other intellectual property laws, as well as license agreements and other contractual provisions, to protect our intellectual property and other proprietary rights. In addition, we attempt to protect our intellectual property and proprietary information by requiring our employees and consultants to enter into confidentiality, non-competition and assignment of inventions agreements. However, we cannot be certain that the steps we have taken or will take to protect and enforce our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9" w:name="page40"/>
    <w:bookmarkEnd w:id="39"/>
    <w:p>
      <w:pPr>
        <w:jc w:val="both"/>
        <w:spacing w:after="0" w:line="267" w:lineRule="auto"/>
        <w:rPr>
          <w:sz w:val="20"/>
          <w:szCs w:val="20"/>
          <w:color w:val="auto"/>
        </w:rPr>
      </w:pPr>
      <w:r>
        <w:rPr>
          <w:rFonts w:ascii="Arial" w:cs="Arial" w:eastAsia="Arial" w:hAnsi="Arial"/>
          <w:sz w:val="16"/>
          <w:szCs w:val="16"/>
          <w:color w:val="auto"/>
        </w:rPr>
        <w:t>property and proprietary rights will be successful. Third parties may challenge, invalidate, circumvent, infringe, misappropriate or otherwise violate our intellectual property or the intellectual property of our third-party licensors, and any of these claims or actions may result in restrictions on our use of our intellectual property or the conduct of our business. Our intellectual property may not be sufficient to permit us to take advantage of current market trends or otherwise to provide competitive advantages, which could result in costly redesign efforts, discontinuance of certain service offerings or other competitive harm. Others, including our competitors, may independently develop similar technology, duplicate our solutions and services, design around or reverse engineer our intellectual property, and in such cases neither we nor our third-party licensors may be able to assert intellectual property rights against such parties. We also rely, and expect to continue to rely on, certain services and intellectual property that we license from third parties for use in our product offerings and services. We cannot be certain that our licensors are not infringing upon the intellectual property rights of others or that our suppliers and licensors have sufficient rights to the third-party technology incorporated into our platform in all jurisdictions in which we may operate. Further, our contractual license arrangements may be subject to termination or renegotiation with unfavorable terms to us, and our third-party licensors may be subject to bankruptcy, insolvency and other adverse business dynamics, any of which might affect our ability to use and exploit the products licensed to us by these third-party licensors. We may have to litigate to enforce or determine the scope and enforceability of our intellectual property rights (including litigation against our third-party licensors), which is expensive, could cause a diversion of resources and may not prove successful. The loss of intellectual property protection or the inability to obtain the right to use third-party intellectual property could harm our business and ability to compete.</w:t>
      </w:r>
    </w:p>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Further, existing U.S. federal and state intellectual property laws offer only limited protection and the laws of other countries in which we market our software solutions and services may afford little or no effective protection of our intellectual property. Therefore, our intellectual property rights may not be as strong or as easily enforced outside of the U.S.</w:t>
      </w:r>
    </w:p>
    <w:p>
      <w:pPr>
        <w:spacing w:after="0" w:line="22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subject to patent, trademark and other intellectual property infringement claims, which may be time-consuming, and cause us to incur significant liability and increase our costs of doing business.</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We cannot be certain that our products and services and the operation of our business do not, or will not, infringe or otherwise violate the intellectual property rights of third parties. Third parties may assert infringement claims against us with respect to current or future solutions, including for patent infringement, breach of copyright, trademark, license usage or other intellectual property rights. There may be existing patents or patent applications of which we are unaware that could be pertinent to our business; many patent applications are filed confidentially in the United States and are not published until 18 months following the applicable filing date. Additionally, in recent years, individuals and groups have been purchasing intellectual property assets for the sole purpose of making claims of infringement and attempting to extract settlements from companies like ours. Even if we believe that intellectual property related claims are without merit, defending against such claims is time consuming and expensive and could result in the diversion of the time and attention of our management and employees. In addition, the outcome of litigation is uncertain, and any claim from third parties may result in a limitation on our ability to use the intellectual property subject to these claims. Claims of intellectual property infringement also might require us to redesign or reengineer our affected solutions or services, enter into costly settlement or license agreements, pay costly royalties, license fees or damage awards for which we may not have insurance, or face a temporary or permanent injunction prohibiting us from marketing or selling certain of our solutions or services. Even if we have an agreement for indemnification against such costs, the indemnifying party, if any in such circumstances, may be unable to uphold its contractual obligations. If we cannot or do not license the infringed technology on reasonable terms or substitute similar technology from another source, our revenue and earnings could be materially and adversely affected.</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asserting that our employees or consultants have wrongfully used or disclosed alleged trade secrets of their current or former employers or claims asserting ownership of what we regard as our own intellectual property.</w:t>
      </w:r>
    </w:p>
    <w:p>
      <w:pPr>
        <w:spacing w:after="0" w:line="17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Even if we are successful in defending against such claims, litigation could result in substantial costs and be a distraction to management.</w:t>
      </w:r>
    </w:p>
    <w:p>
      <w:pPr>
        <w:spacing w:after="0" w:line="239"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creation or development of intellectual property on our behalf to execute agreements assigning such intellectual property to us, we may be unsuccessful in having all such employees and contractors execute such an agreement. The assignment of intellectual property may not be self-executing or the assignment agreement may be breached, and we may be forced to bring claims against employees or third parties or defend claims that they may bring against us to determine the ownership of what we regard as our intellectual property. Any of the foregoing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offer our services and subject us to possible litigation.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We may use open source software in connection with the development and deployment of our solutions and services, and we expect to continue to use open source software in the future. Companies that use open source software in connection with their products have, from time to time, faced claims challenging the use of open source software and/or compliance with open source license terms. As a result, we could be subject to suits by parties claiming ownership of what we believe to be open source software or claiming noncompliance with open source licensing terms. Some open source software licenses require users who distribute software containing or linked to open source software to publicly disclose all or part of the source code to such software and/or make available any derivative works of the open source code, which could include valuable proprietary code of the user, on unfavorable terms or at no cost. While we monitor the use of open source software and try to ensure that none is used in a manner that would require us to disclose our proprietary source code or that would otherwise breach the terms of an open source agreement, such use could inadvertently occur, in part because open source license terms are often ambiguous and almost none of them have been interpreted by U.S. or foreign courts. Any requirement to disclose our proprietary source code or pay damages for breach of contract could have a material adverse effect on our business, financial condition and results of operations and could help our competitors develop products and services that are similar to or better than ours.</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Further, in addition to risks related to license requirements, use of certain open source software carries greater technical and legal risks than does the use of third-party commercial software. For example, open source software is generally provided without any support or warranties or other contractual protections regarding infringement or the quality of the code, including the existence of security vulnerabilities. To the extent that our platform depends upon the successful operation of open source software, any undetected errors or defects in open source software that we use could prevent the deployment or impair the functionality of our systems and injure our reputation. In addition, the public availability of such software may make it easier for others to compromise our platform. Any of the foregoing risks could materially and adversely affect our business,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Regulation</w:t>
      </w:r>
    </w:p>
    <w:p>
      <w:pPr>
        <w:spacing w:after="0" w:line="243"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b w:val="1"/>
          <w:bCs w:val="1"/>
          <w:i w:val="1"/>
          <w:iCs w:val="1"/>
          <w:color w:val="auto"/>
        </w:rPr>
        <w:t>We are subject to governmental regulation and other legal obligations, particularly related to privacy, data protection and information security and our actual or perceived failure to comply with such obligations could harm our business. Compliance with such laws could also impair our efforts to maintain and expand our customer and user bases, and thereby decrease our revenue.</w:t>
      </w:r>
    </w:p>
    <w:p>
      <w:pPr>
        <w:spacing w:after="0" w:line="19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Our handling of data is subject to a variety of laws and regulations, including regulation by various government agencies, including the U.S. Federal Trade Commission (the “FTC”), and various state, local and foreign agencies. We collect personally identifiable information and other data from our customers and the end-customers they serve and use this information to provide services to such customers and end-customers, as well as to support, expand and improve our business.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U.S. and foreign governments have adopted or proposed limitations on the collection, distribution, use and storage of personal information of individuals. In the United States, the FTC and many state attorneys general are applying federal and state consumer protection laws as imposing standards for the online collection, use and dissemination of data. However, these obligations may be interpreted and applied in a manner that is inconsistent from one jurisdiction to another and may conflict with other requirements or our practices. At the state level, lawmakers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1" w:name="page42"/>
    <w:bookmarkEnd w:id="41"/>
    <w:p>
      <w:pPr>
        <w:jc w:val="both"/>
        <w:spacing w:after="0" w:line="243" w:lineRule="auto"/>
        <w:rPr>
          <w:sz w:val="20"/>
          <w:szCs w:val="20"/>
          <w:color w:val="auto"/>
        </w:rPr>
      </w:pPr>
      <w:r>
        <w:rPr>
          <w:rFonts w:ascii="Arial" w:cs="Arial" w:eastAsia="Arial" w:hAnsi="Arial"/>
          <w:sz w:val="18"/>
          <w:szCs w:val="18"/>
          <w:color w:val="auto"/>
        </w:rPr>
        <w:t>continue to pass new laws concerning privacy and data security. For example, the California Consumer Privacy Act (the “CCPA”), which became effective on January 1, 2020, introduces significant new disclosure obligations and provides California consumers with significant new privacy rights. We have been and will continue to be required to expend resources to comply with the CCPA. The CCPA provides for civil penalties for violations, as well as a private right of action for data breaches that is expected to increase data breach litigation.</w:t>
      </w:r>
    </w:p>
    <w:p>
      <w:pPr>
        <w:spacing w:after="0" w:line="21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Further, the California Privacy Rights Act (the “CPRA”), which generally went into effect on January 1, 2023, significantly modifies the CCPA, including by expanding consumers’ rights with respect to certain personal information and creating a new state agency to oversee implementation and enforcement efforts, potentially resulting in further uncertainty and requiring us to incur additional costs and expenses in an effort to comply. Some observers have noted the CCPA and CPRA could mark the beginning of a trend toward more stringent privacy legislation in the United States, which could also increase our potential liability and adversely affect our business. Similar laws have passed in Virginia, Colorado, Connecticut and Utah, and have been proposed in other states and at the federal level. Recent and new state and federal legislation relating to privacy may add additional complexity, variation in requirements, restrictions and potential legal risk, require additional investment in resources to compliance programs, could impact strategies and availability of previously useful data and could result in increased compliance costs and/or changes in business practices and policies.</w:t>
      </w:r>
    </w:p>
    <w:p>
      <w:pPr>
        <w:spacing w:after="0" w:line="19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Health Insurance Portability and Accountability Act of 1996 (“HIPAA”), as amended by the Health Information Technology for Economic and Clinical Health Act (“HITECH”), and its implementing regulations, impose privacy, security and breach notification obligations on “covered entities,” including certain health care providers, health plans, and health care clearinghouses, and their respective “business associates” that create, receive, maintain or transmit individually identifiable health information for or on behalf of a covered entity, as well as their covered subcontractors with respect to safeguarding the privacy, security and transmission of individually identifiable health information, as well as their covered subcontractors. Entities that are found to be in violation of HIPAA, whether as the result of a breach of unsecured PHI, a complaint about privacy practices, or an audit by the U.S. Department of Health and Human Services (“HHS”), may be subject to significant civil, criminal, and administrative fines and penalties and/or additional reporting and oversight obligations if required to enter into a resolution agreement and corrective action plan with HHS to settle allegations of HIPAA non-compliance. Additionally, if we or our subcontractor business associates fail to comply with HIPAA or contractual requirements, or are otherwise involved in a HIPAA data breach, the Company may face significant fines and penalties, ongoing compliance requirements, reputational harm, contractual reimbursement, recoupment or other obligations and private litigation brought by impacted individuals.</w:t>
      </w:r>
    </w:p>
    <w:p>
      <w:pPr>
        <w:spacing w:after="0" w:line="20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Outside of the United States, many jurisdictions have laws or regulations dealing with the collection, use, sharing, or other processing of personal information, including laws in the European Economic Area (“EEA”), Canada, Middle East, Australia and South America. For example, the General Data Protection Regulation in the EEA and its equivalent in the United Kingdom (“UK”), known as UK GDPR, impose a strict data protection compliance regime (which will continue to be interpreted through guidance and decisions over the coming years) including: ensuring the security of personal data using appropriate technical and organizational measures; providing detailed disclosures about how personal data is collected and processed (in a concise, intelligible and easily accessible form); demonstrating that valid consent or another appropriate legal basis is in place or otherwise exists to justify data processing activities; granting new rights for data subjects in regard to their personal data (including the right to be “forgotten” and the right to data portability), as well as enhancing current rights (e.g., data subject access requests); introducing the obligation to notify data protection regulators or supervisory authorities (and in certain cases, affected individuals) of significant data breaches; imposing limitations on retention of personal data; maintaining a record of data processing; and complying with the principal of accountability and the obligation to demonstrate compliance through policies, procedures, training and audit. Failure to comply with these laws could result fines of up to the greater of €20 million ($24 million / £17.5 million) or 4% of global turnover, stop processing orders, or civil litigation.</w:t>
      </w:r>
    </w:p>
    <w:p>
      <w:pPr>
        <w:spacing w:after="0" w:line="20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also subject to evolving European Union (“EU”) laws on data export requiring that where data is transferred outside the EU to us or third-parties, there must be suitable safeguards in place. On July 16, 2020, the Court of Justice of the EU (the “CJEU”) issued a decision invalidating the Privacy Shield framework on which we previously relied and imposing further restrictions on the use of standard contractual clauses (“SCCs”) by requiring an assessment of the transfer on a case-by-case basis taking into account the legal regime applicable in the destination country. In March 2022, the US and EU announced a new regulatory regime intended to replace the invalidated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2" w:name="page43"/>
    <w:bookmarkEnd w:id="42"/>
    <w:p>
      <w:pPr>
        <w:jc w:val="both"/>
        <w:spacing w:after="0" w:line="250" w:lineRule="auto"/>
        <w:rPr>
          <w:sz w:val="20"/>
          <w:szCs w:val="20"/>
          <w:color w:val="auto"/>
        </w:rPr>
      </w:pPr>
      <w:r>
        <w:rPr>
          <w:rFonts w:ascii="Arial" w:cs="Arial" w:eastAsia="Arial" w:hAnsi="Arial"/>
          <w:sz w:val="17"/>
          <w:szCs w:val="17"/>
          <w:color w:val="auto"/>
        </w:rPr>
        <w:t>regulations; however, this new EU-US Data Privacy Framework has not been implemented beyond an executive order signed by President Biden on October 7, 2022 on Enhancing Safeguards for United States Signals Intelligence Activities. The European Commission also issued revised SCCs on June 4, 2021 to account for the decision of the CJEU and recommendations made by the European Data Protection Board. The revised SCCs must be used for relevant new data transfers from September 27, 2021; existing SCC arrangements must be migrated to the revised clauses by December 27, 2022. The new SCCs apply only to the transfer of personal data outside of the EEA and not the UK. The UK’s Information Commissioner’s Office has published new data transfer standard contracts for transfers from the UK under the UK GDPR. This new documentation will be mandatory for relevant data transfers from September 21, 2022; existing standard contractual clauses arrangements must be migrated to the new documentation by March 21, 2024. There is some uncertainty around whether the revised clauses can be used for all types of data transfers, particularly whether they can be relied on for data transfers to non-EEA entities subject to the GDPR.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 We continue to investigate and implement contractual, organizational and technical changes in response to laws around transfer of personal data, but we cannot guarantee that any such changes will be sufficient under applicable laws and regulations or by our customers, governments, or the public. To the extent that we transfer personal data outside of the EEA or the UK, there is risk that any of our data transfers will be halted, limited, or challenged by third parties.</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Gramm-Leach-Bliley Act (the “GLBA”)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nonpublic personal customer information.</w:t>
      </w:r>
    </w:p>
    <w:p>
      <w:pPr>
        <w:spacing w:after="0" w:line="16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Each of these privacy, security and data protection laws and regulations, and any other such changes or new laws or regulations, could impose significant limitations, require changes to our business, or restrict our use or storage of personal information, which may increase our compliance expenses and make our business more costly or less efficient to conduct. In addition, any such changes could compromise our ability to develop an adequate marketing strategy and pursue our growth strategy effectively, which, in turn, could adversely affect our business, financial condition, and results of operations. The interpretations and measures conducted by us in our efforts to comply with the applicable data protection laws may have been or may prove to be insufficient or incorrect. If our privacy or data security measures or practices fail to comply with current or future laws and regulations, we may be subject to claims, legal proceedings or other actions by individuals or governmental authorities based on privacy or data protection regulations and our commitments to customers and users, as well as negative publicity and a potential loss of business. As we continue to expand into other foreign countries and jurisdictions, we may also be subject to additional laws and regulations that may affect how we conduct business. Moreover, if future laws and regulations limit our customers and users’ ability to use and share personal information or our ability to store, process and share personal information, demand for our solutions could decrease, our costs could increase, and our business, results of operations and financial condition could be harmed.</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8"/>
          <w:szCs w:val="18"/>
          <w:b w:val="1"/>
          <w:bCs w:val="1"/>
          <w:i w:val="1"/>
          <w:iCs w:val="1"/>
          <w:color w:val="auto"/>
        </w:rPr>
        <w:t>Through our relationships with third parties, including payment processors such as Worldpay, we must comply with certain payments and other financial services-related regulations, as well as binding industry standards, including the card network rules. Our failure to comply could materially harm our business.</w:t>
      </w:r>
    </w:p>
    <w:p>
      <w:pPr>
        <w:spacing w:after="0" w:line="21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local, state and federal laws, rules, regulations, licensing schemes and industry standards that govern our business include, or may in the future include, those relating to underwriting, foreign exchange, payments services (such as money transmission, payment processing and settlement services), anti-money laundering, combating terrorist financing, escheatment, international sanctions regimes and compliance with the card network rules, PCI DSS and the NACHA Operating Rules. Each of the card networks (e.g., Visa, Mastercard, Discover and American Express) have specific rules applicable to the use of their network. We are subject to these rules pursuant to our agreements with payment processors and sponsor banks. The card network rules impose certain requirements on us, including notice and disclosure requirements, transaction monitoring. The PCI DSS, which contain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3" w:name="page44"/>
    <w:bookmarkEnd w:id="43"/>
    <w:p>
      <w:pPr>
        <w:jc w:val="both"/>
        <w:spacing w:after="0" w:line="268" w:lineRule="auto"/>
        <w:rPr>
          <w:sz w:val="20"/>
          <w:szCs w:val="20"/>
          <w:color w:val="auto"/>
        </w:rPr>
      </w:pPr>
      <w:r>
        <w:rPr>
          <w:rFonts w:ascii="Arial" w:cs="Arial" w:eastAsia="Arial" w:hAnsi="Arial"/>
          <w:sz w:val="16"/>
          <w:szCs w:val="16"/>
          <w:color w:val="auto"/>
        </w:rPr>
        <w:t>guidelines and standards with regard to our security surrounding the physical and electronic storage, processing and transmission of an individual’s cardholder data, is applicable to operations of the Company. Failure to obtain or maintain PCI DSS compliance could result in the Company’s inability to accept or process credit card payments on its own behalf, a merchant’s inability to utilize the Company’s software to process credit card payments and remain PCI Compliant, or subject the Company to penalties and fines. Further, if the Company’s internal systems are breached or compromised, the Company may be liable significant forensic investigation costs, consumer notification-related costs, for card re-issuance costs and subject to higher fines and transaction fees. The NACHA Operating Rules, which contain compliance guidelines and standards, including with respect to our security surrounding the physical and electronic storage, processing and transmission of an individual’s bank account data, are applicable to operations of the Company pursuant to our agreement with a third party to offer our customers ACH payment capabilities. Failure to maintain compliance with the NACHA Operating Rules could result in the Company’s inability to offer ACH transaction options to our customers or subject the Company to penalties and fines. Further, if the Company’s internal systems are breached or compromised, the Company may be liable for significant forensic investigation costs and consumer notification-related costs, and subject to higher fines and transaction fees. Any or all of these results could have a material negative effect on the Company’s operations. Changes in these security standards may cause us to incur significant unanticipated expenses to meet new requirements.</w:t>
      </w:r>
    </w:p>
    <w:p>
      <w:pPr>
        <w:spacing w:after="0" w:line="19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we expand into new jurisdictions, the number of foreign laws, rules, regulations, licensing schemes and standards governing our business will expand as well. In addition, as our business and solutions continue to develop and expand, we may become subject to additional laws, rules, regulations, licensing schemes and standards. We may not always be able to accurately predict the scope or applicability of certain laws, rules, regulations, licensing schemes, or standards to our business, particularly as we expand into new areas of operations, which could have a significant negative effect on our existing business and our ability to pursue future plans.</w:t>
      </w:r>
    </w:p>
    <w:p>
      <w:pPr>
        <w:spacing w:after="0" w:line="216"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Evaluation of our compliance efforts, as well as the questions of whether and to what extent our solutions and services could be considered money transmission, are matters of regulatory interpretation and could change over time. We have taken the position that in all cases where we do not participate in the authorization of transactions or settlement of funds, that a solution or service does not meet the definition of “engaging in financial activities” under the GLBA and therefore we are not subject to the requirements set forth in GLBA and its implementing Regulation P. In the future, if regulators disagree with our position with respect to GLBA or other potentially applicable laws, including those related to money transmission, or if new guidance or interpretations thereof are issued, we could be subject to investigations and resulting liability, including governmental fines, restrictions on our business, or other sanctions, and we could be forced to cease conducting certain aspects of our business with residents of certain jurisdictions, be forced to change our business practices in certain jurisdictions, or be required to obtain licenses or regulatory approvals, including state money transmitter licenses. There can be no assurance that we will be able to obtain or maintain any such licenses, and, even if we were able to do so, there could be substantial costs and potential changes to our solutions or services involved in maintaining such licenses, which could have a material and adverse effect on our business. In addition, we could be subject to fines or other enforcement action if we are found to violate disclosure, reporting, anti-money laundering, capitalization, corporate governance, or other requirements of such licenses. These factors could impose substantial additional costs, involve considerable delay to the development or provision of our solutions or services, require significant and costly operational changes, or prevent us from providing our solutions or services in any given market.</w:t>
      </w:r>
    </w:p>
    <w:p>
      <w:pPr>
        <w:spacing w:after="0" w:line="21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If we fail to comply with complex procurement laws and regulations with respect to government contracts, we could lose business and be liable for various penalties.</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must comply with laws and regulations relating to the formation, administration and performance of government contracts, which affect how we conduct business with certain governmental entities. In complying with these laws and regulations, we may incur additional costs. Any non-compliance could result in the imposition of significant fines and penalties, including contractual damages, and impact our ability to obtain additional business in the future. Our governmental entity clients periodically review our compliance with their contracts and our performance under the terms of such contracts. If we fail to comply with these contracts, laws and regulations, we may also suffer harm to our reputation, which could impair our ability to win awards of contracts in the future or receive renewals of existing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4" w:name="page45"/>
    <w:bookmarkEnd w:id="44"/>
    <w:p>
      <w:pPr>
        <w:jc w:val="both"/>
        <w:spacing w:after="0" w:line="261" w:lineRule="auto"/>
        <w:rPr>
          <w:sz w:val="20"/>
          <w:szCs w:val="20"/>
          <w:color w:val="auto"/>
        </w:rPr>
      </w:pPr>
      <w:r>
        <w:rPr>
          <w:rFonts w:ascii="Arial" w:cs="Arial" w:eastAsia="Arial" w:hAnsi="Arial"/>
          <w:sz w:val="18"/>
          <w:szCs w:val="18"/>
          <w:b w:val="1"/>
          <w:bCs w:val="1"/>
          <w:i w:val="1"/>
          <w:iCs w:val="1"/>
          <w:color w:val="auto"/>
        </w:rPr>
        <w:t>Our sending of commercial emails and text messages and certain other telephonic services must comply with the Telephone Consumer Protection Act, and future legislation, regulatory actions, or litigation could adversely affect our business.</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United States regulates marketing by telephone and email and the laws and regulations governing the use of emails and telephone calls for marketing purposes continue to evolve, and changes in technology, the marketplace or consumer preferences may lead to the adoption of additional laws or regulations or changes in interpretation of existing laws or regulations. New laws or regulations, or changes to the manner in which existing laws and regulations or interpreted or enforced, may further restrict our ability to contact potential and existing customers by phone and email and could render us unable to communicate with consumers in a cost-effective fashion. For example, in the United States, the Controlling the Assault of Non-Solicited Pornography and Marketing Act of 2003 (the “CAN -SPAM Act”), among other things, obligates the sender of commercial emails to provide recipients with the ability to opt out of receiving future commercial emails from the sender.</w:t>
      </w:r>
    </w:p>
    <w:p>
      <w:pPr>
        <w:spacing w:after="0" w:line="216"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addition, the Telephone Consumer Protection Act (the “TCPA”) is a federal statute that protects consumers from unwanted telephone calls and faxes. Since its inception, the TCPA’s purview has extended to certain text messages sent to consumers. We must ensure that our services, including those that leverage text messaging, comply with the TCPA, including its implementing regulations and agency guidance. The scope and interpretation of the TCPA is continuously evolving and developing. While we strive to adhere to strict policies and procedures compliant with the TCPA, a court or the Federal Communications Commission (the “FCC”), as the agency that implements and enforces the TCPA, may disagree with our interpretation of the TCPA and subject us to penalties and other consequences for noncompliance.</w:t>
      </w:r>
    </w:p>
    <w:p>
      <w:pPr>
        <w:spacing w:after="0" w:line="21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Failure to comply with obligations and restrictions related to telephone, text message and email marketing could subject us to lawsuits, fines, statutory damages, consent decrees, injunctions, adverse publicity and other losses that could harm our business. In addition, we provide certain services to our customers that involve text messaging that could be deemed to be automated dialing systems subject to restrictions under the TCPA. Consumers may bring, and have in the past brought, suit against us under the TCPA based on our services or our customers’ use of our services.</w:t>
      </w:r>
    </w:p>
    <w:p>
      <w:pPr>
        <w:spacing w:after="0" w:line="19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particular, determination by a court or regulatory agency that our services or our customers’ use of our services violate the TCPA could subject us to civil damages and penalties, could invalidate all or portions of some of our client contracts, could require us to change or terminate some portions of our business, could require us to refund portions of our services fees and could have an adverse effect on our business. Even an unsuccessful challenge by consumers or regulatory authorities to our services could result in adverse publicity and could require a costly response from us. In addition, any uncertainty regarding whether and how the TCPA applies to our business could increase our costs, limit our ability to grow, and have an adverse effect on our business.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are subject to anti-corruption, anti-bribery and similar laws, and non-compliance with such laws can subject us to criminal or civil liability and harm our business.</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are subject to the Foreign Corrupt Practices Act (“FCPA”), U.S. domestic bribery laws, and other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As we increase our international cross-border business and expand operations abroad, we may engage with business partners and third-party intermediaries to market our services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 As we increase our international business, our risks under these laws may increase.</w:t>
      </w:r>
    </w:p>
    <w:p>
      <w:pPr>
        <w:spacing w:after="0" w:line="19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Detecting, investigating and resolving actual or alleged violations of anti-corruption laws can require a significant diversion of time, resources and attention from senior management. In addition, noncompliance with anti-corruption or anti-bribery laws could subject us to whistleblower complaints, investigations, sanctions, settlements, prosecution, enforcement actions, fines, damages, other civil or criminal penalties, injunctions, suspension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5" w:name="page46"/>
    <w:bookmarkEnd w:id="45"/>
    <w:p>
      <w:pPr>
        <w:jc w:val="both"/>
        <w:spacing w:after="0" w:line="262" w:lineRule="auto"/>
        <w:rPr>
          <w:sz w:val="20"/>
          <w:szCs w:val="20"/>
          <w:color w:val="auto"/>
        </w:rPr>
      </w:pPr>
      <w:r>
        <w:rPr>
          <w:rFonts w:ascii="Arial" w:cs="Arial" w:eastAsia="Arial" w:hAnsi="Arial"/>
          <w:sz w:val="17"/>
          <w:szCs w:val="17"/>
          <w:color w:val="auto"/>
        </w:rPr>
        <w:t>debarment from contracting with certain persons, reputational harm, adverse media coverage and other collateral consequences. If any subpoenas are received or investigations are launched, or governmental or other sanctions are imposed, or if we do not prevail in any possible civil or criminal proceeding, our business, operating results and financial condition could be materially harmed. In addition, responding to any action will likely result in a materially significant diversion of management’s attention and resources and significant defense costs and other professional fees.</w:t>
      </w:r>
    </w:p>
    <w:p>
      <w:pPr>
        <w:spacing w:after="0" w:line="1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The healthcare industry is heavily regulated at the local, state and federal levels. Our failure to comply with regulatory requirements could create liability for us or our customers, result in adverse publicity and negatively affect our business.</w:t>
      </w:r>
    </w:p>
    <w:p>
      <w:pPr>
        <w:spacing w:after="0" w:line="19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As one of our three key verticals is Health Services, our operations and relationships, and those of our customers, are regulated by a number of federal, state and local governmental entities. The healthcare industry is heavily regulated and laws, regulations and industry standards are constantly evolving due to the changing political, legislative and regulatory landscapes. There are a significant number of wide-ranging healthcare laws and regulations, including but not limited to those described below, that may be directly or indirectly applicable to our operations and relationships or the business practices of our clients. Healthcare laws and regulations may change rapidly, and it is frequently unclear how they apply to our business. Any failure of our solutions or services to comply with these laws and regulations could result in substantial civil or criminal liability and could, among other things, adversely affect demand for our services, invalidate all or portions of some of our contracts with our customers, require us to change or terminate some portions of our business, require us to refund portions of our revenue, cause us to be disqualified from serving customers doing business with government payers and give our customers the right to terminate our contracts with them, any one of which could have an adverse effect on our business, results of operations and financial condition.</w:t>
      </w:r>
    </w:p>
    <w:p>
      <w:pPr>
        <w:spacing w:after="0" w:line="210"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Healthcare Fraud</w:t>
      </w:r>
      <w:r>
        <w:rPr>
          <w:rFonts w:ascii="Arial" w:cs="Arial" w:eastAsia="Arial" w:hAnsi="Arial"/>
          <w:sz w:val="17"/>
          <w:szCs w:val="17"/>
          <w:color w:val="auto"/>
        </w:rPr>
        <w:t>. A number of federal and state laws, including the U.S. federal Anti- Kickback Statute (“AKS”) and laws prohibiting the submission of</w:t>
      </w:r>
      <w:r>
        <w:rPr>
          <w:rFonts w:ascii="Arial" w:cs="Arial" w:eastAsia="Arial" w:hAnsi="Arial"/>
          <w:sz w:val="17"/>
          <w:szCs w:val="17"/>
          <w:i w:val="1"/>
          <w:iCs w:val="1"/>
          <w:color w:val="auto"/>
        </w:rPr>
        <w:t xml:space="preserve"> </w:t>
      </w:r>
      <w:r>
        <w:rPr>
          <w:rFonts w:ascii="Arial" w:cs="Arial" w:eastAsia="Arial" w:hAnsi="Arial"/>
          <w:sz w:val="17"/>
          <w:szCs w:val="17"/>
          <w:color w:val="auto"/>
        </w:rPr>
        <w:t>false or fraudulent claims, such as the False Claims Act apply to healthcare providers and others that provide, offer, solicit or receive payments to induce or reward referrals of items or services for which payment may be made under any federal or state healthcare program and, under certain state laws, any third-party payor. These laws are complex and their application to our specific services and relationships may not be clear and may be applied to our business in ways that we do not anticipate. Federal and state regulatory and law enforcement authorities have recently increased fraud and abuse enforcement activities, including in the healthcare IT industry. Additionally, from time to time, participants in the healthcare industry receive inquiries or subpoenas to produce documents in connection with government investigations.</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addition, our solutions and services include electronically transmitting claims for services and items rendered by providers to payers for approval and reimbursement. We also provide revenue cycle management services to our clients that include the coding, preparation, submission and collection of claims for medical service to payers for reimbursement. Such claims are governed by U.S. federal and state laws. The federal civil False Claims Act (“FCA”) imposes civil penalties on any persons that knowingly submit, or cause to be submitted, a false or fraudulent claim to a federal health care program such as Medicare or Medicaid. U.S. federal law may also impose criminal penalties for intentionally submitting such false claims. Further, the FCA contains a whistleblower provision that allows a private individual to file a lawsuit on behalf of the U.S. government and entitles that whistleblower to a percentage of any recoveries. In addition, the government may assert that a claim including items and services resulting from a violation of the AKS constitutes a false or fraudulent claim for purposes of the False Claims Act.</w:t>
      </w:r>
    </w:p>
    <w:p>
      <w:pPr>
        <w:spacing w:after="0" w:line="20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It is possible that governmental authorities will conclude that our business practices may not comply with current or future statutes, regulations, agency guidance or case law involving applicable fraud and abuse or other healthcare laws and regulations. We may be subject to government investigations, and if our operations are found to be in violation of these laws, we may be subject to significant fines and penalties, including civil, criminal and administrative penalties, damages, exclusion from Medicare, Medicaid or other government-funded healthcare programs, integrity oversight and reporting obligations to resolve allegations of non-compliance, disgorgement, imprisonment, contractual damages, reputational harm, diminished profits and the curtailment or restructuring of our operations. Any investigation or proceeding related to these laws, even if unwarranted or without merit, may have a material adverse effect on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6" w:name="page47"/>
    <w:bookmarkEnd w:id="46"/>
    <w:p>
      <w:pPr>
        <w:jc w:val="both"/>
        <w:spacing w:after="0" w:line="251" w:lineRule="auto"/>
        <w:rPr>
          <w:sz w:val="20"/>
          <w:szCs w:val="20"/>
          <w:color w:val="auto"/>
        </w:rPr>
      </w:pPr>
      <w:r>
        <w:rPr>
          <w:rFonts w:ascii="Arial" w:cs="Arial" w:eastAsia="Arial" w:hAnsi="Arial"/>
          <w:sz w:val="17"/>
          <w:szCs w:val="17"/>
          <w:i w:val="1"/>
          <w:iCs w:val="1"/>
          <w:color w:val="auto"/>
        </w:rPr>
        <w:t>Security and Privacy of Health-Related Information</w:t>
      </w:r>
      <w:r>
        <w:rPr>
          <w:rFonts w:ascii="Arial" w:cs="Arial" w:eastAsia="Arial" w:hAnsi="Arial"/>
          <w:sz w:val="17"/>
          <w:szCs w:val="17"/>
          <w:color w:val="auto"/>
        </w:rPr>
        <w:t>. Federal, state and local laws regulate the privacy and security of health-related information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circumstances under which such health-related information may be used, disclosed, transmitted and maintained. For example, HIPAA regulations require the use of uniform electronic data transmission standards and code sets for certain health care claims and payment transactions submitted or received electronically. The privacy and security regulations promulgated under HIPAA regulate the use and disclosure of individually identifiable health information, and impose privacy and security requirements on covered entities and their business associates. HIPAA requires covered entities and business associates to develop and maintain policies with respect to the protection of, use and disclosure of PHI, including the adoption of administrative, physical and technical safeguards to protect electronic PHI and certain notification requirements in the event of a data breach. The Company’s operations could be negatively impacted by a violation of the HIPAA privacy, security or breach notification rules. Additionally, if the Company or its business associates fail to comply with HIPAA or contractual requirements, or create or are otherwise involved in a HIPAA data breach, the Company may face significant fines and penalties, ongoing compliance requirements, reputational harm, contractual reimbursement, recoupment or other obligations and private litigation brought by impacted individuals.</w:t>
      </w:r>
    </w:p>
    <w:p>
      <w:pPr>
        <w:spacing w:after="0" w:line="20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 xml:space="preserve">Promoting Interoperability Programs and Health IT Certification. </w:t>
      </w:r>
      <w:r>
        <w:rPr>
          <w:rFonts w:ascii="Arial" w:cs="Arial" w:eastAsia="Arial" w:hAnsi="Arial"/>
          <w:sz w:val="18"/>
          <w:szCs w:val="18"/>
          <w:color w:val="auto"/>
        </w:rPr>
        <w:t>The American Recovery and Reinvestment Act of 2009 (“ARRA”) initially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“meaningful use of certified electronic health record technology” by healthcare providers by 2015 in order to receive limited incentive payments and to avoid related reduced reimbursement rates for Medicare claims. These laws and regulations have continued to evolve over time. Further, standards and specifications implemented under these laws are subject to interpretation by the entities designated to certify such technology. While a combination of our solutions has been certified as meeting standards for certified electronic health record technology, the regulatory standards to achieve certification will continue to evolve over time. We may incur increased development costs and delays in delivering solutions if we need to upgrade our software or healthcare devices to be in compliance with these varying and evolving standards. In addition, further delays in interpreting these standards may result in postponement or cancellation of our clients’ decisions to purchase our software solutions. If our software solutions are not compliant with these evolving standards, our relationships with current customers, market position and sales could be impaired and we may have to invest significantly in changes to our software solutions.</w:t>
      </w:r>
    </w:p>
    <w:p>
      <w:pPr>
        <w:spacing w:after="0" w:line="219" w:lineRule="exact"/>
        <w:rPr>
          <w:sz w:val="20"/>
          <w:szCs w:val="20"/>
          <w:color w:val="auto"/>
        </w:rPr>
      </w:pPr>
    </w:p>
    <w:p>
      <w:pPr>
        <w:jc w:val="both"/>
        <w:spacing w:after="0" w:line="252" w:lineRule="auto"/>
        <w:rPr>
          <w:sz w:val="20"/>
          <w:szCs w:val="20"/>
          <w:color w:val="auto"/>
        </w:rPr>
      </w:pPr>
      <w:r>
        <w:rPr>
          <w:rFonts w:ascii="Arial" w:cs="Arial" w:eastAsia="Arial" w:hAnsi="Arial"/>
          <w:sz w:val="17"/>
          <w:szCs w:val="17"/>
          <w:i w:val="1"/>
          <w:iCs w:val="1"/>
          <w:color w:val="auto"/>
        </w:rPr>
        <w:t>New Information Blocking and Interoperability Rules</w:t>
      </w:r>
      <w:r>
        <w:rPr>
          <w:rFonts w:ascii="Arial" w:cs="Arial" w:eastAsia="Arial" w:hAnsi="Arial"/>
          <w:sz w:val="17"/>
          <w:szCs w:val="17"/>
          <w:color w:val="auto"/>
        </w:rPr>
        <w:t>. In March 2020, the Office of National Coordinator for Health Information Technology (“ONC”) of</w:t>
      </w:r>
      <w:r>
        <w:rPr>
          <w:rFonts w:ascii="Arial" w:cs="Arial" w:eastAsia="Arial" w:hAnsi="Arial"/>
          <w:sz w:val="17"/>
          <w:szCs w:val="17"/>
          <w:i w:val="1"/>
          <w:iCs w:val="1"/>
          <w:color w:val="auto"/>
        </w:rPr>
        <w:t xml:space="preserve"> </w:t>
      </w:r>
      <w:r>
        <w:rPr>
          <w:rFonts w:ascii="Arial" w:cs="Arial" w:eastAsia="Arial" w:hAnsi="Arial"/>
          <w:sz w:val="17"/>
          <w:szCs w:val="17"/>
          <w:color w:val="auto"/>
        </w:rPr>
        <w:t>the HHS released the “21st Century Cures Act: Interoperability, Information Blocking, and the ONC Health IT Certification Program, Final Rule.” The rule implements several of the key interoperability provisions included in the 21st Century Cures Act. Specifically, it calls on developers of certified EHRs and health IT products to adopt standardized application programming interfaces, which will help allow individuals to securely and easily access structured and unstructured electronic health information formats using smartphones and other mobile devices. This provision and others included in the new rule create a potentially lengthy list of new certification and maintenance of certification requirements that developers of EHRs and other health IT products must meet in order to maintain approved federal government certification status. Meeting and maintaining this certification status could require additional development costs. The ONC rule also implements the information blocking provisions of the 21st Century Cures Act, including identifying reasonable and necessary activities that do not constitute information blocking. Under the 21st Century Cures Act, HHS has the regulatory authority to investigate and assess civil monetary penalties against health IT developers and/or providers found to be guilty of “information blocking.” This new oversight and authority to investigate claims of information blocking could create significant risks for us and our clients and could potentially create substantial new compliance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or may decline regardless of our operating performance, resulting in substantial losses for investors.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may fluctuate significantly in response to numerous factors, many of which are beyond our control, including:</w:t>
      </w:r>
    </w:p>
    <w:p>
      <w:pPr>
        <w:spacing w:after="0" w:line="250"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conditions and results of operations;</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these projections or our failure to meet these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7" w:name="page48"/>
    <w:bookmarkEnd w:id="47"/>
    <w:p>
      <w:pPr>
        <w:ind w:left="660" w:hanging="328"/>
        <w:spacing w:after="0" w:line="24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securities analysts to initiate or maintain coverage of our company, changes in financial estimates or ratings by any securities analysts who follow our company or our failure to meet these estimates or the expectations of investors;</w:t>
      </w:r>
    </w:p>
    <w:p>
      <w:pPr>
        <w:ind w:left="660" w:hanging="328"/>
        <w:spacing w:after="0" w:line="23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technical innovations, acquisitions, strategic partnerships, joint ventures, results of operations or capital commitments;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changes in stock market valuations and operating performance of other technology companies generally, or those in our industry in particular;</w:t>
      </w:r>
    </w:p>
    <w:p>
      <w:pPr>
        <w:spacing w:after="0" w:line="18" w:lineRule="exact"/>
        <w:rPr>
          <w:rFonts w:ascii="Arial" w:cs="Arial" w:eastAsia="Arial" w:hAnsi="Arial"/>
          <w:sz w:val="16"/>
          <w:szCs w:val="16"/>
          <w:color w:val="auto"/>
        </w:rPr>
      </w:pP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including as a result of trends in the economy as a whole;</w:t>
      </w:r>
    </w:p>
    <w:p>
      <w:pPr>
        <w:ind w:left="660" w:hanging="328"/>
        <w:spacing w:after="0" w:line="219"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board of directors or management;</w:t>
      </w:r>
    </w:p>
    <w:p>
      <w:pPr>
        <w:ind w:left="660" w:hanging="328"/>
        <w:spacing w:after="0" w:line="23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large blocks of our common stock, including sales by certain affiliates of Providence Strategic Growth, Silver Lake or our executive officers and directors;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lawsuits threatened or filed against us;</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anticipated or actual changes in laws, regulations or government policies applicable to our business;</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our capital structure, such as future issuances of debt or equity securities;</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short sales, hedging and other derivative transactions involving our capital stock;</w:t>
      </w:r>
    </w:p>
    <w:p>
      <w:pPr>
        <w:ind w:left="660" w:hanging="328"/>
        <w:spacing w:after="0" w:line="23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in the United States;</w:t>
      </w:r>
    </w:p>
    <w:p>
      <w:pPr>
        <w:ind w:left="660" w:hanging="328"/>
        <w:spacing w:after="0" w:line="234"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war (including the ongoing war in Ukraine), pandemics (including COVID-19), incidents of terrorism or responses to these events; and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 of this Annual Report on Form 10-K.</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stock market has recently experienced extreme price and volume fluctuations. The market prices of securities of companies have experienced fluctuations that often have been unrelated or disproportionate to their results of operations. Market fluctuations could result in extreme volatility in the price of shares of our common stock, which could cause a decline in the value of your investment. Price volatility may be greater if the public float and trading volume of shares of our common stock is low. Furthermore, in the past, stockholders have sometimes instituted securities class action litigation against companies following periods of volatility in the market price of their securities. Any similar litigation against us could result in substantial costs, divert management’s attention and resources, and harm our business, financial condition and results of operations.</w:t>
      </w:r>
    </w:p>
    <w:p>
      <w:pPr>
        <w:spacing w:after="0" w:line="20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The parties to our sponsor stockholders agreement hold a substantial portion of our outstanding common stock, and such parties interests may conflict with our interests and the interests of other stockholders.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parties to our sponsor stockholders agreement own approximately 78.5% of our common stock. We have agreed to nominate to our board of directors individuals designated by Providence Strategic Growth and Silver Lake in accordance with the sponsor stockholders agreement. Providence Strategic Growth and Silver Lake will each retain the right to designate directors for so long as they beneficially own at least 5% of the aggregate number of shares of common stock outstanding. In addition, for so long as Providence Strategic Growth and Silver Lake collectively beneficially own at least 30% of the aggregate number of shares of common stock outstanding, certain actions by us or any of our subsidiaries will require the prior written consent of each of Providence Strategic Growth and Silver Lake so long as such stockholder is entitled to designate at least two (2) directors for nomination to our board of directors. The actions that will require prior written consent include: (i) change in control transactions, (ii) acquiring or disposing of assets or any business enterprise or division thereof for consideration in excess of $500.0 million in any single transaction or series of transactions, (iii) increasing or decreasing the size of our board of directors, (iv) terminating the employment of our chief executive officer or hiring a new chief executive officer, (v) initiating any liquidation, dissolution, bankruptcy or other insolvency proceeding involving us or any of our significant subsidiaries and (vi) any transfer, issue, issuance, sale or disposition of any shares of common stock, other equity securities, equity-linked securities or securities that are convertible into equity securities of us or our subsidiaries to any person or entity that is a non-strategic financial investor in a private placement transaction or series of transactions.</w:t>
      </w:r>
    </w:p>
    <w:p>
      <w:pPr>
        <w:spacing w:after="0" w:line="194"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Even when the parties to our sponsor stockholders agreement cease to own shares of our stock representing a majority of the total voting power, for so long as the parties to such agreement continue to own a significant percentage of our stock, they will still be able to significantly influence or effectively control the composition of our board of directors and the approval of actions requiring stockholder approval through their voting power. In addition, pursuant to the sponsor stockholder agreement, we are generally required to obtain the prior written consent of the parties to our sponsor stockholders agreement before we or our subsidiaries undertake certain actions. Accordingly, for such period of time, the parties to our sponsor stockholders agreement will have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8" w:name="page49"/>
    <w:bookmarkEnd w:id="48"/>
    <w:p>
      <w:pPr>
        <w:jc w:val="both"/>
        <w:spacing w:after="0" w:line="241" w:lineRule="auto"/>
        <w:rPr>
          <w:sz w:val="20"/>
          <w:szCs w:val="20"/>
          <w:color w:val="auto"/>
        </w:rPr>
      </w:pPr>
      <w:r>
        <w:rPr>
          <w:rFonts w:ascii="Arial" w:cs="Arial" w:eastAsia="Arial" w:hAnsi="Arial"/>
          <w:sz w:val="18"/>
          <w:szCs w:val="18"/>
          <w:color w:val="auto"/>
        </w:rPr>
        <w:t>influence with respect to our management, business plans and policies. In particular, for so long as the parties to our sponsor stockholders agreement continue to own a significant percentage of our stock, the parties to such agreement may be able to cause or prevent a change of control of our Company or a change in the composition of our board of directors, and could preclude any unsolicited acquisition of our Company. The concentration of ownership could deprive you of an opportunity to receive a premium for your shares of common stock as part of a sale of our Company and ultimately might affect the market price of our common stock.</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Further, our amended and restated certificate of incorporation provides that the doctrine of “corporate opportunity” does not apply with respect to certain parties to our stockholders agreements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See “-Our amended and restated certificate of incorporation provides that the doctrine of “corporate opportunity” does not apply with respect to certain parties to our stockholders agreements and any director or stockholder who is not employed by us or our subsidiaries.”</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Substantial future sales by the parties to our stockholders agreements or other holders of our common stock, or the perception that such sales may occur, could depress the price of our common stock.</w:t>
      </w:r>
    </w:p>
    <w:p>
      <w:pPr>
        <w:spacing w:after="0" w:line="198"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parties to our stockholders agreements collectively own approximately 83.8% of our outstanding shares of common stock. In addition to the limitations on the sale and transfer of shares of common stock held by such stockholders as set forth in the stockholders agreements, subject to the restrictions described in the paragraph below, future sales of these shares in the public market will be subject to the volume and other restrictions of Rule 144 under the Securities Act, for so long as such parties are deemed to be our affiliates, unless the shares to be sold are registered with the SEC. These stockholders are entitled to rights with respect to the registration of their shares. We are unable to predict with certainty whether or when such parties will sell a substantial number of shares of our common stock. The sale by the parties to our stockholders agreements of a substantial number of shares, or a perception that such sales could occur, could significantly reduce the market price of our common stock. Shares of our common stock offered in our initial public offering are freely tradable without restriction, assuming they are not held by our affiliates.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July 6, 2021, we filed a registration statement on Form S-8 registering under the Securities Act the shares of our common stock reserved for issuance under our incentive plan. If equity securities granted under our incentive plan are sold or it is perceived that they will be sold in the public market, the trading price of our common stock could decline substantially. These sales also could impede our ability to raise future capital.</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a “controlled company” under the corporate governance rules of The Nasdaq Stock Market and, as a result, qualify for, and rely on, exemptions from certain corporate governance requirements. You do not have the same protections afforded to stockholders of companies that are subject to such requirements.</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Certain affiliates of Providence Strategic Growth and Silver Lake own approximately 78.5% of our common stock and are parties, among others, to the sponsor stockholders agreement. The parties to the sponsor stockholders agreement have agreed to vote, or cause to vote, all of their outstanding shares of our common stock at any annual or special meeting of stockholders in which directors are elected, so as to cause the election of the directors nominees designated by each party. As a result, we are a “controlled company” within the meaning of the corporate governance standards of the rules of The Nasdaq Stock Market. Under these rules, a listed company of which more than 50% of the voting power is held by an individual, group or another company is a “controlled company” and may elect not to comply with certain corporate governance requirements, including:</w:t>
      </w:r>
    </w:p>
    <w:p>
      <w:pPr>
        <w:spacing w:after="0" w:line="18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that a majority of its board of directors consist of independent directors;</w:t>
      </w:r>
    </w:p>
    <w:p>
      <w:pPr>
        <w:spacing w:after="0" w:line="11" w:lineRule="exact"/>
        <w:rPr>
          <w:rFonts w:ascii="Arial" w:cs="Arial" w:eastAsia="Arial" w:hAnsi="Arial"/>
          <w:sz w:val="18"/>
          <w:szCs w:val="18"/>
          <w:color w:val="auto"/>
        </w:rPr>
      </w:pPr>
    </w:p>
    <w:p>
      <w:pPr>
        <w:jc w:val="both"/>
        <w:ind w:left="660" w:hanging="328"/>
        <w:spacing w:after="0" w:line="229"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that its director nominations be made, or recommended to the full board of directors, by its independent directors or by a nominations committee that is comprised entirely of independent directors and that it adopt a written charter or board resolution addressing the nominations process; and</w:t>
      </w:r>
    </w:p>
    <w:p>
      <w:pPr>
        <w:spacing w:after="0" w:line="1" w:lineRule="exact"/>
        <w:rPr>
          <w:rFonts w:ascii="Arial" w:cs="Arial" w:eastAsia="Arial" w:hAnsi="Arial"/>
          <w:sz w:val="18"/>
          <w:szCs w:val="18"/>
          <w:color w:val="auto"/>
        </w:rPr>
      </w:pPr>
    </w:p>
    <w:p>
      <w:pPr>
        <w:ind w:left="660" w:hanging="328"/>
        <w:spacing w:after="0" w:line="24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 that it have a compensation committee that is composed entirely of independent directors with a written charter addressing the committee’s purpose and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49" w:name="page50"/>
    <w:bookmarkEnd w:id="49"/>
    <w:p>
      <w:pPr>
        <w:jc w:val="both"/>
        <w:spacing w:after="0" w:line="241" w:lineRule="auto"/>
        <w:rPr>
          <w:sz w:val="20"/>
          <w:szCs w:val="20"/>
          <w:color w:val="auto"/>
        </w:rPr>
      </w:pPr>
      <w:r>
        <w:rPr>
          <w:rFonts w:ascii="Arial" w:cs="Arial" w:eastAsia="Arial" w:hAnsi="Arial"/>
          <w:sz w:val="18"/>
          <w:szCs w:val="18"/>
          <w:color w:val="auto"/>
        </w:rPr>
        <w:t>We do not intend to rely on all of these exemptions. However, as long as we remain a “controlled company,” we may elect in the future to take advantage of any of these exemptions. As a result of any such election, our board of directors would not have a majority of independent directors, our compensation committee would not consist entirely of independent directors and our directors would not be nominated or selected by independent directors. Accordingly, you do not have the same protections afforded to stockholders of companies that are subject to all of the corporate governance requirements of the rules of The Nasdaq Stock Market.</w:t>
      </w:r>
    </w:p>
    <w:p>
      <w:pPr>
        <w:spacing w:after="0" w:line="21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they publish negative reports about our business, our share price and trading volume could decline.</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trading market for our common stock depends in part on the research and reports that securities or industry analysts publish about us or our business, our market and our competitors. We do not have any control over these analysts. If one or more of the analysts who cover us downgrade our shares or publish negative views on us or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8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b w:val="1"/>
          <w:bCs w:val="1"/>
          <w:i w:val="1"/>
          <w:iCs w:val="1"/>
          <w:color w:val="auto"/>
        </w:rPr>
        <w:t>We are an “emerging growth company” and our compliance with the reduced reporting and disclosure requirements applicable to “emerging growth companies” may make our common stock less attractive to investors.</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are an “emerging growth company,” as defined in the JOBS Act, and we have elected to take advantage of certain exemptions and relief from various reporting requirements that are applicable to other public companies that are not “emerging growth companies.” These provisions include, but are not limited to: being exempt from compliance with the auditor attestation requirements of Section 404(b) of the Sarbanes-Oxley Act; being exempt from any rules that could be adopted by the Public Company Accounting Oversight Board requiring mandatory audit firm rotations or a supplement to the auditor’s report on financial statements; being subject to reduced disclosure obligations regarding executive compensation in our periodic reports and proxy statements; and not being required to hold nonbinding advisory votes on executive compensation or on any golden parachute payments not previously approved.</w:t>
      </w:r>
    </w:p>
    <w:p>
      <w:pPr>
        <w:spacing w:after="0" w:line="20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In addition, while we are an “emerging growth company,” we will not be required to comply with any new financial accounting standard until such standard is generally applicable to private companies. As a result, our financial statements may not be comparable to companies that are not “emerging growth companies” or elect not to avail themselves of this provision.</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may remain an “emerging growth company” until as late as December 31, 2026, the fiscal year-end following the fifth anniversary of the completion of our initial public offering, though we may cease to be an “emerging growth company” earlier under certain circumstances, including if (i) we have more than $1.235 billion in annual revenue in any fiscal year, (ii) we become a “large accelerated filer,” with at least $700 million of equity securities held by non-affiliates as of the end of the second quarter of that fiscal year or (iii) we issue more than $1.0 billion of non-convertible debt over a three-year period. The exact implications of the JOBS Act are still subject to interpretations and guidance by the SEC and other regulatory agencies, and we cannot assure you that we will be able to take advantage of all of the benefits of the JOBS Act. In addition, investors may find our common stock less attractive to the extent we rely on the exemptions and relief granted by the JOBS Act. If some investors find our common stock less attractive as a result, there may be a less active trading market for our common stock and our stock price may decline or become more volatile.</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new compliance initiatives.</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The Nasdaq Stock Market to implement provisions of the Sarbanes-Oxley Act, impose significant requirements on public companies, including requiring establishment and maintenance of effective disclosure and financial controls and changes in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0" w:name="page51"/>
    <w:bookmarkEnd w:id="50"/>
    <w:p>
      <w:pPr>
        <w:jc w:val="both"/>
        <w:spacing w:after="0" w:line="236" w:lineRule="auto"/>
        <w:rPr>
          <w:sz w:val="20"/>
          <w:szCs w:val="20"/>
          <w:color w:val="auto"/>
        </w:rPr>
      </w:pPr>
      <w:r>
        <w:rPr>
          <w:rFonts w:ascii="Arial" w:cs="Arial" w:eastAsia="Arial" w:hAnsi="Arial"/>
          <w:sz w:val="18"/>
          <w:szCs w:val="18"/>
          <w:color w:val="auto"/>
        </w:rPr>
        <w:t>governance practices. Further, in July 2010, the Dodd-Frank Wall Street Reform and Consumer Protection Act (the “Dodd-Frank Act”) was enacted. There are significant corporate governance and executive compensation related provisions in the Dodd-Frank Act that require the SEC to adopt additional rules and regulations in these areas such as “say on pay” and proxy access. Emerging growth companies are permitted to implement many of these requirements over a longer period and up to five years from the IPO. We intend to take advantage of this legislation for as long as we are permitted to do so. Once we become required to implement these requirements, we will incur additional compliance-related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expect the rules and regulations applicable to public companies to continue to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adversely impact our net income or net loss, and may require us to reduce costs in other areas of our business or increase the prices of our solutions or services. For example, these rules and regulations have made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0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In addition, public company reporting and disclosure obligations may lead to threatened or actual litigation from time to time. If such claims are successful, our business, operating results and financial condition may be adversely affected, and even if the claims do not result in litigation or are resolved in our favor, these claims, and the time and resources necessary to resolve them and the diversion of management resources, could adversely affect our business, operating results and financial condition.</w:t>
      </w:r>
    </w:p>
    <w:p>
      <w:pPr>
        <w:spacing w:after="0" w:line="201" w:lineRule="exact"/>
        <w:rPr>
          <w:sz w:val="20"/>
          <w:szCs w:val="20"/>
          <w:color w:val="auto"/>
        </w:rPr>
      </w:pPr>
    </w:p>
    <w:p>
      <w:pPr>
        <w:jc w:val="both"/>
        <w:spacing w:after="0" w:line="248" w:lineRule="auto"/>
        <w:rPr>
          <w:sz w:val="20"/>
          <w:szCs w:val="20"/>
          <w:color w:val="auto"/>
        </w:rPr>
      </w:pPr>
      <w:r>
        <w:rPr>
          <w:rFonts w:ascii="Arial" w:cs="Arial" w:eastAsia="Arial" w:hAnsi="Arial"/>
          <w:sz w:val="18"/>
          <w:szCs w:val="18"/>
          <w:b w:val="1"/>
          <w:bCs w:val="1"/>
          <w:i w:val="1"/>
          <w:iCs w:val="1"/>
          <w:color w:val="auto"/>
        </w:rPr>
        <w:t>Delaware law and provisions in our amended and restated certificate of incorporation and amended and restated bylaws could make a merger, tender offer or proxy contest more difficult, limit attempts by our stockholders to replace or remove our current management and limit the market price of our common stock.</w:t>
      </w:r>
    </w:p>
    <w:p>
      <w:pPr>
        <w:spacing w:after="0" w:line="20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Certain provisions in our amended and restated certificate of incorporation and amended and restated bylaws contain provisions that may make the acquisition of our company more difficult, including the following:</w:t>
      </w:r>
    </w:p>
    <w:p>
      <w:pPr>
        <w:spacing w:after="0" w:line="198" w:lineRule="exact"/>
        <w:rPr>
          <w:sz w:val="20"/>
          <w:szCs w:val="20"/>
          <w:color w:val="auto"/>
        </w:rPr>
      </w:pPr>
    </w:p>
    <w:p>
      <w:pPr>
        <w:ind w:left="660" w:hanging="328"/>
        <w:spacing w:after="0" w:line="244"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amendments to certain provisions of our amended and restated certificate of incorporation or amendments to our amended and restated bylaws generally require the approval of at least 66 2/3% of the voting power of our outstanding capital stock;</w:t>
      </w:r>
    </w:p>
    <w:p>
      <w:pPr>
        <w:ind w:left="660" w:hanging="328"/>
        <w:spacing w:after="0" w:line="23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staggered board;</w:t>
      </w:r>
    </w:p>
    <w:p>
      <w:pPr>
        <w:jc w:val="both"/>
        <w:ind w:left="660" w:hanging="328"/>
        <w:spacing w:after="0" w:line="248" w:lineRule="auto"/>
        <w:tabs>
          <w:tab w:leader="none" w:pos="655" w:val="left"/>
        </w:tabs>
        <w:numPr>
          <w:ilvl w:val="0"/>
          <w:numId w:val="32"/>
        </w:numPr>
        <w:rPr>
          <w:rFonts w:ascii="Arial" w:cs="Arial" w:eastAsia="Arial" w:hAnsi="Arial"/>
          <w:sz w:val="17"/>
          <w:szCs w:val="17"/>
          <w:color w:val="auto"/>
        </w:rPr>
      </w:pPr>
      <w:r>
        <w:rPr>
          <w:rFonts w:ascii="Arial" w:cs="Arial" w:eastAsia="Arial" w:hAnsi="Arial"/>
          <w:sz w:val="17"/>
          <w:szCs w:val="17"/>
          <w:color w:val="auto"/>
        </w:rPr>
        <w:t>at any time when the parties to our sponsor stockholders agreement beneficially own, in the aggregate, at least a majority of the voting power of our outstanding capital stock, our stockholders may take action by consent without a meeting, and at any time when the parties to our sponsor stockholders agreement beneficially own, in the aggregate, less than the majority of the voting power of our outstanding capital stock, our stockholders may not take action by written consent, but may only take action at a meeting of stockholders;</w:t>
      </w:r>
    </w:p>
    <w:p>
      <w:pPr>
        <w:spacing w:after="0" w:line="2" w:lineRule="exact"/>
        <w:rPr>
          <w:rFonts w:ascii="Arial" w:cs="Arial" w:eastAsia="Arial" w:hAnsi="Arial"/>
          <w:sz w:val="17"/>
          <w:szCs w:val="17"/>
          <w:color w:val="auto"/>
        </w:rPr>
      </w:pPr>
    </w:p>
    <w:p>
      <w:pPr>
        <w:ind w:left="660" w:hanging="328"/>
        <w:spacing w:after="0" w:line="21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does not provide for cumulative voting;</w:t>
      </w:r>
    </w:p>
    <w:p>
      <w:pPr>
        <w:ind w:left="660" w:hanging="328"/>
        <w:spacing w:after="0" w:line="234"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vacancies on our board of directors may be filled only by our board of directors and not by stockholders, subject to the rights granted pursuant to the stockholders agreements;</w:t>
      </w:r>
    </w:p>
    <w:p>
      <w:pPr>
        <w:spacing w:after="0" w:line="1" w:lineRule="exact"/>
        <w:rPr>
          <w:rFonts w:ascii="Arial" w:cs="Arial" w:eastAsia="Arial" w:hAnsi="Arial"/>
          <w:sz w:val="18"/>
          <w:szCs w:val="18"/>
          <w:color w:val="auto"/>
        </w:rPr>
      </w:pPr>
    </w:p>
    <w:p>
      <w:pPr>
        <w:ind w:left="660" w:hanging="328"/>
        <w:spacing w:after="0" w:line="234"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special meeting of our stockholders may only be called by the chairperson of our board of directors, our Chief Executive Officer or a majority of our board of directors;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unless we otherwise consent in writing, restrict the forum for certain litigation against us to Delaware or the federal courts, as applicable;</w:t>
      </w:r>
    </w:p>
    <w:p>
      <w:pPr>
        <w:spacing w:after="0" w:line="7" w:lineRule="exact"/>
        <w:rPr>
          <w:rFonts w:ascii="Arial" w:cs="Arial" w:eastAsia="Arial" w:hAnsi="Arial"/>
          <w:sz w:val="17"/>
          <w:szCs w:val="17"/>
          <w:color w:val="auto"/>
        </w:rPr>
      </w:pPr>
    </w:p>
    <w:p>
      <w:pPr>
        <w:ind w:left="660" w:right="20" w:hanging="328"/>
        <w:spacing w:after="0" w:line="234"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board of directors has the authority to issue shares of undesignated preferred stock, the terms of which may be established and shares of which may be issued without further action by our stockholders; and</w:t>
      </w:r>
    </w:p>
    <w:p>
      <w:pPr>
        <w:spacing w:after="0" w:line="1" w:lineRule="exact"/>
        <w:rPr>
          <w:rFonts w:ascii="Arial" w:cs="Arial" w:eastAsia="Arial" w:hAnsi="Arial"/>
          <w:sz w:val="18"/>
          <w:szCs w:val="18"/>
          <w:color w:val="auto"/>
        </w:rPr>
      </w:pPr>
    </w:p>
    <w:p>
      <w:pPr>
        <w:jc w:val="both"/>
        <w:ind w:left="660" w:hanging="328"/>
        <w:spacing w:after="0" w:line="239"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 notice procedures apply for stockholders (other than the parties to our stockholders agreements for nominations made pursuant to the terms of the stockholders agreements) to nominate candidates for election as directors or to bring matters before an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7"/>
          <w:szCs w:val="17"/>
          <w:color w:val="auto"/>
        </w:rPr>
        <w:t>In addition, we have opted out of Section 203 of the Delaware General Corporation Law, but our amended and restated certificate of incorporation provides that engaging in any of a broad range of business combinations with any “interested stockholder” (generally defined as any person who, together with that person’s affiliates and associates, owns, 15% or more of our outstanding voting stock) for a period of three years following the date on which the stockholder became an “interested stockholder” is prohibited, provided, however, that, under our amended and restated certificate of incorporation, the parties to our sponsor stockholders agreement and their respective affiliates will not be deemed to be interested stockholders regardless of the percentage of our outstanding voting stock owned by them, and accordingly will not be subject to such restrictions.</w:t>
      </w:r>
    </w:p>
    <w:p>
      <w:pPr>
        <w:spacing w:after="0" w:line="18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These provisions, alone or together,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common stock, and could also affect the price that some investors are willing to pay for our common stock.</w:t>
      </w:r>
    </w:p>
    <w:p>
      <w:pPr>
        <w:spacing w:after="0" w:line="199" w:lineRule="exact"/>
        <w:rPr>
          <w:sz w:val="20"/>
          <w:szCs w:val="20"/>
          <w:color w:val="auto"/>
        </w:rPr>
      </w:pPr>
    </w:p>
    <w:p>
      <w:pPr>
        <w:jc w:val="both"/>
        <w:ind w:right="20"/>
        <w:spacing w:after="0" w:line="291"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provided that the doctrine of “corporate opportunity” does not apply with respect to certain parties to our stockholders agreements and any director or stockholder who is not employed by us or our subsidiaries.</w:t>
      </w:r>
    </w:p>
    <w:p>
      <w:pPr>
        <w:spacing w:after="0" w:line="17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doctrine of corporate opportunity generally provides that a corporate fiduciary may not develop an opportunity using corporate resources, acquire an interest adverse to that of the corporation or acquire property that is reasonably incident to the present or prospective business of the corporation or in which the corporation has a present or expectancy interest, unless that opportunity is first presented to the corporation and the corporation chooses not to pursue that opportunity. The doctrine of corporate opportunity is intended to preclude officers or directors or other fiduciaries from personally benefiting from opportunities that belong to the corporation. Pursuant to our amended and restated certificate of incorporation, we renounce, to the fullest extent permitted by law and in accordance with Section 122(17) of the Delaware General Corporation Law all interest and expectancy that we otherwise would be entitled to have in, and all rights to be offered an opportunity to participate in, any opportunity that may be presented to Providence Strategic Growth, Silver Lake or their affiliates (other than us and our subsidiaries), and any of their respective principals, members, directors, partners, stockholders, officers, employees or other representatives (other than any such person who is also our employee or an employee of our subsidiaries), or any director or stockholder who is not employed by us or our subsidiaries. Providence Strategic Growth and Silver Lake or their affiliates and any director or stockholder who is not employed by us or our subsidiaries, therefore, have no duty to communicate or present corporate opportunities to us, and have the right to either hold any corporate opportunity for their (and their affiliates’) own account and benefit or to recommend, assign or otherwise transfer such corporate opportunity to persons other than us, including to any director or stockholder who is not employed by us or our subsidiaries. As a result, certain of our stockholders, directors and their respective affiliates are not prohibited from operating or investing in competing businesses. We, therefore, may find ourselves in competition with certain of our stockholders, directors or their respective affiliates, and we may not have knowledge of, or be able to pursue, transactions that could potentially be beneficial to us. Accordingly, we may lose a corporate opportunity or suffer competitive harm, which could negatively impact our business, operating results and financial condition.</w:t>
      </w:r>
    </w:p>
    <w:p>
      <w:pPr>
        <w:spacing w:after="0" w:line="21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provided that the Court of Chancery of the State of Delaware is the sole and exclusive forum for certain stockholder litigation matters and the federal district courts of the United States is the exclusive forum for the resolution of any complaint asserting a cause of action arising under the Securities Act, which could limit our stockholders’ ability to obtain a favorable judicial forum for disputes with us or our directors, officers, employees or stockholders.</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Our amended and restated certificate of incorporation provides that, unless we otherwise consent in writing, (A) (i) any derivative action or proceeding brought on behalf of the Company, (ii) any action asserting a claim of breach of a fiduciary duty owed by any current or former director, officer, other employee or stockholder of the Company to the Company or the Company’s stockholders, (iii) any action asserting a claim arising pursuant to any provision of the Delaware General Corporation Law, our amended and restated certificate of incorporation or our amended and restated bylaws (as either may be amended or restated) or as to which the Delaware General Corporation Law confers exclusive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52" w:name="page53"/>
    <w:bookmarkEnd w:id="52"/>
    <w:p>
      <w:pPr>
        <w:jc w:val="both"/>
        <w:spacing w:after="0" w:line="236" w:lineRule="auto"/>
        <w:rPr>
          <w:sz w:val="20"/>
          <w:szCs w:val="20"/>
          <w:color w:val="auto"/>
        </w:rPr>
      </w:pPr>
      <w:r>
        <w:rPr>
          <w:rFonts w:ascii="Arial" w:cs="Arial" w:eastAsia="Arial" w:hAnsi="Arial"/>
          <w:sz w:val="18"/>
          <w:szCs w:val="18"/>
          <w:color w:val="auto"/>
        </w:rPr>
        <w:t>matter jurisdiction thereof, the federal district court of the State of Delaware; and (B) the federal district courts of the United States shall be the exclusive forum for the resolution of any complaint asserting a cause of action arising under the Securities Act. Section 22 of the Securities Act creates concurrent jurisdiction for federal and state courts over all claims brought to enforce any duty or liability created by the Securities Act or the rules and regulations thereunder.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22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Notwithstanding the foregoing, the exclusive forum provision does not apply to claims seeking to enforce any liability or duty created by the Exchange Act. 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federal court.</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choice of forum provision in our amended and restated certificate of incorporation may limit a stockholder’s ability to bring a claim in a judicial forum that it finds favorable for disputes with us or our directors, officers or other employees, which may discourage such lawsuits against us and our directors, officers and other employees, although our stockholders will not be deemed to have waived our compliance with federal securities laws and the rules and regulations thereunder.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results of operations and financial condition. Any person or entity purchasing or otherwise acquiring or holding any interest in shares of our capital stock shall be deemed to have notice of and consented to the forum provisions in our amended and restated certificate of incorporation.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Because we maintain and may expand our business that is located outside of the United States, our business is susceptible to risks associated with international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We maintain operations outside of the United States, including in Canada, the UK, Australia, Jordan and New Zealand, which we may expand in the future.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Conducting and expanding international operations subjects us to new risks that we have not generally faced in the United States. These include:</w:t>
      </w:r>
    </w:p>
    <w:p>
      <w:pPr>
        <w:spacing w:after="0" w:line="234"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exposure to foreign currency exchange rate risk;</w:t>
      </w:r>
    </w:p>
    <w:p>
      <w:pPr>
        <w:spacing w:after="0" w:line="1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difficulties in collecting payments internationally, and managing and staffing international operations;</w:t>
      </w: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establishing relationships with employees, independent contractors, subcontractors and suppliers in international locations;</w:t>
      </w: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increased travel, infrastructure and legal compliance costs associated with international locations;</w:t>
      </w:r>
    </w:p>
    <w:p>
      <w:pPr>
        <w:ind w:left="660" w:hanging="328"/>
        <w:spacing w:after="0" w:line="234"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burdens of complying with a wide variety of laws associated with international operations, including data privacy and security, taxes and customs;</w:t>
      </w:r>
    </w:p>
    <w:p>
      <w:pPr>
        <w:spacing w:after="0" w:line="1" w:lineRule="exact"/>
        <w:rPr>
          <w:rFonts w:ascii="Arial" w:cs="Arial" w:eastAsia="Arial" w:hAnsi="Arial"/>
          <w:sz w:val="18"/>
          <w:szCs w:val="18"/>
          <w:color w:val="auto"/>
        </w:rPr>
      </w:pP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fines, penalties and collateral consequences if we fail to comply with anti-bribery laws;</w:t>
      </w:r>
    </w:p>
    <w:p>
      <w:pPr>
        <w:ind w:left="660" w:hanging="328"/>
        <w:spacing w:after="0" w:line="21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heightened risk of improper, unfair or corrupt business practices in certain geographies;</w:t>
      </w: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potentially adverse tax consequences, including in connection with repatriation of earnings;</w:t>
      </w: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increased financial accounting and reporting burdens and complexities;</w:t>
      </w:r>
    </w:p>
    <w:p>
      <w:pPr>
        <w:ind w:left="660" w:hanging="328"/>
        <w:spacing w:after="0" w:line="23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political, social and economic instability abroad, terrorist attacks and security concerns in general; and</w:t>
      </w: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reduced or varied protection for intellectual property rights in some countries.</w:t>
      </w:r>
    </w:p>
    <w:p>
      <w:pPr>
        <w:spacing w:after="0" w:line="22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utilize and may in the future increase our utilization of independent contractors in a number of jurisdictions in which we operate, including India, Russia and Ukraine. We currently depend on these independent contractors for certain software development activities. Our dependence on third-party contractors creates a number of risks, in particular, the risk that we may not maintain development quality, control, or effective management with respect to these business operations. In addition, poor relations between the United States and Russia, sanctions by the United States and the EU against Russia, ongoing conflict in Ukraine or the spreading or escalation of political tensions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3" w:name="page54"/>
    <w:bookmarkEnd w:id="53"/>
    <w:p>
      <w:pPr>
        <w:jc w:val="both"/>
        <w:spacing w:after="0" w:line="284" w:lineRule="auto"/>
        <w:rPr>
          <w:sz w:val="20"/>
          <w:szCs w:val="20"/>
          <w:color w:val="auto"/>
        </w:rPr>
      </w:pPr>
      <w:r>
        <w:rPr>
          <w:rFonts w:ascii="Arial" w:cs="Arial" w:eastAsia="Arial" w:hAnsi="Arial"/>
          <w:sz w:val="16"/>
          <w:szCs w:val="16"/>
          <w:color w:val="auto"/>
        </w:rPr>
        <w:t>economic instability in surrounding areas could have an adverse impact on our third-party software development in Russia and Ukraine. In particular, increased tensions among the United States, the North Atlantic Treaty Organization and Russia, including the invasion of Ukraine by Russia, could increase the threat of armed conflict, cyberwarfare and economic instability that could disrupt or delay the operations of our resources in Russia and Ukraine, disrupt or delay our communications with such resources or the flow of funds to support their operations, or otherwise render our resources unavailable.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accounting rules, assumptions and/or judgments could materially and adversely affect us.</w:t>
      </w:r>
    </w:p>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Accounting rules and interpretations for certain aspects of our operations are highly complex and involve significant assumptions and judgment. These complexities could lead to a delay in the preparation and dissemination of our financial statements. Furthermore, changes in accounting rules and interpretations or in our accounting assumptions and/or judgments could significantly impact our financial statements. In some cases, we could be required to apply a new or revised standard retroactively, resulting in restating prior period financial statements. Any of these circumstances could have a material adverse effect on our business, prospects, liquidity,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and the outcomes of such litigation could negatively impact our future financial condition and results of operations.</w:t>
      </w:r>
    </w:p>
    <w:p>
      <w:pPr>
        <w:spacing w:after="0" w:line="239"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ordinary course of our business, we are, from time to time, subject to various litigation and legal proceedings. As a public company, we may be subject to proceedings across a variety of matters, including matters involving stockholder class actions, tax audits, unclaimed property audits and related matters, employment and others. The outcome of litigation and other legal proceedings and the magnitude of potential losses therefrom, particularly class action lawsuits and regulatory actions, is difficult to assess or quantify. Significant legal proceedings, if decided adversely to us or settled by us, may require changes to our business operations that negatively impact our operating results or involve significant liability awards that impact our financial condition. The cost to defend litigation may be significant. As a result, legal proceedings may adversely affect our business, financial condition, results of operations or liquidity.</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We may be subject to additional tax liabilities in connection with our operations or due to future legislation, each of which could materially impact our financial position and results of operation.</w:t>
      </w:r>
    </w:p>
    <w:p>
      <w:pPr>
        <w:spacing w:after="0" w:line="18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We are subject to federal and state income, sales, use, value added and other taxes in the United States and other countries in which we conduct business, and such laws and rates vary by jurisdiction. We do not collect sales and use, value added and similar taxes in all jurisdictions in which we have sales, based on our belief that such taxes are not applicable. Certain jurisdictions in which we do not collect sales, use, value added or other taxes on our sales may assert that such taxes are applicable, which could result in tax assessments, penalties and interest, and we may be required to collect such taxes in the future. There is also uncertainty over sales tax liability as a result of the U.S. Supreme Court’s decision in </w:t>
      </w:r>
      <w:r>
        <w:rPr>
          <w:rFonts w:ascii="Arial" w:cs="Arial" w:eastAsia="Arial" w:hAnsi="Arial"/>
          <w:sz w:val="17"/>
          <w:szCs w:val="17"/>
          <w:i w:val="1"/>
          <w:iCs w:val="1"/>
          <w:color w:val="auto"/>
        </w:rPr>
        <w:t>South Dakota v. Wayfair, Inc.</w:t>
      </w:r>
      <w:r>
        <w:rPr>
          <w:rFonts w:ascii="Arial" w:cs="Arial" w:eastAsia="Arial" w:hAnsi="Arial"/>
          <w:sz w:val="17"/>
          <w:szCs w:val="17"/>
          <w:color w:val="auto"/>
        </w:rPr>
        <w:t xml:space="preserve">, which held that states could impose sales tax collection obligations on out-of-state sellers even if those sellers lack any physical presence within the states imposing the sales taxes. Under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a person requires only a “substantial nexus” with the taxing state before the state may subject the person to sales tax collection obligations therein. An increasing number of states (both before and after the publication of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have considered or adopted laws that attempt to impose sales tax collection obligations on out-of-state sellers. The Supreme Court’s </w:t>
      </w:r>
      <w:r>
        <w:rPr>
          <w:rFonts w:ascii="Arial" w:cs="Arial" w:eastAsia="Arial" w:hAnsi="Arial"/>
          <w:sz w:val="17"/>
          <w:szCs w:val="17"/>
          <w:i w:val="1"/>
          <w:iCs w:val="1"/>
          <w:color w:val="auto"/>
        </w:rPr>
        <w:t>Wayfair</w:t>
      </w:r>
      <w:r>
        <w:rPr>
          <w:rFonts w:ascii="Arial" w:cs="Arial" w:eastAsia="Arial" w:hAnsi="Arial"/>
          <w:sz w:val="17"/>
          <w:szCs w:val="17"/>
          <w:color w:val="auto"/>
        </w:rPr>
        <w:t xml:space="preserve"> decision has removed a significant impediment to the enactment and enforcement of these laws, and it is possible that states may seek to tax out-of-state sellers on sales that occurred in prior tax years. Similarly, non-U.S. jurisdictions have imposed or proposed digital services taxes, including in connection with the Organization for Economic Co-Operation and Development’s (“OECD”) Base Erosion and Profit Shifting (“BEPS”) Project. These taxes, whether imposed unilaterally by non-U.S. jurisdictions or in response to multilateral measures (e.g., the “BEPS Project”), could result in taxation of companies that have customers in a particular jurisdiction but do not operate there through a permanent establishment. Changes to tax law or administration such as these, whether at the state level or the international level, could increase our tax administrative costs and tax risk and negatively affect our overall business, results of operations, financial condition and cash flows.</w:t>
      </w:r>
    </w:p>
    <w:p>
      <w:pPr>
        <w:spacing w:after="0" w:line="2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Although we believe our tax practices and provisions are reasonable, the final determination of tax audits and any related litigation could be materially different from our historical tax practices, provisions and accruals. If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4" w:name="page55"/>
    <w:bookmarkEnd w:id="54"/>
    <w:p>
      <w:pPr>
        <w:jc w:val="both"/>
        <w:spacing w:after="0" w:line="251" w:lineRule="auto"/>
        <w:rPr>
          <w:sz w:val="20"/>
          <w:szCs w:val="20"/>
          <w:color w:val="auto"/>
        </w:rPr>
      </w:pPr>
      <w:r>
        <w:rPr>
          <w:rFonts w:ascii="Arial" w:cs="Arial" w:eastAsia="Arial" w:hAnsi="Arial"/>
          <w:sz w:val="17"/>
          <w:szCs w:val="17"/>
          <w:color w:val="auto"/>
        </w:rPr>
        <w:t>receive an adverse ruling as a result of an audit, or we unilaterally determine that we have misinterpreted provisions of the tax regulations to which we are subject, there could be a material effect on our tax provision, net income or cash flows in the period or periods for which that determination is made, which could materially impact our financial results. In addition, liabilities associated with taxes are often subject to an extended or indefinite statute of limitations period. Therefore, we may be subject to additional tax liability (including penalties and interest) for a particular year for extended periods of time. Further, any changes in the taxation of our activities, may increase our effective tax rate and adversely affect our financial position and results of operations. For example, the United States government may enact significant changes to the taxation of business entities (such as the recent United States Inflation Reduction Act which, among other changes, introduced a 15% corporate minimum tax on certain United States corporations and a 1% excise tax on certain stock redemptions by United States corporations). We are unable to predict what tax reforms may be proposed or enacted in the future or what effect such changes would on our business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currently intend to retain any future earnings to finance the operation and expansion of our business and we do not expect to declare or pay any dividends in the foreseeable future. Moreover, the terms of our existing Credit Agreement, and the expected terms of our Credit Facilities, restrict our ability to pay dividends, and any additional debt we may incur in the future may include similar restrictions. In addition, Delaware law may impose requirements that may restrict our ability to pay dividends to holders of our common stock. As a result, stockholders must rely on sales of their common stock after price appreciation as the only way to realize any future gains on their investment.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primarily depend on our subsidiaries for cash to fund operations and expenses, including future dividend payments, if any.</w:t>
      </w:r>
    </w:p>
    <w:p>
      <w:pPr>
        <w:spacing w:after="0" w:line="239"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do not conduct significant business operations of our own. As a result, we are largely dependent upon cash distributions and other transfers from our subsidiaries to meet our obligations and to make future dividend payments, if any. We do not currently expect to declare or pay dividends on our common stock for the foreseeable future; however, the agreements governing the indebtedness of our subsidiaries impose restrictions on our subsidiaries’ ability to pay dividends or other distributions to us. See Part I, Item 2, “</w:t>
      </w:r>
      <w:r>
        <w:rPr>
          <w:rFonts w:ascii="Arial" w:cs="Arial" w:eastAsia="Arial" w:hAnsi="Arial"/>
          <w:sz w:val="17"/>
          <w:szCs w:val="17"/>
          <w:i w:val="1"/>
          <w:iCs w:val="1"/>
          <w:color w:val="auto"/>
        </w:rPr>
        <w:t>Management’s Discussion and Analysis of Financial Condition and Results of Operations-Liquidity and Capital Resources in this Annual Report on Form 10-K</w:t>
      </w:r>
      <w:r>
        <w:rPr>
          <w:rFonts w:ascii="Arial" w:cs="Arial" w:eastAsia="Arial" w:hAnsi="Arial"/>
          <w:sz w:val="17"/>
          <w:szCs w:val="17"/>
          <w:color w:val="auto"/>
        </w:rPr>
        <w:t>.” The deterioration of the earnings from, or other available assets of, our subsidiaries</w:t>
      </w:r>
      <w:r>
        <w:rPr>
          <w:rFonts w:ascii="Arial" w:cs="Arial" w:eastAsia="Arial" w:hAnsi="Arial"/>
          <w:sz w:val="17"/>
          <w:szCs w:val="17"/>
          <w:i w:val="1"/>
          <w:iCs w:val="1"/>
          <w:color w:val="auto"/>
        </w:rPr>
        <w:t xml:space="preserve"> </w:t>
      </w:r>
      <w:r>
        <w:rPr>
          <w:rFonts w:ascii="Arial" w:cs="Arial" w:eastAsia="Arial" w:hAnsi="Arial"/>
          <w:sz w:val="17"/>
          <w:szCs w:val="17"/>
          <w:color w:val="auto"/>
        </w:rPr>
        <w:t>for any reason could impair their ability to make distributions to us.</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global corporate headquarters is located in Denver, Colorado. In February 2020, we moved into a new office for the corporate headquarters under a sublease agreement for 50,125 square feet of office space in Denver under a lease expiring in 2031, with an option to extend the lease for an additional five years.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maintain 22 additional office locations throughout the United States, three offices in Canada, two offices in the United Kingdom, two offices in New Zealand and one office in Jordan. We lease all of our facilities and do not own any real property.</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believe that these facilities are sufficient for our current needs and that additional space will be available to accommodate the expansion of our businesses should they be needed. Additionally, we also often take on leases when we acquire businesses, and we look to optimize our overall lease footprint in conjunction with any new leases assumed in an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55" w:name="page56"/>
    <w:bookmarkEnd w:id="55"/>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from time to time subject to various legal proceedings, claims and governmental inspections, audits, or investigations that arise in the ordinary course of our business. We believe that the ultimate resolution of these matters would not be expected to have a material adverse effect on our business, financial condition or operating results.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93" w:lineRule="exact"/>
        <w:rPr>
          <w:sz w:val="20"/>
          <w:szCs w:val="20"/>
          <w:color w:val="auto"/>
        </w:rPr>
      </w:pPr>
    </w:p>
    <w:p>
      <w:pPr>
        <w:ind w:right="1980"/>
        <w:spacing w:after="0" w:line="464"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rPr>
          <w:sz w:val="20"/>
          <w:szCs w:val="20"/>
          <w:color w:val="auto"/>
        </w:rPr>
      </w:pPr>
      <w:r>
        <w:rPr>
          <w:rFonts w:ascii="Arial" w:cs="Arial" w:eastAsia="Arial" w:hAnsi="Arial"/>
          <w:sz w:val="18"/>
          <w:szCs w:val="18"/>
          <w:color w:val="auto"/>
        </w:rPr>
        <w:t>Our common stock trades on the Nasdaq Global Select Market under the symbol “EVCM.”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As of March 10, 2023, there were 77 registered holders of record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have never declared or paid any cash dividends on our capital stock, and we do not currently intend to pay any cash dividends in the foreseeable future. We expect to retain future earnings, if any, to fund the development and growth of our business. Any decision to declare and pay dividends in the future will be made at the discretion of our Board and will depend on, among other things, our results of operations, financial condition, cash requirements, contractual restrictions and other factors that our Board may deem relevant. In addition, our ability to pay dividends is, and may be, limited by covenants of existing and any future outstanding indebtedness we or our subsidiaries incur, including under our Credit Facilities (as defined below).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or Affiliated Purchaser</w:t>
      </w:r>
    </w:p>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quarter ended December 31, 2022, we repurchased $21.1 million in shares of our common stock under our stock repurchase program, including transaction fees. The stock repurchase activity under our stock repurchase program during the quarter ended December 31, 2022 was as follows:</w:t>
      </w:r>
    </w:p>
    <w:p>
      <w:pPr>
        <w:sectPr>
          <w:pgSz w:w="11900" w:h="16838" w:orient="portrait"/>
          <w:cols w:equalWidth="0" w:num="1">
            <w:col w:w="11240"/>
          </w:cols>
          <w:pgMar w:left="320" w:top="1440" w:right="339" w:bottom="1440" w:gutter="0" w:footer="0" w:header="0"/>
        </w:sectPr>
      </w:pPr>
    </w:p>
    <w:p>
      <w:pPr>
        <w:spacing w:after="0" w:line="336" w:lineRule="exact"/>
        <w:rPr>
          <w:sz w:val="20"/>
          <w:szCs w:val="20"/>
          <w:color w:val="auto"/>
        </w:rPr>
      </w:pPr>
    </w:p>
    <w:tbl>
      <w:tblPr>
        <w:tblLayout w:type="fixed"/>
        <w:tblInd w:w="4380" w:type="dxa"/>
        <w:tblCellMar>
          <w:top w:w="0" w:type="dxa"/>
          <w:left w:w="0" w:type="dxa"/>
          <w:bottom w:w="0" w:type="dxa"/>
          <w:right w:w="0" w:type="dxa"/>
        </w:tblCellMar>
      </w:tblPr>
      <w:tr>
        <w:trPr>
          <w:trHeight w:val="203"/>
        </w:trPr>
        <w:tc>
          <w:tcPr>
            <w:tcW w:w="1360" w:type="dxa"/>
            <w:vAlign w:val="bottom"/>
          </w:tcPr>
          <w:p>
            <w:pPr>
              <w:spacing w:after="0"/>
              <w:rPr>
                <w:sz w:val="17"/>
                <w:szCs w:val="17"/>
                <w:color w:val="auto"/>
              </w:rPr>
            </w:pPr>
          </w:p>
        </w:tc>
        <w:tc>
          <w:tcPr>
            <w:tcW w:w="880" w:type="dxa"/>
            <w:vAlign w:val="bottom"/>
          </w:tcPr>
          <w:p>
            <w:pPr>
              <w:jc w:val="center"/>
              <w:ind w:left="115"/>
              <w:spacing w:after="0"/>
              <w:rPr>
                <w:sz w:val="20"/>
                <w:szCs w:val="20"/>
                <w:color w:val="auto"/>
              </w:rPr>
            </w:pPr>
            <w:r>
              <w:rPr>
                <w:rFonts w:ascii="Arial" w:cs="Arial" w:eastAsia="Arial" w:hAnsi="Arial"/>
                <w:sz w:val="17"/>
                <w:szCs w:val="17"/>
                <w:color w:val="auto"/>
                <w:w w:val="88"/>
              </w:rPr>
              <w:t>Average</w:t>
            </w:r>
          </w:p>
        </w:tc>
      </w:tr>
      <w:tr>
        <w:trPr>
          <w:trHeight w:val="203"/>
        </w:trPr>
        <w:tc>
          <w:tcPr>
            <w:tcW w:w="1360" w:type="dxa"/>
            <w:vAlign w:val="bottom"/>
          </w:tcPr>
          <w:p>
            <w:pPr>
              <w:jc w:val="center"/>
              <w:ind w:right="135"/>
              <w:spacing w:after="0"/>
              <w:rPr>
                <w:sz w:val="20"/>
                <w:szCs w:val="20"/>
                <w:color w:val="auto"/>
              </w:rPr>
            </w:pPr>
            <w:r>
              <w:rPr>
                <w:rFonts w:ascii="Arial" w:cs="Arial" w:eastAsia="Arial" w:hAnsi="Arial"/>
                <w:sz w:val="17"/>
                <w:szCs w:val="17"/>
                <w:color w:val="auto"/>
                <w:w w:val="92"/>
              </w:rPr>
              <w:t>Total number of</w:t>
            </w:r>
          </w:p>
        </w:tc>
        <w:tc>
          <w:tcPr>
            <w:tcW w:w="880" w:type="dxa"/>
            <w:vAlign w:val="bottom"/>
          </w:tcPr>
          <w:p>
            <w:pPr>
              <w:jc w:val="center"/>
              <w:ind w:left="115"/>
              <w:spacing w:after="0"/>
              <w:rPr>
                <w:sz w:val="20"/>
                <w:szCs w:val="20"/>
                <w:color w:val="auto"/>
              </w:rPr>
            </w:pPr>
            <w:r>
              <w:rPr>
                <w:rFonts w:ascii="Arial" w:cs="Arial" w:eastAsia="Arial" w:hAnsi="Arial"/>
                <w:sz w:val="17"/>
                <w:szCs w:val="17"/>
                <w:color w:val="auto"/>
                <w:w w:val="92"/>
              </w:rPr>
              <w:t>price paid</w:t>
            </w:r>
          </w:p>
        </w:tc>
      </w:tr>
      <w:tr>
        <w:trPr>
          <w:trHeight w:val="230"/>
        </w:trPr>
        <w:tc>
          <w:tcPr>
            <w:tcW w:w="1360" w:type="dxa"/>
            <w:vAlign w:val="bottom"/>
          </w:tcPr>
          <w:p>
            <w:pPr>
              <w:jc w:val="center"/>
              <w:ind w:right="115"/>
              <w:spacing w:after="0"/>
              <w:rPr>
                <w:sz w:val="20"/>
                <w:szCs w:val="20"/>
                <w:color w:val="auto"/>
              </w:rPr>
            </w:pPr>
            <w:r>
              <w:rPr>
                <w:rFonts w:ascii="Arial" w:cs="Arial" w:eastAsia="Arial" w:hAnsi="Arial"/>
                <w:sz w:val="17"/>
                <w:szCs w:val="17"/>
                <w:color w:val="auto"/>
                <w:w w:val="85"/>
              </w:rPr>
              <w:t>shares purchased</w:t>
            </w:r>
          </w:p>
        </w:tc>
        <w:tc>
          <w:tcPr>
            <w:tcW w:w="880" w:type="dxa"/>
            <w:vAlign w:val="bottom"/>
          </w:tcPr>
          <w:p>
            <w:pPr>
              <w:jc w:val="center"/>
              <w:ind w:left="95"/>
              <w:spacing w:after="0"/>
              <w:rPr>
                <w:sz w:val="20"/>
                <w:szCs w:val="20"/>
                <w:color w:val="auto"/>
              </w:rPr>
            </w:pPr>
            <w:r>
              <w:rPr>
                <w:rFonts w:ascii="Arial" w:cs="Arial" w:eastAsia="Arial" w:hAnsi="Arial"/>
                <w:sz w:val="17"/>
                <w:szCs w:val="17"/>
                <w:color w:val="auto"/>
                <w:w w:val="86"/>
              </w:rPr>
              <w:t>per share</w:t>
            </w:r>
          </w:p>
        </w:tc>
      </w:tr>
    </w:tbl>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spacing w:after="0" w:line="241" w:lineRule="auto"/>
        <w:rPr>
          <w:sz w:val="20"/>
          <w:szCs w:val="20"/>
          <w:color w:val="auto"/>
        </w:rPr>
      </w:pPr>
      <w:r>
        <w:rPr>
          <w:rFonts w:ascii="Arial" w:cs="Arial" w:eastAsia="Arial" w:hAnsi="Arial"/>
          <w:sz w:val="15"/>
          <w:szCs w:val="15"/>
          <w:color w:val="auto"/>
        </w:rPr>
        <w:t xml:space="preserve">Total number of shares purchased as part of publicly announced plans or programs </w:t>
      </w:r>
      <w:r>
        <w:rPr>
          <w:rFonts w:ascii="Arial" w:cs="Arial" w:eastAsia="Arial" w:hAnsi="Arial"/>
          <w:sz w:val="19"/>
          <w:szCs w:val="19"/>
          <w:color w:val="auto"/>
          <w:vertAlign w:val="superscript"/>
        </w:rPr>
        <w:t>(1)</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-1688465</wp:posOffset>
            </wp:positionH>
            <wp:positionV relativeFrom="paragraph">
              <wp:posOffset>59690</wp:posOffset>
            </wp:positionV>
            <wp:extent cx="44316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431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jc w:val="center"/>
        <w:ind w:right="20"/>
        <w:spacing w:after="0" w:line="288" w:lineRule="auto"/>
        <w:rPr>
          <w:sz w:val="20"/>
          <w:szCs w:val="20"/>
          <w:color w:val="auto"/>
        </w:rPr>
      </w:pPr>
      <w:r>
        <w:rPr>
          <w:rFonts w:ascii="Arial" w:cs="Arial" w:eastAsia="Arial" w:hAnsi="Arial"/>
          <w:sz w:val="15"/>
          <w:szCs w:val="15"/>
          <w:color w:val="auto"/>
        </w:rPr>
        <w:t>Approximate dollar value of shares that may yet be purchased under the plans or</w:t>
      </w:r>
    </w:p>
    <w:p>
      <w:pPr>
        <w:ind w:left="660"/>
        <w:spacing w:after="0"/>
        <w:rPr>
          <w:sz w:val="20"/>
          <w:szCs w:val="20"/>
          <w:color w:val="auto"/>
        </w:rPr>
      </w:pPr>
      <w:r>
        <w:rPr>
          <w:rFonts w:ascii="Arial" w:cs="Arial" w:eastAsia="Arial" w:hAnsi="Arial"/>
          <w:sz w:val="17"/>
          <w:szCs w:val="17"/>
          <w:color w:val="auto"/>
        </w:rPr>
        <w:t>programs</w:t>
      </w:r>
    </w:p>
    <w:p>
      <w:pPr>
        <w:spacing w:after="0" w:line="74" w:lineRule="exact"/>
        <w:rPr>
          <w:sz w:val="20"/>
          <w:szCs w:val="20"/>
          <w:color w:val="auto"/>
        </w:rPr>
      </w:pPr>
    </w:p>
    <w:p>
      <w:pPr>
        <w:sectPr>
          <w:pgSz w:w="11900" w:h="16838" w:orient="portrait"/>
          <w:cols w:equalWidth="0" w:num="3">
            <w:col w:w="6620" w:space="300"/>
            <w:col w:w="2200" w:space="140"/>
            <w:col w:w="19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180" w:type="dxa"/>
            <w:vAlign w:val="bottom"/>
            <w:gridSpan w:val="3"/>
          </w:tcPr>
          <w:p>
            <w:pPr>
              <w:jc w:val="right"/>
              <w:ind w:right="495"/>
              <w:spacing w:after="0"/>
              <w:rPr>
                <w:sz w:val="20"/>
                <w:szCs w:val="20"/>
                <w:color w:val="auto"/>
              </w:rPr>
            </w:pPr>
            <w:r>
              <w:rPr>
                <w:rFonts w:ascii="Arial" w:cs="Arial" w:eastAsia="Arial" w:hAnsi="Arial"/>
                <w:sz w:val="17"/>
                <w:szCs w:val="17"/>
                <w:i w:val="1"/>
                <w:iCs w:val="1"/>
                <w:color w:val="auto"/>
                <w:w w:val="90"/>
              </w:rPr>
              <w:t>(in thousands, except per share and share amounts)</w:t>
            </w:r>
          </w:p>
        </w:tc>
        <w:tc>
          <w:tcPr>
            <w:tcW w:w="1140" w:type="dxa"/>
            <w:vAlign w:val="bottom"/>
          </w:tcPr>
          <w:p>
            <w:pPr>
              <w:spacing w:after="0"/>
              <w:rPr>
                <w:sz w:val="18"/>
                <w:szCs w:val="18"/>
                <w:color w:val="auto"/>
              </w:rPr>
            </w:pPr>
          </w:p>
        </w:tc>
      </w:tr>
      <w:tr>
        <w:trPr>
          <w:trHeight w:val="85"/>
        </w:trPr>
        <w:tc>
          <w:tcPr>
            <w:tcW w:w="42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140" w:type="dxa"/>
            <w:vAlign w:val="bottom"/>
          </w:tcPr>
          <w:p>
            <w:pPr>
              <w:spacing w:after="0"/>
              <w:rPr>
                <w:sz w:val="7"/>
                <w:szCs w:val="7"/>
                <w:color w:val="auto"/>
              </w:rPr>
            </w:pPr>
          </w:p>
        </w:tc>
      </w:tr>
      <w:tr>
        <w:trPr>
          <w:trHeight w:val="237"/>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October 1, 2022 - October 31, 2022</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631,845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9.17</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631,845</w:t>
            </w:r>
          </w:p>
        </w:tc>
        <w:tc>
          <w:tcPr>
            <w:tcW w:w="960" w:type="dxa"/>
            <w:vAlign w:val="bottom"/>
            <w:tcBorders>
              <w:bottom w:val="single" w:sz="8" w:color="CCEEFF"/>
            </w:tcBorders>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72,427</w:t>
            </w:r>
          </w:p>
        </w:tc>
      </w:tr>
      <w:tr>
        <w:trPr>
          <w:trHeight w:val="225"/>
        </w:trPr>
        <w:tc>
          <w:tcPr>
            <w:tcW w:w="4260" w:type="dxa"/>
            <w:vAlign w:val="bottom"/>
          </w:tcPr>
          <w:p>
            <w:pPr>
              <w:ind w:left="20"/>
              <w:spacing w:after="0"/>
              <w:rPr>
                <w:sz w:val="20"/>
                <w:szCs w:val="20"/>
                <w:color w:val="auto"/>
              </w:rPr>
            </w:pPr>
            <w:r>
              <w:rPr>
                <w:rFonts w:ascii="Arial" w:cs="Arial" w:eastAsia="Arial" w:hAnsi="Arial"/>
                <w:sz w:val="17"/>
                <w:szCs w:val="17"/>
                <w:color w:val="auto"/>
              </w:rPr>
              <w:t>November 1, 2022 - November 30, 2022</w:t>
            </w:r>
          </w:p>
        </w:tc>
        <w:tc>
          <w:tcPr>
            <w:tcW w:w="1400" w:type="dxa"/>
            <w:vAlign w:val="bottom"/>
          </w:tcPr>
          <w:p>
            <w:pPr>
              <w:jc w:val="right"/>
              <w:spacing w:after="0"/>
              <w:rPr>
                <w:sz w:val="20"/>
                <w:szCs w:val="20"/>
                <w:color w:val="auto"/>
              </w:rPr>
            </w:pPr>
            <w:r>
              <w:rPr>
                <w:rFonts w:ascii="Arial" w:cs="Arial" w:eastAsia="Arial" w:hAnsi="Arial"/>
                <w:sz w:val="17"/>
                <w:szCs w:val="17"/>
                <w:color w:val="auto"/>
              </w:rPr>
              <w:t>878,491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75"/>
              <w:spacing w:after="0"/>
              <w:rPr>
                <w:sz w:val="20"/>
                <w:szCs w:val="20"/>
                <w:color w:val="auto"/>
              </w:rPr>
            </w:pPr>
            <w:r>
              <w:rPr>
                <w:rFonts w:ascii="Arial" w:cs="Arial" w:eastAsia="Arial" w:hAnsi="Arial"/>
                <w:sz w:val="17"/>
                <w:szCs w:val="17"/>
                <w:color w:val="auto"/>
              </w:rPr>
              <w:t>7.41</w:t>
            </w:r>
          </w:p>
        </w:tc>
        <w:tc>
          <w:tcPr>
            <w:tcW w:w="2240" w:type="dxa"/>
            <w:vAlign w:val="bottom"/>
          </w:tcPr>
          <w:p>
            <w:pPr>
              <w:jc w:val="right"/>
              <w:spacing w:after="0"/>
              <w:rPr>
                <w:sz w:val="20"/>
                <w:szCs w:val="20"/>
                <w:color w:val="auto"/>
              </w:rPr>
            </w:pPr>
            <w:r>
              <w:rPr>
                <w:rFonts w:ascii="Arial" w:cs="Arial" w:eastAsia="Arial" w:hAnsi="Arial"/>
                <w:sz w:val="17"/>
                <w:szCs w:val="17"/>
                <w:color w:val="auto"/>
              </w:rPr>
              <w:t>878,491</w:t>
            </w:r>
          </w:p>
        </w:tc>
        <w:tc>
          <w:tcPr>
            <w:tcW w:w="960" w:type="dxa"/>
            <w:vAlign w:val="bottom"/>
          </w:tcPr>
          <w:p>
            <w:pPr>
              <w:jc w:val="right"/>
              <w:ind w:right="675"/>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65,914</w:t>
            </w:r>
          </w:p>
        </w:tc>
      </w:tr>
      <w:tr>
        <w:trPr>
          <w:trHeight w:val="31"/>
        </w:trPr>
        <w:tc>
          <w:tcPr>
            <w:tcW w:w="4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7"/>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December 1, 2022 - December 31, 2022</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1,344,522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6.52</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1,344,522</w:t>
            </w:r>
          </w:p>
        </w:tc>
        <w:tc>
          <w:tcPr>
            <w:tcW w:w="960" w:type="dxa"/>
            <w:vAlign w:val="bottom"/>
            <w:tcBorders>
              <w:bottom w:val="single" w:sz="8" w:color="CCEEFF"/>
            </w:tcBorders>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57,146</w:t>
            </w:r>
          </w:p>
        </w:tc>
      </w:tr>
      <w:tr>
        <w:trPr>
          <w:trHeight w:val="248"/>
        </w:trPr>
        <w:tc>
          <w:tcPr>
            <w:tcW w:w="4260" w:type="dxa"/>
            <w:vAlign w:val="bottom"/>
          </w:tcPr>
          <w:p>
            <w:pPr>
              <w:ind w:left="140"/>
              <w:spacing w:after="0"/>
              <w:rPr>
                <w:sz w:val="20"/>
                <w:szCs w:val="20"/>
                <w:color w:val="auto"/>
              </w:rPr>
            </w:pPr>
            <w:r>
              <w:rPr>
                <w:rFonts w:ascii="Arial" w:cs="Arial" w:eastAsia="Arial" w:hAnsi="Arial"/>
                <w:sz w:val="17"/>
                <w:szCs w:val="17"/>
                <w:color w:val="auto"/>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2,854,858</w:t>
            </w: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2,854,858</w:t>
            </w:r>
          </w:p>
        </w:tc>
        <w:tc>
          <w:tcPr>
            <w:tcW w:w="96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3"/>
        </w:trPr>
        <w:tc>
          <w:tcPr>
            <w:tcW w:w="4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left="660" w:hanging="328"/>
        <w:spacing w:after="0" w:line="270" w:lineRule="auto"/>
        <w:tabs>
          <w:tab w:leader="none" w:pos="654"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 June 14, 2022, the Board of Directors of the Company approved a stock repurchase program with authorization to purchase up to $50.0 million in shares of the Company’s common stock through the expiration of the program on December 21, 2022 (as subsequently expanded, the “Repurchase Program”). Repurchases under the program may be made in the open market, in privately negotiated transactions or otherwise, with the amount and timing of repurchases to be determined at the Company’s discretion, depending on market conditions and corporate needs. Open market repurchases will be structured to occur in accordance with applicable federal securities laws, including within the pricing and volume requirements of Rule 10b-18 under the Exchange Act. The Company may also, from time to time, enter into Rule 10b5-1 plans to facilitate repurchases of its shares under this authorization. The Repurchase Program does not obligate the Company to acquire any particular amount of common stock and may be modified, suspended or terminated at any time at the discretion of its board of directors. The Company expects to fund repurchases with existing cash on hand.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57" w:name="page58"/>
    <w:bookmarkEnd w:id="57"/>
    <w:p>
      <w:pPr>
        <w:spacing w:after="0" w:line="157" w:lineRule="exact"/>
        <w:rPr>
          <w:sz w:val="20"/>
          <w:szCs w:val="20"/>
          <w:color w:val="auto"/>
        </w:rPr>
      </w:pPr>
    </w:p>
    <w:p>
      <w:pPr>
        <w:jc w:val="both"/>
        <w:ind w:left="660" w:hanging="328"/>
        <w:spacing w:after="0" w:line="263" w:lineRule="auto"/>
        <w:tabs>
          <w:tab w:leader="none" w:pos="654"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November 7, 2022, our Board of Directors approved an expansion of the Repurchase Program with authorization to purchase up to an additional $50.0 million in shares of the Company’s common stock ($100.0 million total) and an extension to the expiration of the Repurchase Program through December 31, 2023.</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performance graph and related information shall not be deemed to be “filed” for purposes of Section 18 of the Securities Exchange Act of 1934, as amended, or otherwise subject to the liabilities of that section or Sections 11 and 12(a)(2) of the Securities Act of 1933, as amended, and shall not be incorporated by reference into any registration statement or other document filed by us with the SEC, whether made before or after the date of this Annual Report on Form 10-K, regardless of any general incorporation language in such filing, except as shall be expressly set forth by specific reference in such filing.</w:t>
      </w:r>
    </w:p>
    <w:p>
      <w:pPr>
        <w:spacing w:after="0" w:line="20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following graph and related information shows a comparison of the cumulative total return for our common stock, Nasdaq Composite Index and Nasdaq US Small Cap Software Index between July 1, 2021 (the date our common stock commenced trading on the Nasdaq) through December 31, 2022. All values assume an initial investment of $100 and reinvestment of any dividends.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5349240" cy="21431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34924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ind w:right="170"/>
              <w:spacing w:after="0"/>
              <w:rPr>
                <w:sz w:val="20"/>
                <w:szCs w:val="20"/>
                <w:color w:val="auto"/>
              </w:rPr>
            </w:pPr>
            <w:r>
              <w:rPr>
                <w:rFonts w:ascii="Arial" w:cs="Arial" w:eastAsia="Arial" w:hAnsi="Arial"/>
                <w:sz w:val="18"/>
                <w:szCs w:val="18"/>
                <w:color w:val="auto"/>
                <w:w w:val="99"/>
              </w:rPr>
              <w:t>7/1/21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ind w:right="110"/>
              <w:spacing w:after="0"/>
              <w:rPr>
                <w:sz w:val="20"/>
                <w:szCs w:val="20"/>
                <w:color w:val="auto"/>
              </w:rPr>
            </w:pPr>
            <w:r>
              <w:rPr>
                <w:rFonts w:ascii="Arial" w:cs="Arial" w:eastAsia="Arial" w:hAnsi="Arial"/>
                <w:sz w:val="18"/>
                <w:szCs w:val="18"/>
                <w:color w:val="auto"/>
                <w:w w:val="96"/>
              </w:rPr>
              <w:t>9/30/21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90"/>
              <w:spacing w:after="0"/>
              <w:rPr>
                <w:sz w:val="20"/>
                <w:szCs w:val="20"/>
                <w:color w:val="auto"/>
              </w:rPr>
            </w:pPr>
            <w:r>
              <w:rPr>
                <w:rFonts w:ascii="Arial" w:cs="Arial" w:eastAsia="Arial" w:hAnsi="Arial"/>
                <w:sz w:val="18"/>
                <w:szCs w:val="18"/>
                <w:color w:val="auto"/>
                <w:w w:val="91"/>
              </w:rPr>
              <w:t>12/31/21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10"/>
              <w:spacing w:after="0"/>
              <w:rPr>
                <w:sz w:val="20"/>
                <w:szCs w:val="20"/>
                <w:color w:val="auto"/>
              </w:rPr>
            </w:pPr>
            <w:r>
              <w:rPr>
                <w:rFonts w:ascii="Arial" w:cs="Arial" w:eastAsia="Arial" w:hAnsi="Arial"/>
                <w:sz w:val="18"/>
                <w:szCs w:val="18"/>
                <w:color w:val="auto"/>
                <w:w w:val="93"/>
              </w:rPr>
              <w:t>3/31/22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w w:val="96"/>
              </w:rPr>
              <w:t>6/30/22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30"/>
              <w:spacing w:after="0"/>
              <w:rPr>
                <w:sz w:val="20"/>
                <w:szCs w:val="20"/>
                <w:color w:val="auto"/>
              </w:rPr>
            </w:pPr>
            <w:r>
              <w:rPr>
                <w:rFonts w:ascii="Arial" w:cs="Arial" w:eastAsia="Arial" w:hAnsi="Arial"/>
                <w:sz w:val="18"/>
                <w:szCs w:val="18"/>
                <w:color w:val="auto"/>
                <w:w w:val="96"/>
              </w:rPr>
              <w:t>9/30/22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12/31/22</w:t>
            </w:r>
          </w:p>
        </w:tc>
      </w:tr>
      <w:tr>
        <w:trPr>
          <w:trHeight w:val="27"/>
        </w:trPr>
        <w:tc>
          <w:tcPr>
            <w:tcW w:w="3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34"/>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EverCommerce Common Stock</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42.27</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Nasdaq Composite Index</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99.49</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107.73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97.92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75.94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72.82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72.07</w:t>
            </w:r>
          </w:p>
        </w:tc>
      </w:tr>
      <w:tr>
        <w:trPr>
          <w:trHeight w:val="27"/>
        </w:trPr>
        <w:tc>
          <w:tcPr>
            <w:tcW w:w="3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Nasdaq US Small Cap Software Index</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98.17</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57.85</w:t>
            </w:r>
          </w:p>
        </w:tc>
      </w:tr>
      <w:tr>
        <w:trPr>
          <w:trHeight w:val="27"/>
        </w:trPr>
        <w:tc>
          <w:tcPr>
            <w:tcW w:w="38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sell any equity securities during the year ended December 31, 2022 that were not registered under the Securities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Unless the context requires otherwise, references in this report to "EverCommerce Inc.," the “Company,” “we,” “us” and “our” refer to EverCommerce Inc. and its consolidated subsidiaries. The following discussion and analysis of our financial condition and results of operations should be read in conjunction with our consolidated financial statements and related notes appearing elsewhere in this Annual Report on Form 10-K. Additionally, our historical results are not necessarily indicative of the results that may be expected for any period in the future. An analysis of our results of operations and cash flows for the year ended December 31, 2020, including a discussion of the year ended December 31, 2021 as compared to the year ended December 31, 2020, has been reported previously in our Annual Report on Form 10-K for the year ended December 31, 2021 filed with the Securities and Exchange Commission (“SEC”) on March 15, 2022, under the heading “Management’s Discussion and Analysis of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EverCommerce is a leading provider of integrated, vertically-tailored software-as-a-service (“SaaS”) solutions for service-based small- and medium-sized businesses (“service SMBs”). Our platform spans across the full lifecycle of interactions between consumers and service professionals with vertical-specific applications. Today, we serve more than 685,000 customers across three core verticals: Home Services; Health Services; and Fitness &amp; Wellness Services. Within our core verticals, our customers operate within numerous micro-verticals, ranging from home service professionals, such as home improvement contractors and home maintenance technicians, to physician practices and therapists within Health Services, to personal trainers and salon owners within Fitness &amp; Wellness. Our platform provides vertically-tailored SaaS solutions that address service SMBs’ increasingly specialized demands, as well as highly complementary solutions that complete end-to-end offerings, allowing service SMBs and EverCommerce to succeed in the market, and provide end consumers more convenient service experiences.</w:t>
      </w:r>
    </w:p>
    <w:p>
      <w:pPr>
        <w:spacing w:after="0" w:line="20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offer several vertically-tailored suites of solutions, each of which follows a similar and repeatable go-to-market playbook: offer a “system of action” Business Management Software that streamlines daily business workflows, integrate highly complementary, value-add adjacent solutions and complete gaps in the value chain to create end-to-end solutions. These solutions focus on addressing how service SMBs market their services, streamline operations and retain and engage their customers.</w:t>
      </w:r>
    </w:p>
    <w:p>
      <w:pPr>
        <w:spacing w:after="0" w:line="214" w:lineRule="exact"/>
        <w:rPr>
          <w:sz w:val="20"/>
          <w:szCs w:val="20"/>
          <w:color w:val="auto"/>
        </w:rPr>
      </w:pPr>
    </w:p>
    <w:p>
      <w:pPr>
        <w:jc w:val="both"/>
        <w:ind w:left="500" w:hanging="168"/>
        <w:spacing w:after="0" w:line="301" w:lineRule="auto"/>
        <w:tabs>
          <w:tab w:leader="none" w:pos="495" w:val="left"/>
        </w:tabs>
        <w:numPr>
          <w:ilvl w:val="0"/>
          <w:numId w:val="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Business Management Software: </w:t>
      </w:r>
      <w:r>
        <w:rPr>
          <w:rFonts w:ascii="Arial" w:cs="Arial" w:eastAsia="Arial" w:hAnsi="Arial"/>
          <w:sz w:val="16"/>
          <w:szCs w:val="16"/>
          <w:color w:val="auto"/>
        </w:rPr>
        <w:t>Our vertically-tailored Business Management Software is the system of action at the center of a service business’s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operation, and is typically the point-of-entry and first solution adopted by a customer. Our software, designed to meet the day-to-day workflow needs of businesses in specific vertical end markets, streamlines front and back-office processes and provides polished customer-facing experiences. Using these offerings, service SMBs can focus on growing their customers, improving their services and driving more efficient operations.</w:t>
      </w:r>
    </w:p>
    <w:p>
      <w:pPr>
        <w:spacing w:after="0" w:line="184" w:lineRule="exact"/>
        <w:rPr>
          <w:rFonts w:ascii="Arial" w:cs="Arial" w:eastAsia="Arial" w:hAnsi="Arial"/>
          <w:sz w:val="16"/>
          <w:szCs w:val="16"/>
          <w:color w:val="auto"/>
        </w:rPr>
      </w:pPr>
    </w:p>
    <w:p>
      <w:pPr>
        <w:jc w:val="both"/>
        <w:ind w:left="500" w:hanging="168"/>
        <w:spacing w:after="0" w:line="255" w:lineRule="auto"/>
        <w:tabs>
          <w:tab w:leader="none" w:pos="495"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Billing &amp; Payment Solutions: </w:t>
      </w:r>
      <w:r>
        <w:rPr>
          <w:rFonts w:ascii="Arial" w:cs="Arial" w:eastAsia="Arial" w:hAnsi="Arial"/>
          <w:sz w:val="18"/>
          <w:szCs w:val="18"/>
          <w:color w:val="auto"/>
        </w:rPr>
        <w:t>Our Billing &amp; Payment Solutions provide integrated payments, billing and invoicing automation and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intelligence and analytics. Our omni-channel payments capabilities include point-of-sale, eCommerce, online bill payments, recurring billing, electronic invoicing and mobile payments. Supported payment types include credit card, debit card and Automated Clearing House (“ACH”) processing. Our payments platform also provides a full suite of service commerce features, including customer management as well as cash flow reporting and analytics. These value-add features help small- and medium-sized businesses (“SMBs”) to ensure more timely billing and payments collection and provide improved cash flow visibility.</w:t>
      </w:r>
    </w:p>
    <w:p>
      <w:pPr>
        <w:spacing w:after="0" w:line="219" w:lineRule="exact"/>
        <w:rPr>
          <w:rFonts w:ascii="Arial" w:cs="Arial" w:eastAsia="Arial" w:hAnsi="Arial"/>
          <w:sz w:val="18"/>
          <w:szCs w:val="18"/>
          <w:b w:val="1"/>
          <w:bCs w:val="1"/>
          <w:color w:val="auto"/>
        </w:rPr>
      </w:pPr>
    </w:p>
    <w:p>
      <w:pPr>
        <w:jc w:val="both"/>
        <w:ind w:left="500" w:hanging="168"/>
        <w:spacing w:after="0" w:line="257" w:lineRule="auto"/>
        <w:tabs>
          <w:tab w:leader="none" w:pos="495" w:val="left"/>
        </w:tabs>
        <w:numPr>
          <w:ilvl w:val="0"/>
          <w:numId w:val="3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Customer Experience Solutions: </w:t>
      </w:r>
      <w:r>
        <w:rPr>
          <w:rFonts w:ascii="Arial" w:cs="Arial" w:eastAsia="Arial" w:hAnsi="Arial"/>
          <w:sz w:val="18"/>
          <w:szCs w:val="18"/>
          <w:color w:val="auto"/>
        </w:rPr>
        <w:t>Our Customer Experience Solutions modernize how businesses engage and interact with customers by leveraging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innovative, bespoke customer listening and communication solutions to improve the customer experience and increase retention. Our software provides customer listening capabilities with real-time customer surveying and analysis to allow standalone businesses and multi-location brands to receive voice of the customer (“VoC”) insights and manage the customer experience lifecycle. These applications include: customer health scoring, customer support systems, real-time alerts, NPS-based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jc w:val="both"/>
        <w:ind w:left="500"/>
        <w:spacing w:after="0" w:line="263" w:lineRule="auto"/>
        <w:rPr>
          <w:sz w:val="20"/>
          <w:szCs w:val="20"/>
          <w:color w:val="auto"/>
        </w:rPr>
      </w:pPr>
      <w:r>
        <w:rPr>
          <w:rFonts w:ascii="Arial" w:cs="Arial" w:eastAsia="Arial" w:hAnsi="Arial"/>
          <w:sz w:val="18"/>
          <w:szCs w:val="18"/>
          <w:color w:val="auto"/>
        </w:rPr>
        <w:t>customer feedback collection, review generation and automation, reputation management, customer satisfaction surveying and a digital communication suite, among others. These tools help our customers gain actionable insights, increase customer loyalty and repeat purchases and improve customer experiences.</w:t>
      </w:r>
    </w:p>
    <w:p>
      <w:pPr>
        <w:spacing w:after="0" w:line="211" w:lineRule="exact"/>
        <w:rPr>
          <w:sz w:val="20"/>
          <w:szCs w:val="20"/>
          <w:color w:val="auto"/>
        </w:rPr>
      </w:pPr>
    </w:p>
    <w:p>
      <w:pPr>
        <w:jc w:val="both"/>
        <w:ind w:left="500" w:hanging="168"/>
        <w:spacing w:after="0" w:line="273" w:lineRule="auto"/>
        <w:tabs>
          <w:tab w:leader="none" w:pos="495" w:val="left"/>
        </w:tabs>
        <w:numPr>
          <w:ilvl w:val="0"/>
          <w:numId w:val="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Marketing Technology Solutions: </w:t>
      </w:r>
      <w:r>
        <w:rPr>
          <w:rFonts w:ascii="Arial" w:cs="Arial" w:eastAsia="Arial" w:hAnsi="Arial"/>
          <w:sz w:val="17"/>
          <w:szCs w:val="17"/>
          <w:color w:val="auto"/>
        </w:rPr>
        <w:t>Our Marketing Technology Solutions work with our Customer Experience Solutions to help customers build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by invigorating marketing operations and improving return on investment across the customer lifecycle. These solutions help businesses to manage campaigns, generate quality leads, increase conversion and repeat sales, improve customer loyalty and provide a polished brand experience. Our solutions include: custom website design, development and hosting, responsive web design, marketing campaign design and management, search engine optimization (“SEO”), paid search and display advertising, social media and blog automation, call tracking, review monitoring and marketplace lead generation, among others.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go to market with suites of solutions that are aligned to our three core verticals: (i) the EverPro suite of solutions in Home Services; (ii) the EverHealth suite of solutions within Health Services; and (iii) the EverWell suite of solutions in Fitness &amp; Wellness Services. Within each suite, our Business Management Software – the system of action at the center of a service business’ operation – is typically the first solution adopted by a customer. This vertically-tailored point-of-entry provides us with an opportunity to cross-sell adjacent products, previously offered as fragmented and disjointed point solutions by other software providers. This “land and expand” strategy allows us to acquire customers with key foundational solutions and expand into offerings via product development and acquisitions that cover all workflows and power the full scope of our customers’ businesses. This results in a self-reinforcing flywheel effect, enabling us to drive value for our customers and, in turn, improve customer stickiness, increase our market share and fuel our growth.</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generate three types of revenue: (i) Subscription and Transaction Fees, which are primarily recurring revenue streams, (ii) Marketing Technology Solutions, which includes both recurring and re-occurring revenue streams and (iii) Other revenue which consists primarily of one-time revenue streams. Our recurring revenue generally consists of monthly, quarterly and annual software and maintenance subscriptions, transaction revenue associated with integrated payments and billing solutions and monthly contracts for Marketing Technology Solutions. Additionally, our re-occurring revenue includes revenue related to the sale of marketing campaigns and lead generation under contractual arrangements with customers.</w:t>
      </w:r>
    </w:p>
    <w:p>
      <w:pPr>
        <w:spacing w:after="0" w:line="203" w:lineRule="exact"/>
        <w:rPr>
          <w:sz w:val="20"/>
          <w:szCs w:val="20"/>
          <w:color w:val="auto"/>
        </w:rPr>
      </w:pPr>
    </w:p>
    <w:p>
      <w:pPr>
        <w:jc w:val="both"/>
        <w:ind w:left="660" w:hanging="328"/>
        <w:spacing w:after="0" w:line="275" w:lineRule="auto"/>
        <w:tabs>
          <w:tab w:leader="none" w:pos="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Subscription and Transaction Fees revenue includes: (i) recurring monthly, quarterly and annual SaaS subscriptions and software license and maintenance fees from the sale of our Business Management, Customer Engagement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w:t>
      </w:r>
    </w:p>
    <w:p>
      <w:pPr>
        <w:spacing w:after="0" w:line="203" w:lineRule="exact"/>
        <w:rPr>
          <w:rFonts w:ascii="Arial" w:cs="Arial" w:eastAsia="Arial" w:hAnsi="Arial"/>
          <w:sz w:val="17"/>
          <w:szCs w:val="17"/>
          <w:color w:val="auto"/>
        </w:rPr>
      </w:pPr>
    </w:p>
    <w:p>
      <w:pPr>
        <w:jc w:val="both"/>
        <w:ind w:left="660" w:right="2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Marketing Technology Solutions revenue includes: (i) recurring revenues for managing digital advertising programs on behalf of our customers including website hosting, search engine management and optimization, social media management and blog automation; and (ii) re-occurring fees paid by service professionals for consumer leads generated by our various platforms.</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revenue includes: (i) consulting, implementation, training and other professional services; (ii) website development; (iii) revenue from various business development partnerships; (iv) event income; and (v) hardware sales related to our business management or payment software solutions.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business benefits from attractive unit economics. Approximately 95% of our revenue in the years ended December 31, 2022 and 2021 was recurring or re-occurring, and we maintained an annualized net pro forma revenue retention rate of approximately 100% for the quarter ended December 31, 2022. We believe the retention and growth of revenue from our existing customers is a helpful measure of the health of our business and our future growth prospects. Our ability to cross sell additional products and services to our existing customers can increase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engagement with our suite of solutions and thus have a positive impact on our net pro forma revenue retention rate. For example, we have leveraged our land and expand strategy to cross sell solutions to our existing customers, which has supported our high net pro forma revenue retention rate by increasing customer utilization of our solutions, educating customers as to how our platform and synergies can support their businesses and, in turn, improving customer stickiness.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calculate our monthly net pro forma revenue retention rate for a particular month as the recurring or re-occurring revenue gained/lost from existing customers, less the recurring or re-occurring revenue lost from cancelled customers, as a percentage of total recurring or re-occurring revenue 12 months prior, divided by 12. For existing customers, we consider customers that existed 11 or more months prior to the current month and that do not have an end date (i.e., cancelled relationship) on or after the first day of the current month. For example, the recurring or re-occurring revenue gained/lost from existing customers in November 2022 is the difference between the recurring or re-occurring revenue generated in November 2022 and the same such revenue generated in November 2021, for customers with a start date prior to December 1, 2021 and no end date or cancelled relationship on or after November 1, 2022. For cancelled customers, we examine customers that cancelled their relationships on or after the first day of the month that is 12 months prior to the current month and before the first day of the current month. For example, the recurring or reoccurring revenue lost from cancelled customers in November 2022 is the difference between the recurring or re-occurring revenue generated in November 2022 and the same such revenue generated in November 2021, for customers that cancelled on or after November 1, 2021 and before November 1, 2022. Net pro forma revenue retention is calculated as if acquisitions that were closed during the prior period presented were closed on the first day of such period presented. Our calculation of net pro forma revenue retention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spacing w:after="0" w:line="1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rate for any fiscal period includes the positive recurring and re-occurring revenue impacts of selling new solutions to existing customers and the negative impacts of contraction and attrition among this set of customers. Our net pro forma revenue retention rate may fluctuate as a result of a number of factors, including the growing level of our revenue base, the level of penetration within our customer base, expansion of solutions, new acquisitions and our ability to retain our customers. Our calculation of net pro forma revenue retention rate may differ from similarly titled metrics presented by other companies.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acquire companies to deepen our competitive moats in existing verticals, and enter new verticals and geographies. We have acquired 52 companies since our inception. We have an established framework for identification, execution, integration and onboarding of targets, which leverages our significant acquisition experience and utilizes internal criteria for evaluating acquisition candidates and prospective businesses. We have developed and refined our internal criteria over time with our acquisitions, which has helped us to more readily identify attractive and complementary targets that can be efficiently onboarded. These acquired solutions can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Macroeconomic Climate</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macroeconomic climate continues to see pressure from global developments such as the COVID-19 pandemic, rising inflation, the strengthened US Dollar, rising interest rates and supply chain disruptions. These developments may have an adverse effect on our revenues and demand for our products and services, as well as on our costs of doing business. We have taken and will continue to take actions to help mitigate the impact of these economic challenges, but there can be no assurance as to the effectiveness of our efforts going 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1" w:name="page62"/>
    <w:bookmarkEnd w:id="61"/>
    <w:p>
      <w:pPr>
        <w:spacing w:after="0" w:line="15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For more information regarding the potential impact of the COVID-19 pandemic on our business, refer to Part I. Item 1A. </w:t>
      </w:r>
      <w:r>
        <w:rPr>
          <w:rFonts w:ascii="Arial" w:cs="Arial" w:eastAsia="Arial" w:hAnsi="Arial"/>
          <w:sz w:val="16"/>
          <w:szCs w:val="16"/>
          <w:i w:val="1"/>
          <w:iCs w:val="1"/>
          <w:color w:val="auto"/>
        </w:rPr>
        <w:t>“Risk Factors—Risks Related to</w:t>
      </w:r>
      <w:r>
        <w:rPr>
          <w:rFonts w:ascii="Arial" w:cs="Arial" w:eastAsia="Arial" w:hAnsi="Arial"/>
          <w:sz w:val="16"/>
          <w:szCs w:val="16"/>
          <w:color w:val="auto"/>
        </w:rPr>
        <w:t xml:space="preserve"> </w:t>
      </w:r>
      <w:r>
        <w:rPr>
          <w:rFonts w:ascii="Arial" w:cs="Arial" w:eastAsia="Arial" w:hAnsi="Arial"/>
          <w:sz w:val="16"/>
          <w:szCs w:val="16"/>
          <w:i w:val="1"/>
          <w:iCs w:val="1"/>
          <w:color w:val="auto"/>
        </w:rPr>
        <w:t>our Business—The COVID-19 pandemic has impacted, and a future pandemic, epidemic or outbreak of an infectious disease could impact, our business, financial condition and results of operations, as well as the business or operations of third parties with whom we conduct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performance and future success depend on a number of factors that present significant opportunities for us but also pose risks and challenges.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into New Products and Verticals</w:t>
      </w:r>
    </w:p>
    <w:p>
      <w:pPr>
        <w:spacing w:after="0" w:line="18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Given our position in the service SMB ecosystem, as well as our relationships and level of engagement with our customers, we use insights gained through our customer relationships and lifecycle to identify additional solutions that are value-additive for our customers. These insights allow us to continually assess opportunities to develop or acquire solutions to further grow our business by expanding market share, cross-selling solutions and enhancing customer stickiness to improve customer retention. Additionally, we have completed acquisitions to enter new micro-verticals and geographies.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Pursuing Acquisitions to Expand our Reach</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acquire companies to accelerate our position as a market leader, fill gaps within our vertically tailored solutions, deepen our competitive moats in existing verticals and enter new verticals and geographies. We have acquired 52 companies since our inception, including five in 2021 and nine in 2020. We have an established framework for identification, execution, integration and onboarding of targets, which leverages our significant acquisition experience and utilizes internal criteria for evaluating acquisition candidates and prospective businesses. We have developed and refined our internal criteria over time with our acquisitions, which has helped us to more readily identify attractive and complementary targets that can be efficiently onboarded. These acquired solutions can bring deep industry expertise and vertically-tailored software solutions that provide additional sources of growth. We believe that our methodology, track record and reputation for sourcing, evaluating and integrating acquisitions positions us as an “acquirer-of-choice” for potential targets.</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Although we expect to continue to acquire companies and other assets in the future, such acquisitions pose a number of challenges and risks. For additional information, see Part I. Item 1A. </w:t>
      </w:r>
      <w:r>
        <w:rPr>
          <w:rFonts w:ascii="Arial" w:cs="Arial" w:eastAsia="Arial" w:hAnsi="Arial"/>
          <w:sz w:val="17"/>
          <w:szCs w:val="17"/>
          <w:i w:val="1"/>
          <w:iCs w:val="1"/>
          <w:color w:val="auto"/>
        </w:rPr>
        <w:t>“Risk Factors—Risks Related to Our Business—Our recent growth rates may not be sustainable or indicative of future</w:t>
      </w:r>
      <w:r>
        <w:rPr>
          <w:rFonts w:ascii="Arial" w:cs="Arial" w:eastAsia="Arial" w:hAnsi="Arial"/>
          <w:sz w:val="17"/>
          <w:szCs w:val="17"/>
          <w:color w:val="auto"/>
        </w:rPr>
        <w:t xml:space="preserve"> </w:t>
      </w:r>
      <w:r>
        <w:rPr>
          <w:rFonts w:ascii="Arial" w:cs="Arial" w:eastAsia="Arial" w:hAnsi="Arial"/>
          <w:sz w:val="17"/>
          <w:szCs w:val="17"/>
          <w:i w:val="1"/>
          <w:iCs w:val="1"/>
          <w:color w:val="auto"/>
        </w:rPr>
        <w:t>growth and we expect our growth rate to slow,” “—We may reduce our rate of acquisitions and may be unsuccessful in achieving continued growth through acquisitions” and “—Revenues and profits generated through acquisitions may be less than anticipated, and we may fail to uncover all liabilities of acquisition targets through the due diligence process prior to an acquisition, resulting in unanticipated costs, losses or a decline in profits, as well as potential impairment charges. Claims against us relating to any acquisition may necessitate our seeking claims against the seller for which the seller may not indemnify us or that may exceed the seller’s indemnification obligations.”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Sustaining our growth requires continued adoption of our solutions by new customers. Through acquisitions and organic growth of our business, the number of customers on our platform increased from over 600,000 at the end of 2021 to more than 685,000 at the end of 2022. We will continue to invest in our efficient go-to-market strategy as we further penetrate our addressable markets. Our financial performance will depend in large part on the overall demand for our solutions from service SMBs.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Revenue from Existing Customers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we had more than 685,000 customers worldwide, including approximately 320,000, 95,000 and 69,000 customers in our Home Services, Health Services and Fitness &amp; Wellness Services verticals, respectively. For the year ended December 31, 2022, we estimate that approximately 90% of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contributed less than $2,000 in revenue and less than 5% contributed more than $5,000 in revenue.</w:t>
      </w:r>
    </w:p>
    <w:p>
      <w:pPr>
        <w:spacing w:after="0" w:line="19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define a customer as an individual or entity that utilized or was capable of utilizing an EverCommerce solution or service for which they paid any one or combination of recurring, re-occurring or transactional fees in a given period. For solutions contracting with entities that service groups of customers, for example franchises or other multi-location businesses, the customer is counted at the level of the individual business utilizing the solution.</w:t>
      </w:r>
    </w:p>
    <w:p>
      <w:pPr>
        <w:spacing w:after="0" w:line="1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believe we have the opportunity to drive incremental revenue growth from our existing customer base through increased cross-selling of our integrated solutions, including digital payments, customer engagement and marketing technology. We earn transaction fees for payment transactions initiated on our platform, and our revenue and payment volumes grow as customers process more transactions on our platform. Integrating our payments platform across our EverPro, EverWell and EverHealth suites of solutions can improve customer retention and satisfaction as it drives operating efficiencies for quicker and more efficient billing and payment collection. We generate subscription and marketing technology revenue from cross-selling our customer engagement and Marketing Technology Solutions across our customer base. These solutions increase customer loyalty, repeat purchases, improve customer experiences and help businesses to manage campaigns and generate quality leads.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Continued Investment in Growth</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drive awareness and generate demand for our solutions in order to acquire new customers and develop new service SMB relationships, as we believe that we still have a significant market opportunity ahead of us. We will continue to expand efforts to market our solutions directly to SMBs through online digital marketing, raising brand awareness at conferences and events, and other marketing channels. We believe this investment, coupled with our attractive unit economics, will enable us to grow our customer base and continue our strategy of profitable growth.</w:t>
      </w:r>
    </w:p>
    <w:p>
      <w:pPr>
        <w:spacing w:after="0" w:line="13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intend to increase our investment in our solutions to maintain our position as a leading provider of integrated SaaS solutions for service SMBs. To drive adoption and increase penetration within our base, we will continue to introduce new features and upgrade our technology solutions. We believe that investment in technology development will contribute to our long-term growth, but may also negatively impact our short-term profitability.</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2022, we continued to invest in scalable operations and necessary functions to support operating as a public company. In 2023 and beyond, smaller incremental investments will be needed to support Sarbanes-Oxley compliance.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and Financial Metrics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addition to our results and measures of performance determined in accordance with Generally Accepted Accounting Principles (”GAAP”), we believe the following key business and non-GAAP financial measures are useful in evaluating and comparing our financial and operational performance over multiple periods, identifying trends affecting our business, formulating business plans and making strategic decisions.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Revenue Growth Rate</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Pro Forma Revenue Growth Rate is a key performance measure that our management uses to assess our consolidated operating performance over time.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Management also uses this metric for planning and forecasting purposes.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year-over-year Pro Forma Revenue Growth Rate is calculated as though all acquisitions closed as of the end of the latest period were closed as of the first day of the prior year period presented. In calculating Pro Forma Revenue Growth Rate, we add the revenue from acquisitions for the reporting periods prior to the date of acquisition (including estimated purchase accounting adjustments) to our results of operations, and then calculate our revenue growth rate between the two reported periods. As a result, Pro Forma Revenue Growth Rate includes pro forma revenue from businesses acquired during the period, including revenue generated during periods when we did not yet own the acquired businesses. In including such pre-acquisition revenue, Pro Forma Revenue Growth Rate allows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jc w:val="both"/>
        <w:spacing w:after="0" w:line="273" w:lineRule="auto"/>
        <w:rPr>
          <w:sz w:val="20"/>
          <w:szCs w:val="20"/>
          <w:color w:val="auto"/>
        </w:rPr>
      </w:pPr>
      <w:r>
        <w:rPr>
          <w:rFonts w:ascii="Arial" w:cs="Arial" w:eastAsia="Arial" w:hAnsi="Arial"/>
          <w:sz w:val="17"/>
          <w:szCs w:val="17"/>
          <w:color w:val="auto"/>
        </w:rPr>
        <w:t>us to measure the underlying revenue growth of our business as it stands as of the end of the respective period, which we believe provides insight into our then-current operations. Pro Forma Revenue Growth Rate does not represent organic revenue generated by our business as it stood at the beginning of the respective period. Pro Forma Revenue Growth Rates are not necessarily indicative of either future results of operations or actual results that might have been achieved had the acquisitions been consummated on the first day of the prior year period presented. We believe that this metric is useful to investors in analyzing our financial and operational performance period over period and evaluating the growth of our business, normalizing for the impact of acquisitions. This metric is particularly useful to management due to the number of acquired entities.</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Pro Forma Revenue Growth rate was 15.6% for the year ended December 31, 2022 reflective of the underlying growth in our business including new customers and providing more solutions to existing customers.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Gross Profit</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Adjusted Gross Profit is a key performance measure that our management uses to assess our operational performance, as it represents the results of revenues and direct costs, which are key components of our operations. We believe that this non-GAAP financial measure is useful to investors and other interested parties in analyzing our financial performance because it reflects the gross profitability of our operations, and excludes the indirect costs associated with our sales and marketing, product development, general and administrative activities and depreciation and amortization and the impact of our financing methods and income taxes.</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calculate Adjusted Gross Profit as gross profit (as defined below) adjusted to exclude depreciation and amortization allocated to cost of revenues. Adjusted Gross Profit should be viewed as a measure of operating performance that is a supplement to, and not a substitute for, operating income or loss, net earnings or loss and other GAAP measures of income (loss) or profitability. The following table presents a reconciliation of gross profit, the most directly comparable financial measure calculated in accordance with GAAP, to Adjusted Gross Profit on a consolidated basis.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4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Year ended December 31,</w:t>
            </w:r>
          </w:p>
        </w:tc>
        <w:tc>
          <w:tcPr>
            <w:tcW w:w="36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2022</w:t>
            </w: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20" w:type="dxa"/>
            <w:vAlign w:val="bottom"/>
          </w:tcPr>
          <w:p>
            <w:pPr>
              <w:jc w:val="right"/>
              <w:ind w:right="510"/>
              <w:spacing w:after="0"/>
              <w:rPr>
                <w:sz w:val="20"/>
                <w:szCs w:val="20"/>
                <w:color w:val="auto"/>
              </w:rPr>
            </w:pPr>
            <w:r>
              <w:rPr>
                <w:rFonts w:ascii="Arial" w:cs="Arial" w:eastAsia="Arial" w:hAnsi="Arial"/>
                <w:sz w:val="18"/>
                <w:szCs w:val="18"/>
                <w:b w:val="1"/>
                <w:bCs w:val="1"/>
                <w:color w:val="auto"/>
                <w:w w:val="99"/>
              </w:rPr>
              <w:t>2021</w:t>
            </w:r>
          </w:p>
        </w:tc>
        <w:tc>
          <w:tcPr>
            <w:tcW w:w="360" w:type="dxa"/>
            <w:vAlign w:val="bottom"/>
          </w:tcPr>
          <w:p>
            <w:pPr>
              <w:spacing w:after="0"/>
              <w:rPr>
                <w:sz w:val="20"/>
                <w:szCs w:val="20"/>
                <w:color w:val="auto"/>
              </w:rPr>
            </w:pPr>
          </w:p>
        </w:tc>
      </w:tr>
      <w:tr>
        <w:trPr>
          <w:trHeight w:val="27"/>
        </w:trPr>
        <w:tc>
          <w:tcPr>
            <w:tcW w:w="73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7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2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81"/>
        </w:trPr>
        <w:tc>
          <w:tcPr>
            <w:tcW w:w="73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27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r>
              <w:rPr>
                <w:rFonts w:ascii="Arial" w:cs="Arial" w:eastAsia="Arial" w:hAnsi="Arial"/>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380,122</w:t>
            </w: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(2)</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308,301</w:t>
            </w:r>
          </w:p>
        </w:tc>
        <w:tc>
          <w:tcPr>
            <w:tcW w:w="360" w:type="dxa"/>
            <w:vAlign w:val="bottom"/>
            <w:shd w:val="clear" w:color="auto" w:fill="CCEEFF"/>
          </w:tcPr>
          <w:p>
            <w:pPr>
              <w:jc w:val="right"/>
              <w:ind w:right="162"/>
              <w:spacing w:after="0"/>
              <w:rPr>
                <w:sz w:val="20"/>
                <w:szCs w:val="20"/>
                <w:color w:val="auto"/>
              </w:rPr>
            </w:pPr>
            <w:r>
              <w:rPr>
                <w:rFonts w:ascii="Arial" w:cs="Arial" w:eastAsia="Arial" w:hAnsi="Arial"/>
                <w:sz w:val="12"/>
                <w:szCs w:val="12"/>
                <w:color w:val="auto"/>
                <w:w w:val="81"/>
              </w:rPr>
              <w:t>(3)</w:t>
            </w:r>
          </w:p>
        </w:tc>
      </w:tr>
      <w:tr>
        <w:trPr>
          <w:trHeight w:val="243"/>
        </w:trPr>
        <w:tc>
          <w:tcPr>
            <w:tcW w:w="738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23,249</w:t>
            </w: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19,608</w:t>
            </w:r>
          </w:p>
        </w:tc>
        <w:tc>
          <w:tcPr>
            <w:tcW w:w="360" w:type="dxa"/>
            <w:vAlign w:val="bottom"/>
          </w:tcPr>
          <w:p>
            <w:pPr>
              <w:spacing w:after="0"/>
              <w:rPr>
                <w:sz w:val="21"/>
                <w:szCs w:val="21"/>
                <w:color w:val="auto"/>
              </w:rPr>
            </w:pPr>
          </w:p>
        </w:tc>
      </w:tr>
      <w:tr>
        <w:trPr>
          <w:trHeight w:val="27"/>
        </w:trPr>
        <w:tc>
          <w:tcPr>
            <w:tcW w:w="7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r>
      <w:tr>
        <w:trPr>
          <w:trHeight w:val="289"/>
        </w:trPr>
        <w:tc>
          <w:tcPr>
            <w:tcW w:w="7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Adjusted gross profit</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403,371</w:t>
            </w:r>
          </w:p>
        </w:tc>
        <w:tc>
          <w:tcPr>
            <w:tcW w:w="3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327,909</w:t>
            </w:r>
          </w:p>
        </w:tc>
        <w:tc>
          <w:tcPr>
            <w:tcW w:w="360" w:type="dxa"/>
            <w:vAlign w:val="bottom"/>
            <w:tcBorders>
              <w:bottom w:val="single" w:sz="8" w:color="CCEEFF"/>
            </w:tcBorders>
            <w:shd w:val="clear" w:color="auto" w:fill="CCEEFF"/>
          </w:tcPr>
          <w:p>
            <w:pPr>
              <w:spacing w:after="0"/>
              <w:rPr>
                <w:sz w:val="24"/>
                <w:szCs w:val="24"/>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hanging="328"/>
        <w:spacing w:after="0" w:line="258"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Gross profit is calculated as total revenues less cost of revenues (exclusive of depreciation and amortization), amortization of developed technology, amortization of capitalized software and depreciation expense (allocated to cost of revenues).</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the year ended December 31, 2022, gross profit represents total revenues of $620.7 million less cost of revenues (exclusive of depreciation and amortization) of $217.4 million, amortization of developed technology of $16.4 million, amortization of capitalized software of $5.7 million and depreciation expense (allocated to cost of revenues) of $1.1 million.</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54"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the year ended December 31, 2021, gross profit represents total revenues of $490.1 million less cost of revenues (exclusive of depreciation and amortization) of $162.2 million, amortization of developed technology of $14.7 million, amortization of capitalized software of $3.7 million and depreciation expense (allocated to cost of revenues) of $1.2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4" w:name="page65"/>
    <w:bookmarkEnd w:id="64"/>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Adjusted EBITDA is a key performance measure that our management uses to assess our financial performance and is also used for internal planning and forecasting purposes. We believe that this non-GAAP financial measure is useful to investors and other interested parties in analyzing our financial performance because it provides a comparable overview of our operations across historical periods. In addition, we believe that providing Adjusted EBITDA, together with a reconciliation of net income (loss) to Adjusted EBITDA, helps investors make comparisons between our company and other companies that may have different capital structures, different tax rates and/or different forms of employee compensation.</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EBITDA is used by our management team as an additional measure of our performance for purposes of business decision-making, including managing expenditures, and evaluating potential acquisitions. Period-to-period comparisons of Adjusted EBITDA help our management identify additional trends in our financial results that may not be shown solely by period-to-period comparisons of net income (loss) or income (loss) from continuing operations. In addition, we may use Adjusted EBITDA in the incentive compensation programs applicable to some of our employees. Our Management recognizes that Adjusted EBITDA has inherent limitations because of the excluded items, and may not be directly comparable to similarly titled metrics used by other companies.</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calculate Adjusted EBITDA as net income (loss) adjusted to exclude interest and other expense, net, income tax expense (benefit), loss on debt extinguishment, depreciation and amortization, other amortization, acquisition related costs, stock-based compensation and other non-recurring costs. Other amortization includes amortization for capitalized contract acquisition costs. Acquisition related costs are specific deal-related costs such as legal fees, financial and tax due diligence, consulting and escrow fees. Other non-recurring costs are expenses such as system implementation costs and severance related to planned restructuring activities. Acquisition related costs and other non-recurring costs are excluded as they are not representative of our underlying operating performance. Adjusted EBITDA should be viewed as a measure of operating performance that is a supplement to, and not a substitute for, operating income or loss, net earnings or loss and other GAAP measures of income (loss). The following table presents a reconciliation of net loss, the most directly comparable financial measure calculated in accordance with GAAP, to Adjusted EBITDA on a consolidated basis.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7"/>
              </w:rPr>
              <w:t>Year ended December 31,</w:t>
            </w:r>
          </w:p>
        </w:tc>
      </w:tr>
      <w:tr>
        <w:trPr>
          <w:trHeight w:val="27"/>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2021</w:t>
            </w:r>
          </w:p>
        </w:tc>
      </w:tr>
      <w:tr>
        <w:trPr>
          <w:trHeight w:val="27"/>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0"/>
                <w:szCs w:val="20"/>
                <w:color w:val="auto"/>
              </w:rPr>
            </w:pPr>
          </w:p>
        </w:tc>
      </w:tr>
      <w:tr>
        <w:trPr>
          <w:trHeight w:val="81"/>
        </w:trPr>
        <w:tc>
          <w:tcPr>
            <w:tcW w:w="8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(81,966)</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Adjusted to exclude the following:</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and other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33,902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36,111</w:t>
            </w:r>
          </w:p>
        </w:tc>
      </w:tr>
      <w:tr>
        <w:trPr>
          <w:trHeight w:val="243"/>
        </w:trPr>
        <w:tc>
          <w:tcPr>
            <w:tcW w:w="8260" w:type="dxa"/>
            <w:vAlign w:val="bottom"/>
          </w:tcPr>
          <w:p>
            <w:pPr>
              <w:ind w:left="100"/>
              <w:spacing w:after="0"/>
              <w:rPr>
                <w:sz w:val="20"/>
                <w:szCs w:val="20"/>
                <w:color w:val="auto"/>
              </w:rPr>
            </w:pPr>
            <w:r>
              <w:rPr>
                <w:rFonts w:ascii="Arial" w:cs="Arial" w:eastAsia="Arial" w:hAnsi="Arial"/>
                <w:sz w:val="18"/>
                <w:szCs w:val="18"/>
                <w:color w:val="auto"/>
              </w:rPr>
              <w:t>Income tax benefit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(10,051)</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Loss on debt extinguishment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28,714</w:t>
            </w:r>
          </w:p>
        </w:tc>
      </w:tr>
      <w:tr>
        <w:trPr>
          <w:trHeight w:val="243"/>
        </w:trPr>
        <w:tc>
          <w:tcPr>
            <w:tcW w:w="826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110,801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101,437</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2,814</w:t>
            </w:r>
          </w:p>
        </w:tc>
      </w:tr>
      <w:tr>
        <w:trPr>
          <w:trHeight w:val="243"/>
        </w:trPr>
        <w:tc>
          <w:tcPr>
            <w:tcW w:w="8260" w:type="dxa"/>
            <w:vAlign w:val="bottom"/>
          </w:tcPr>
          <w:p>
            <w:pPr>
              <w:ind w:left="100"/>
              <w:spacing w:after="0"/>
              <w:rPr>
                <w:sz w:val="20"/>
                <w:szCs w:val="20"/>
                <w:color w:val="auto"/>
              </w:rPr>
            </w:pPr>
            <w:r>
              <w:rPr>
                <w:rFonts w:ascii="Arial" w:cs="Arial" w:eastAsia="Arial" w:hAnsi="Arial"/>
                <w:sz w:val="18"/>
                <w:szCs w:val="18"/>
                <w:color w:val="auto"/>
              </w:rPr>
              <w:t>Acquisition related costs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3,452</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22,095</w:t>
            </w:r>
          </w:p>
        </w:tc>
      </w:tr>
      <w:tr>
        <w:trPr>
          <w:trHeight w:val="243"/>
        </w:trPr>
        <w:tc>
          <w:tcPr>
            <w:tcW w:w="8260" w:type="dxa"/>
            <w:vAlign w:val="bottom"/>
          </w:tcPr>
          <w:p>
            <w:pPr>
              <w:ind w:left="100"/>
              <w:spacing w:after="0"/>
              <w:rPr>
                <w:sz w:val="20"/>
                <w:szCs w:val="20"/>
                <w:color w:val="auto"/>
              </w:rPr>
            </w:pPr>
            <w:r>
              <w:rPr>
                <w:rFonts w:ascii="Arial" w:cs="Arial" w:eastAsia="Arial" w:hAnsi="Arial"/>
                <w:sz w:val="18"/>
                <w:szCs w:val="18"/>
                <w:color w:val="auto"/>
              </w:rPr>
              <w:t>Other non-recurring costs</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6,735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4,592</w:t>
            </w:r>
          </w:p>
        </w:tc>
      </w:tr>
      <w:tr>
        <w:trPr>
          <w:trHeight w:val="27"/>
        </w:trPr>
        <w:tc>
          <w:tcPr>
            <w:tcW w:w="82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82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119,049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Description of Certain Components of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our revenue from three primary sources which are described in detail below: (i) Subscription and Transaction Fees, which are primarily recurring revenue streams, (ii) Marketing Technology Solutions, which includes both recurring and re-occurring revenue streams and (iii) Other revenue, which consists primarily of the sale of distinct professional services and hardware. Our revenue recognition policies are discussed in more detail under “Critical Accounting Policies and Significant Judgments and Estimates.”</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Subscription and Transaction Fees</w:t>
      </w:r>
      <w:r>
        <w:rPr>
          <w:rFonts w:ascii="Arial" w:cs="Arial" w:eastAsia="Arial" w:hAnsi="Arial"/>
          <w:sz w:val="17"/>
          <w:szCs w:val="17"/>
          <w:color w:val="auto"/>
        </w:rPr>
        <w:t>: Revenue includes (i) recurring monthly, quarterly and annual SaaS subscriptions and software license and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fees from the sale of our Business Management, Customer Engagement and Billing and Payment solutions; (ii) payment processing fees based on the transaction volumes processed through our integrated payment solutions and processing fees based on transaction volumes for our revenue cycle management, chronic care management and health insurance clearinghouse solutions; and (iii) membership subscriptions and our share of rebates from suppliers generated though group purchasing programs. Our revenue from payment processing fees is recorded net of credit card and ACH processing and interchange charges in the month the services are performed.</w:t>
      </w:r>
    </w:p>
    <w:p>
      <w:pPr>
        <w:spacing w:after="0" w:line="20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Marketing Technology Solutions: </w:t>
      </w:r>
      <w:r>
        <w:rPr>
          <w:rFonts w:ascii="Arial" w:cs="Arial" w:eastAsia="Arial" w:hAnsi="Arial"/>
          <w:sz w:val="18"/>
          <w:szCs w:val="18"/>
          <w:color w:val="auto"/>
        </w:rPr>
        <w:t>Revenue includes (i) recurring revenues for managing digital advertising programs on behalf of our customers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website hosting, search engine management and optimization, social media management and blog automation; and (ii) re-occurring fees paid by service professionals for consumer leads generated by our various platforms.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Other</w:t>
      </w:r>
      <w:r>
        <w:rPr>
          <w:rFonts w:ascii="Arial" w:cs="Arial" w:eastAsia="Arial" w:hAnsi="Arial"/>
          <w:sz w:val="17"/>
          <w:szCs w:val="17"/>
          <w:color w:val="auto"/>
        </w:rPr>
        <w:t>: Revenue includes (i) consulting, implementation, training and other professional services; (ii) website development; (iii) revenue from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business development partnerships; (iv) event income; and (v) hardware sales related to our business management or payment software solutions.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revenue (exclusive of depreciation and amortization) consists of expenses related to delivering our services and products and providing support to our customers and includes employee costs and related overhead, customer credit card processing fees, targeted mail costs, third party fulfillment costs and software hosting expenses.</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expect that cost of revenue as a percentage of revenue will fluctuate from period to period based on a variety of factors, including the mix of revenue between Subscription and Transaction Fees and Marketing Technology Solutions, labor costs, third-party expenses and acquisitions. In particular, Marketing Technology Solutions revenue generally has a higher cost of revenue as a percentage of revenue than our subscription and transaction fee revenue. For the year ended December 31, 2022, revenue from subscription and transaction fees increased 32.3% compared to the year ended December 31, 2021, whereas Marketing Technology Solutions revenue increased 13.8%. To the extent our Marketing Technology Solutions revenue grows at a faster rate, whether by acquisition or otherwise, than our Subscription and Transaction Fees revenue, it could negatively impact our cost of revenues as a percentage of revenue.</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and marketing expense consists primarily of employee costs for our sales and marketing personnel, including salaries, benefits, bonuses, stock-based compensation and sales commissions. Sales and marketing expenses also include advertising costs, travel-related expenses and costs to market and promote our products, direct customer acquisition costs, costs related to conferences and events and partner/broker commissions. Software and subscription services dedicated for use by our sales and marketing organization, and outside services contracted for sales and marketing purposes are also included in sales and marketing expense. Sales commissions that are incremental to obtaining a customer contract are deferred and amortized ratably over the estimated period of our relationship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6" w:name="page67"/>
    <w:bookmarkEnd w:id="66"/>
    <w:p>
      <w:pPr>
        <w:jc w:val="both"/>
        <w:spacing w:after="0" w:line="277" w:lineRule="auto"/>
        <w:rPr>
          <w:sz w:val="20"/>
          <w:szCs w:val="20"/>
          <w:color w:val="auto"/>
        </w:rPr>
      </w:pPr>
      <w:r>
        <w:rPr>
          <w:rFonts w:ascii="Arial" w:cs="Arial" w:eastAsia="Arial" w:hAnsi="Arial"/>
          <w:sz w:val="18"/>
          <w:szCs w:val="18"/>
          <w:color w:val="auto"/>
        </w:rPr>
        <w:t>that customer. We expect our sales and marketing expenses will increase in absolute dollars and may increase as a percentage of revenue for the foreseeable future as we continue to increase investments to support our growth.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Product development expense consists primarily of employee costs for our product development personnel, including salaries, benefits, stock-based compensation and bonuses. Product development expenses also include third-party outsourced technology costs incurred in developing our platforms, and computer equipment, software and subscription services dedicated for use by our product development organization. We expect our product development expenses to increase in absolute dollars and remain generally consistent as a percentage of revenue for the foreseeable future as we continue to dedicate substantial resources to develop, improve and expand the functionality of our solutions.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General and administrative expense consists of employee costs for our executive leadership, accounting, finance, legal, human resources and other administrative personnel, including salaries, benefits, bonuses and stock-based compensation. General and administrative expenses also include external legal, accounting and other professional services fees, rent, software and subscription services dedicated for use by our general and administrative employees and other general corporate expenses. We expect general and administrative expense to increase on an absolute dollar basis for the foreseeable future as we continue to increase investments to support our growth and due to increased costs as a result of being a public company. As we are able to further scale our operations in the future, we would expect that general and administrative expenses would decrease as a percentage of revenue.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primarily relate to intangible assets, property and equipment and capitalized software.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other expense, net, primarily consists of interest expense on long-term debt, net of interest income, as well as loss on interest rate swap. It also includes amortization expense of financing costs and discounts, as well as realized and unrealized gains and losses.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on debt extinguishment represents the difference between the amount paid to extinguish the debt and the carrying value of the debt, inclusive of the write-off of previously deferred financing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5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We account for income taxes 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ASC 740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benefit (expense)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financial statements than for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following tables summarize key components of our results of operations for the periods presented. The period-to-period comparisons of our historical results are not necessarily indicative of the results that may be expected in the future. We operate as a single reportable segment to reflect the way our chief operating decision maker (“CODM”) reviews and assesses the performance of our business. For additional information concerning our accounting policies, see Note 2 in the notes to the consolidated financial statements included in this Annual Report on Form 10-K.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Acquisitions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comparability of our operating results is impacted by our business combinations and acquisitions. In our discussion of changes in our results of operations for the year ended December 31, 2022 compared to the year ended December 31, 2021, we quantitatively disclose the impact of the growth in certain of our revenues where such discussions would be meaningful. Expense contributions from our recent acquisitions for each of the respective period comparisons generally were not separately identifiable due to the integration of these businesses into our existing operations, and as such the discussion is focused on major changes in components of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p>
        </w:tc>
        <w:tc>
          <w:tcPr>
            <w:tcW w:w="2780" w:type="dxa"/>
            <w:vAlign w:val="bottom"/>
            <w:gridSpan w:val="4"/>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66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60" w:type="dxa"/>
            <w:vAlign w:val="bottom"/>
          </w:tcPr>
          <w:p>
            <w:pPr>
              <w:spacing w:after="0"/>
              <w:rPr>
                <w:sz w:val="20"/>
                <w:szCs w:val="20"/>
                <w:color w:val="auto"/>
              </w:rPr>
            </w:pP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gridSpan w:val="3"/>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760" w:type="dxa"/>
            <w:vAlign w:val="bottom"/>
            <w:gridSpan w:val="3"/>
          </w:tcPr>
          <w:p>
            <w:pPr>
              <w:jc w:val="right"/>
              <w:ind w:right="450"/>
              <w:spacing w:after="0"/>
              <w:rPr>
                <w:sz w:val="20"/>
                <w:szCs w:val="20"/>
                <w:color w:val="auto"/>
              </w:rPr>
            </w:pPr>
            <w:r>
              <w:rPr>
                <w:rFonts w:ascii="Arial" w:cs="Arial" w:eastAsia="Arial" w:hAnsi="Arial"/>
                <w:sz w:val="18"/>
                <w:szCs w:val="18"/>
                <w:i w:val="1"/>
                <w:iCs w:val="1"/>
                <w:color w:val="auto"/>
              </w:rPr>
              <w:t>(in thousands)</w:t>
            </w:r>
          </w:p>
        </w:tc>
        <w:tc>
          <w:tcPr>
            <w:tcW w:w="66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6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100"/>
              <w:spacing w:after="0"/>
              <w:rPr>
                <w:sz w:val="20"/>
                <w:szCs w:val="20"/>
                <w:color w:val="auto"/>
              </w:rPr>
            </w:pPr>
            <w:r>
              <w:rPr>
                <w:rFonts w:ascii="Arial" w:cs="Arial" w:eastAsia="Arial" w:hAnsi="Arial"/>
                <w:sz w:val="18"/>
                <w:szCs w:val="18"/>
                <w:color w:val="auto"/>
              </w:rPr>
              <w:t>Subscription and transaction fees</w:t>
            </w:r>
          </w:p>
        </w:tc>
        <w:tc>
          <w:tcPr>
            <w:tcW w:w="1020" w:type="dxa"/>
            <w:vAlign w:val="bottom"/>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465,345</w:t>
            </w:r>
          </w:p>
        </w:tc>
        <w:tc>
          <w:tcPr>
            <w:tcW w:w="80" w:type="dxa"/>
            <w:vAlign w:val="bottom"/>
          </w:tcPr>
          <w:p>
            <w:pPr>
              <w:spacing w:after="0"/>
              <w:rPr>
                <w:sz w:val="21"/>
                <w:szCs w:val="21"/>
                <w:color w:val="auto"/>
              </w:rPr>
            </w:pPr>
          </w:p>
        </w:tc>
        <w:tc>
          <w:tcPr>
            <w:tcW w:w="1020" w:type="dxa"/>
            <w:vAlign w:val="bottom"/>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6"/>
              </w:rPr>
              <w:t>351,831</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Marketing technology solutions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134,596</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118,275</w:t>
            </w:r>
          </w:p>
        </w:tc>
      </w:tr>
      <w:tr>
        <w:trPr>
          <w:trHeight w:val="243"/>
        </w:trPr>
        <w:tc>
          <w:tcPr>
            <w:tcW w:w="7800" w:type="dxa"/>
            <w:vAlign w:val="bottom"/>
          </w:tcPr>
          <w:p>
            <w:pPr>
              <w:ind w:left="1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20,805</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20,033</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4"/>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620,746</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490,139</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spacing w:after="0"/>
              <w:rPr>
                <w:sz w:val="21"/>
                <w:szCs w:val="21"/>
                <w:color w:val="auto"/>
              </w:rPr>
            </w:pP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445"/>
        </w:trPr>
        <w:tc>
          <w:tcPr>
            <w:tcW w:w="7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 xml:space="preserve">Cost of revenues </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(exclusive of depreciation and amortization presented separately below)</w:t>
            </w: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217,375</w:t>
            </w:r>
          </w:p>
        </w:tc>
        <w:tc>
          <w:tcPr>
            <w:tcW w:w="8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162,230</w:t>
            </w:r>
          </w:p>
        </w:tc>
      </w:tr>
      <w:tr>
        <w:trPr>
          <w:trHeight w:val="270"/>
        </w:trPr>
        <w:tc>
          <w:tcPr>
            <w:tcW w:w="7800" w:type="dxa"/>
            <w:vAlign w:val="bottom"/>
          </w:tcPr>
          <w:p>
            <w:pPr>
              <w:ind w:left="140"/>
              <w:spacing w:after="0"/>
              <w:rPr>
                <w:sz w:val="20"/>
                <w:szCs w:val="20"/>
                <w:color w:val="auto"/>
              </w:rPr>
            </w:pPr>
            <w:r>
              <w:rPr>
                <w:rFonts w:ascii="Arial" w:cs="Arial" w:eastAsia="Arial" w:hAnsi="Arial"/>
                <w:sz w:val="18"/>
                <w:szCs w:val="18"/>
                <w:color w:val="auto"/>
              </w:rPr>
              <w:t xml:space="preserve">Sales and marketing </w:t>
            </w:r>
            <w:r>
              <w:rPr>
                <w:rFonts w:ascii="Arial" w:cs="Arial" w:eastAsia="Arial" w:hAnsi="Arial"/>
                <w:sz w:val="23"/>
                <w:szCs w:val="23"/>
                <w:color w:val="auto"/>
                <w:vertAlign w:val="superscript"/>
              </w:rPr>
              <w:t>(1)</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119,059</w:t>
            </w: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93,789</w:t>
            </w:r>
          </w:p>
        </w:tc>
      </w:tr>
      <w:tr>
        <w:trPr>
          <w:trHeight w:val="27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Product development </w:t>
            </w:r>
            <w:r>
              <w:rPr>
                <w:rFonts w:ascii="Arial" w:cs="Arial" w:eastAsia="Arial" w:hAnsi="Arial"/>
                <w:sz w:val="23"/>
                <w:szCs w:val="23"/>
                <w:color w:val="auto"/>
                <w:vertAlign w:val="superscript"/>
              </w:rPr>
              <w:t>(1)</w:t>
            </w: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71,622</w:t>
            </w: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49,506</w:t>
            </w:r>
          </w:p>
        </w:tc>
      </w:tr>
      <w:tr>
        <w:trPr>
          <w:trHeight w:val="270"/>
        </w:trPr>
        <w:tc>
          <w:tcPr>
            <w:tcW w:w="7800" w:type="dxa"/>
            <w:vAlign w:val="bottom"/>
          </w:tcPr>
          <w:p>
            <w:pPr>
              <w:ind w:left="10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23"/>
                <w:szCs w:val="23"/>
                <w:color w:val="auto"/>
                <w:vertAlign w:val="superscript"/>
              </w:rPr>
              <w:t>(1)</w:t>
            </w: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132,483</w:t>
            </w:r>
          </w:p>
        </w:tc>
        <w:tc>
          <w:tcPr>
            <w:tcW w:w="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6"/>
              </w:rPr>
              <w:t>110,369</w:t>
            </w:r>
          </w:p>
        </w:tc>
      </w:tr>
      <w:tr>
        <w:trPr>
          <w:trHeight w:val="270"/>
        </w:trPr>
        <w:tc>
          <w:tcPr>
            <w:tcW w:w="7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Depreciation and amortization</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110,801</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101,437</w:t>
            </w:r>
          </w:p>
        </w:tc>
      </w:tr>
      <w:tr>
        <w:trPr>
          <w:trHeight w:val="237"/>
        </w:trPr>
        <w:tc>
          <w:tcPr>
            <w:tcW w:w="780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651,340</w:t>
            </w:r>
          </w:p>
        </w:tc>
        <w:tc>
          <w:tcPr>
            <w:tcW w:w="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517,331</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43"/>
        </w:trPr>
        <w:tc>
          <w:tcPr>
            <w:tcW w:w="78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Operating loss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(30,594)</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(27,192)</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(33,902)</w:t>
            </w: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(36,111)</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10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(28,714)</w:t>
            </w:r>
          </w:p>
        </w:tc>
      </w:tr>
      <w:tr>
        <w:trPr>
          <w:trHeight w:val="237"/>
        </w:trPr>
        <w:tc>
          <w:tcPr>
            <w:tcW w:w="7800" w:type="dxa"/>
            <w:vAlign w:val="bottom"/>
          </w:tcPr>
          <w:p>
            <w:pPr>
              <w:ind w:left="460"/>
              <w:spacing w:after="0"/>
              <w:rPr>
                <w:sz w:val="20"/>
                <w:szCs w:val="20"/>
                <w:color w:val="auto"/>
              </w:rPr>
            </w:pPr>
            <w:r>
              <w:rPr>
                <w:rFonts w:ascii="Arial" w:cs="Arial" w:eastAsia="Arial" w:hAnsi="Arial"/>
                <w:sz w:val="18"/>
                <w:szCs w:val="18"/>
                <w:color w:val="auto"/>
              </w:rPr>
              <w:t>Net loss before income tax benefit</w:t>
            </w: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(64,496)</w:t>
            </w:r>
          </w:p>
        </w:tc>
        <w:tc>
          <w:tcPr>
            <w:tcW w:w="8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(92,017)</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10,051</w:t>
            </w:r>
          </w:p>
        </w:tc>
      </w:tr>
      <w:tr>
        <w:trPr>
          <w:trHeight w:val="264"/>
        </w:trPr>
        <w:tc>
          <w:tcPr>
            <w:tcW w:w="7800" w:type="dxa"/>
            <w:vAlign w:val="bottom"/>
          </w:tcPr>
          <w:p>
            <w:pPr>
              <w:ind w:left="560"/>
              <w:spacing w:after="0"/>
              <w:rPr>
                <w:sz w:val="20"/>
                <w:szCs w:val="20"/>
                <w:color w:val="auto"/>
              </w:rPr>
            </w:pPr>
            <w:r>
              <w:rPr>
                <w:rFonts w:ascii="Arial" w:cs="Arial" w:eastAsia="Arial" w:hAnsi="Arial"/>
                <w:sz w:val="18"/>
                <w:szCs w:val="18"/>
                <w:color w:val="auto"/>
              </w:rPr>
              <w:t>Net loss</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(59,816)</w:t>
            </w:r>
          </w:p>
        </w:tc>
        <w:tc>
          <w:tcPr>
            <w:tcW w:w="8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(81,966)</w:t>
            </w:r>
          </w:p>
        </w:tc>
      </w:tr>
      <w:tr>
        <w:trPr>
          <w:trHeight w:val="20"/>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8" w:name="page69"/>
    <w:bookmarkEnd w:id="68"/>
    <w:tbl>
      <w:tblPr>
        <w:tblLayout w:type="fixed"/>
        <w:tblInd w:w="340" w:type="dxa"/>
        <w:tblCellMar>
          <w:top w:w="0" w:type="dxa"/>
          <w:left w:w="0" w:type="dxa"/>
          <w:bottom w:w="0" w:type="dxa"/>
          <w:right w:w="0" w:type="dxa"/>
        </w:tblCellMar>
      </w:tblPr>
      <w:tr>
        <w:trPr>
          <w:trHeight w:val="230"/>
        </w:trPr>
        <w:tc>
          <w:tcPr>
            <w:tcW w:w="7020" w:type="dxa"/>
            <w:vAlign w:val="bottom"/>
            <w:gridSpan w:val="2"/>
          </w:tcPr>
          <w:p>
            <w:pPr>
              <w:spacing w:after="0"/>
              <w:rPr>
                <w:sz w:val="20"/>
                <w:szCs w:val="20"/>
                <w:color w:val="auto"/>
              </w:rPr>
            </w:pPr>
            <w:r>
              <w:rPr>
                <w:rFonts w:ascii="Arial" w:cs="Arial" w:eastAsia="Arial" w:hAnsi="Arial"/>
                <w:sz w:val="18"/>
                <w:szCs w:val="18"/>
                <w:color w:val="auto"/>
              </w:rPr>
              <w:t>(1) Includes stock-based compensation expense as follows:</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0"/>
        </w:trPr>
        <w:tc>
          <w:tcPr>
            <w:tcW w:w="320" w:type="dxa"/>
            <w:vAlign w:val="bottom"/>
          </w:tcPr>
          <w:p>
            <w:pPr>
              <w:spacing w:after="0"/>
              <w:rPr>
                <w:sz w:val="23"/>
                <w:szCs w:val="23"/>
                <w:color w:val="auto"/>
              </w:rPr>
            </w:pPr>
          </w:p>
        </w:tc>
        <w:tc>
          <w:tcPr>
            <w:tcW w:w="67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68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7"/>
              </w:rPr>
              <w:t>Year ended December 31,</w:t>
            </w:r>
          </w:p>
        </w:tc>
      </w:tr>
      <w:tr>
        <w:trPr>
          <w:trHeight w:val="27"/>
        </w:trPr>
        <w:tc>
          <w:tcPr>
            <w:tcW w:w="3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jc w:val="right"/>
              <w:ind w:right="450"/>
              <w:spacing w:after="0"/>
              <w:rPr>
                <w:sz w:val="20"/>
                <w:szCs w:val="20"/>
                <w:color w:val="auto"/>
              </w:rPr>
            </w:pPr>
            <w:r>
              <w:rPr>
                <w:rFonts w:ascii="Arial" w:cs="Arial" w:eastAsia="Arial" w:hAnsi="Arial"/>
                <w:sz w:val="18"/>
                <w:szCs w:val="18"/>
                <w:b w:val="1"/>
                <w:bCs w:val="1"/>
                <w:color w:val="auto"/>
                <w:w w:val="94"/>
              </w:rPr>
              <w:t>2021</w:t>
            </w:r>
          </w:p>
        </w:tc>
      </w:tr>
      <w:tr>
        <w:trPr>
          <w:trHeight w:val="27"/>
        </w:trPr>
        <w:tc>
          <w:tcPr>
            <w:tcW w:w="3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940" w:type="dxa"/>
            <w:vAlign w:val="bottom"/>
          </w:tcPr>
          <w:p>
            <w:pPr>
              <w:spacing w:after="0"/>
              <w:rPr>
                <w:sz w:val="20"/>
                <w:szCs w:val="20"/>
                <w:color w:val="auto"/>
              </w:rPr>
            </w:pPr>
          </w:p>
        </w:tc>
      </w:tr>
      <w:tr>
        <w:trPr>
          <w:trHeight w:val="81"/>
        </w:trPr>
        <w:tc>
          <w:tcPr>
            <w:tcW w:w="320" w:type="dxa"/>
            <w:vAlign w:val="bottom"/>
          </w:tcPr>
          <w:p>
            <w:pPr>
              <w:spacing w:after="0"/>
              <w:rPr>
                <w:sz w:val="7"/>
                <w:szCs w:val="7"/>
                <w:color w:val="auto"/>
              </w:rPr>
            </w:pPr>
          </w:p>
        </w:tc>
        <w:tc>
          <w:tcPr>
            <w:tcW w:w="6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50"/>
        </w:trPr>
        <w:tc>
          <w:tcPr>
            <w:tcW w:w="3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43"/>
        </w:trPr>
        <w:tc>
          <w:tcPr>
            <w:tcW w:w="32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w:t>
            </w:r>
          </w:p>
        </w:tc>
      </w:tr>
      <w:tr>
        <w:trPr>
          <w:trHeight w:val="27"/>
        </w:trPr>
        <w:tc>
          <w:tcPr>
            <w:tcW w:w="320" w:type="dxa"/>
            <w:vAlign w:val="bottom"/>
          </w:tcPr>
          <w:p>
            <w:pPr>
              <w:spacing w:after="0"/>
              <w:rPr>
                <w:sz w:val="2"/>
                <w:szCs w:val="2"/>
                <w:color w:val="auto"/>
              </w:rPr>
            </w:pPr>
          </w:p>
        </w:tc>
        <w:tc>
          <w:tcPr>
            <w:tcW w:w="6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32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r>
      <w:tr>
        <w:trPr>
          <w:trHeight w:val="243"/>
        </w:trPr>
        <w:tc>
          <w:tcPr>
            <w:tcW w:w="320" w:type="dxa"/>
            <w:vAlign w:val="bottom"/>
          </w:tcPr>
          <w:p>
            <w:pPr>
              <w:spacing w:after="0"/>
              <w:rPr>
                <w:sz w:val="21"/>
                <w:szCs w:val="21"/>
                <w:color w:val="auto"/>
              </w:rPr>
            </w:pPr>
          </w:p>
        </w:tc>
        <w:tc>
          <w:tcPr>
            <w:tcW w:w="67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23,088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20,999</w:t>
            </w:r>
          </w:p>
        </w:tc>
      </w:tr>
      <w:tr>
        <w:trPr>
          <w:trHeight w:val="27"/>
        </w:trPr>
        <w:tc>
          <w:tcPr>
            <w:tcW w:w="320" w:type="dxa"/>
            <w:vAlign w:val="bottom"/>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88"/>
        </w:trPr>
        <w:tc>
          <w:tcPr>
            <w:tcW w:w="320" w:type="dxa"/>
            <w:vAlign w:val="bottom"/>
          </w:tcPr>
          <w:p>
            <w:pPr>
              <w:spacing w:after="0"/>
              <w:rPr>
                <w:sz w:val="24"/>
                <w:szCs w:val="24"/>
                <w:color w:val="auto"/>
              </w:rPr>
            </w:pPr>
          </w:p>
        </w:tc>
        <w:tc>
          <w:tcPr>
            <w:tcW w:w="6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stock-based compensation expense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26,818</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22,095</w:t>
            </w:r>
          </w:p>
        </w:tc>
      </w:tr>
      <w:tr>
        <w:trPr>
          <w:trHeight w:val="20"/>
        </w:trPr>
        <w:tc>
          <w:tcPr>
            <w:tcW w:w="320" w:type="dxa"/>
            <w:vAlign w:val="bottom"/>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00" w:type="dxa"/>
            <w:vAlign w:val="bottom"/>
          </w:tcPr>
          <w:p>
            <w:pPr>
              <w:spacing w:after="0"/>
              <w:rPr>
                <w:sz w:val="20"/>
                <w:szCs w:val="20"/>
                <w:color w:val="auto"/>
              </w:rPr>
            </w:pPr>
            <w:r>
              <w:rPr>
                <w:rFonts w:ascii="Arial" w:cs="Arial" w:eastAsia="Arial" w:hAnsi="Arial"/>
                <w:sz w:val="18"/>
                <w:szCs w:val="18"/>
                <w:b w:val="1"/>
                <w:bCs w:val="1"/>
                <w:i w:val="1"/>
                <w:iCs w:val="1"/>
                <w:color w:val="auto"/>
              </w:rPr>
              <w:t>Revenues</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46"/>
        </w:trPr>
        <w:tc>
          <w:tcPr>
            <w:tcW w:w="5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40" w:type="dxa"/>
            <w:vAlign w:val="bottom"/>
            <w:gridSpan w:val="5"/>
          </w:tcPr>
          <w:p>
            <w:pPr>
              <w:ind w:left="20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780" w:type="dxa"/>
            <w:vAlign w:val="bottom"/>
            <w:gridSpan w:val="3"/>
          </w:tcPr>
          <w:p>
            <w:pPr>
              <w:ind w:left="1000"/>
              <w:spacing w:after="0"/>
              <w:rPr>
                <w:sz w:val="20"/>
                <w:szCs w:val="20"/>
                <w:color w:val="auto"/>
              </w:rPr>
            </w:pPr>
            <w:r>
              <w:rPr>
                <w:rFonts w:ascii="Arial" w:cs="Arial" w:eastAsia="Arial" w:hAnsi="Arial"/>
                <w:sz w:val="18"/>
                <w:szCs w:val="18"/>
                <w:b w:val="1"/>
                <w:bCs w:val="1"/>
                <w:color w:val="auto"/>
              </w:rPr>
              <w:t>Change</w:t>
            </w:r>
          </w:p>
        </w:tc>
        <w:tc>
          <w:tcPr>
            <w:tcW w:w="1060" w:type="dxa"/>
            <w:vAlign w:val="bottom"/>
          </w:tcPr>
          <w:p>
            <w:pPr>
              <w:spacing w:after="0"/>
              <w:rPr>
                <w:sz w:val="24"/>
                <w:szCs w:val="24"/>
                <w:color w:val="auto"/>
              </w:rPr>
            </w:pPr>
          </w:p>
        </w:tc>
      </w:tr>
      <w:tr>
        <w:trPr>
          <w:trHeight w:val="27"/>
        </w:trPr>
        <w:tc>
          <w:tcPr>
            <w:tcW w:w="5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Amount</w:t>
            </w:r>
          </w:p>
        </w:tc>
        <w:tc>
          <w:tcPr>
            <w:tcW w:w="1060" w:type="dxa"/>
            <w:vAlign w:val="bottom"/>
          </w:tcPr>
          <w:p>
            <w:pPr>
              <w:jc w:val="right"/>
              <w:ind w:right="610"/>
              <w:spacing w:after="0"/>
              <w:rPr>
                <w:sz w:val="20"/>
                <w:szCs w:val="20"/>
                <w:color w:val="auto"/>
              </w:rPr>
            </w:pPr>
            <w:r>
              <w:rPr>
                <w:rFonts w:ascii="Arial" w:cs="Arial" w:eastAsia="Arial" w:hAnsi="Arial"/>
                <w:sz w:val="18"/>
                <w:szCs w:val="18"/>
                <w:b w:val="1"/>
                <w:bCs w:val="1"/>
                <w:color w:val="auto"/>
              </w:rPr>
              <w:t>%</w:t>
            </w:r>
          </w:p>
        </w:tc>
      </w:tr>
      <w:tr>
        <w:trPr>
          <w:trHeight w:val="27"/>
        </w:trPr>
        <w:tc>
          <w:tcPr>
            <w:tcW w:w="5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240" w:type="dxa"/>
            <w:vAlign w:val="bottom"/>
            <w:tcBorders>
              <w:bottom w:val="single" w:sz="8" w:color="auto"/>
            </w:tcBorders>
            <w:gridSpan w:val="6"/>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40" w:type="dxa"/>
            <w:vAlign w:val="bottom"/>
            <w:gridSpan w:val="6"/>
          </w:tcPr>
          <w:p>
            <w:pPr>
              <w:ind w:left="440"/>
              <w:spacing w:after="0"/>
              <w:rPr>
                <w:sz w:val="20"/>
                <w:szCs w:val="20"/>
                <w:color w:val="auto"/>
              </w:rPr>
            </w:pPr>
            <w:r>
              <w:rPr>
                <w:rFonts w:ascii="Arial" w:cs="Arial" w:eastAsia="Arial" w:hAnsi="Arial"/>
                <w:sz w:val="18"/>
                <w:szCs w:val="18"/>
                <w:i w:val="1"/>
                <w:iCs w:val="1"/>
                <w:color w:val="auto"/>
              </w:rPr>
              <w:t>(dollars in thousands)</w:t>
            </w:r>
          </w:p>
        </w:tc>
        <w:tc>
          <w:tcPr>
            <w:tcW w:w="1060" w:type="dxa"/>
            <w:vAlign w:val="bottom"/>
          </w:tcPr>
          <w:p>
            <w:pPr>
              <w:spacing w:after="0"/>
              <w:rPr>
                <w:sz w:val="20"/>
                <w:szCs w:val="20"/>
                <w:color w:val="auto"/>
              </w:rPr>
            </w:pPr>
          </w:p>
        </w:tc>
      </w:tr>
      <w:tr>
        <w:trPr>
          <w:trHeight w:val="81"/>
        </w:trPr>
        <w:tc>
          <w:tcPr>
            <w:tcW w:w="5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250"/>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00" w:type="dxa"/>
            <w:vAlign w:val="bottom"/>
          </w:tcPr>
          <w:p>
            <w:pPr>
              <w:ind w:left="140"/>
              <w:spacing w:after="0"/>
              <w:rPr>
                <w:sz w:val="20"/>
                <w:szCs w:val="20"/>
                <w:color w:val="auto"/>
              </w:rPr>
            </w:pPr>
            <w:r>
              <w:rPr>
                <w:rFonts w:ascii="Arial" w:cs="Arial" w:eastAsia="Arial" w:hAnsi="Arial"/>
                <w:sz w:val="18"/>
                <w:szCs w:val="18"/>
                <w:color w:val="auto"/>
              </w:rPr>
              <w:t>Subscription and transaction fees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465,345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351,831</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113,514</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32.3 %</w:t>
            </w:r>
          </w:p>
        </w:tc>
      </w:tr>
      <w:tr>
        <w:trPr>
          <w:trHeight w:val="27"/>
        </w:trPr>
        <w:tc>
          <w:tcPr>
            <w:tcW w:w="5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Marketing technology solutions</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118,275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16,321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43"/>
        </w:trPr>
        <w:tc>
          <w:tcPr>
            <w:tcW w:w="5100" w:type="dxa"/>
            <w:vAlign w:val="bottom"/>
          </w:tcPr>
          <w:p>
            <w:pPr>
              <w:ind w:left="14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20,805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20,033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5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5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620,746</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490,139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130,607</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26.6 %</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6082665</wp:posOffset>
            </wp:positionH>
            <wp:positionV relativeFrom="paragraph">
              <wp:posOffset>-1113790</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-1113790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increased $130.6 million or 26.6% for the year ended December 31, 2022 as compared to the year ended December 31, 2021. This increase was primarily driven by increases in subscription and transaction fees of $113.5 million and marketing technology solutions of $16.3 million due to our pro forma revenue growth of 15.6% in the year ended December 31, 2022. Additionally, subscription and transaction fees increased by $61.1 million from revenue earned from acquisitions completed in 2021.</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Cost of Revenues</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4"/>
          </w:tcPr>
          <w:p>
            <w:pPr>
              <w:ind w:left="28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revenues (exclusive of depreciation and amortization</w:t>
            </w:r>
          </w:p>
        </w:tc>
        <w:tc>
          <w:tcPr>
            <w:tcW w:w="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7"/>
        </w:trPr>
        <w:tc>
          <w:tcPr>
            <w:tcW w:w="4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presented separately below)</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217,375</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162,230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55,145</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35.0 %</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33.1 %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revenues increased by $55.1 million or 34.0% for the year ended December 31, 2022 as compared to the year ended December 31, 2021. This increase is primarily comprised of an additional $10.3 million in personnel and compensation expense, $10.3 million of media spend, $9.1 million in contract services, $7.4 million in application programming interface fees and $4.2 million of hosting expense. As a percentage of revenue, cost of revenues was 35.0% and 33.1% for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Sales and Marketing</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ind w:left="26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119,059</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93,789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25,270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19.2 %</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19.1 %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Sales and marketing expenses increased by $25.3 million or 26.9% for the year ended December 31, 2022 as compared to the year ended December 31, 2021. This increase was primarily driven by an additiona</w:t>
      </w:r>
      <w:r>
        <w:rPr>
          <w:rFonts w:ascii="Arial" w:cs="Arial" w:eastAsia="Arial" w:hAnsi="Arial"/>
          <w:sz w:val="17"/>
          <w:szCs w:val="17"/>
          <w:b w:val="1"/>
          <w:bCs w:val="1"/>
          <w:color w:val="auto"/>
        </w:rPr>
        <w:t>l</w:t>
      </w:r>
      <w:r>
        <w:rPr>
          <w:rFonts w:ascii="Arial" w:cs="Arial" w:eastAsia="Arial" w:hAnsi="Arial"/>
          <w:sz w:val="17"/>
          <w:szCs w:val="17"/>
          <w:color w:val="auto"/>
        </w:rPr>
        <w:t xml:space="preserve"> $15.6 million in personnel and compensation expense, $2.2 million in advertising spend and $2.0 million in conference expense, due to the continued investment in growth through various marketing channels. As a percentage of revenue, sales and marketing expenses were 19.2% and 19.1% for the years ended December 31, 2022 and 2021,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60" w:type="dxa"/>
            <w:vAlign w:val="bottom"/>
          </w:tcPr>
          <w:p>
            <w:pPr>
              <w:spacing w:after="0"/>
              <w:rPr>
                <w:sz w:val="20"/>
                <w:szCs w:val="20"/>
                <w:color w:val="auto"/>
              </w:rPr>
            </w:pPr>
            <w:r>
              <w:rPr>
                <w:rFonts w:ascii="Arial" w:cs="Arial" w:eastAsia="Arial" w:hAnsi="Arial"/>
                <w:sz w:val="18"/>
                <w:szCs w:val="18"/>
                <w:b w:val="1"/>
                <w:bCs w:val="1"/>
                <w:i w:val="1"/>
                <w:iCs w:val="1"/>
                <w:color w:val="auto"/>
              </w:rPr>
              <w:t>Product Development</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4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00" w:type="dxa"/>
            <w:vAlign w:val="bottom"/>
            <w:gridSpan w:val="4"/>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7"/>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4"/>
          </w:tcPr>
          <w:p>
            <w:pPr>
              <w:jc w:val="right"/>
              <w:ind w:right="121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71,622</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49,506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22,116</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44.7 %</w:t>
            </w: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11.5 %</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Product development expenses increased by $22.1 million or 44.7% for the year ended December 31, 2022 as compared to the year ended December 31, 2021. This increase was primarily driven by additional product development related personnel expenses of $16.3 million, as a result of investments in our technology teams to support our various solutions as well as centralized security operations, information technology and cloud engineering. As a percentage of revenue, product development expenses were 11.5% and 10.1% for the years ended December 31, 2022 and 2021, respectively.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General and Administrative</w:t>
            </w: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6"/>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4"/>
          </w:tcPr>
          <w:p>
            <w:pPr>
              <w:ind w:left="28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72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2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132,483</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110,369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22,114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20.0 %</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21.3 %</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expenses increased by $22.1 million or 20.0% for the year ended December 31, 2022 as compared to the year ended December 31, 2021. This increase was primarily driven by an additional $10.4 million of personnel and compensation expense, $2.4 million of software and tools spend, $2.1 million of stock based compensation expense and $2.1 million of insurance expense, due to the continued investment in infrastructure required to support our growth, scalable operations and being a public company. As a percentage of revenue, general and administrative expenses were 21.3% and 22.5% for the years ended December 31,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4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40" w:type="dxa"/>
            <w:vAlign w:val="bottom"/>
            <w:gridSpan w:val="4"/>
          </w:tcPr>
          <w:p>
            <w:pPr>
              <w:ind w:left="26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4"/>
                <w:szCs w:val="24"/>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7"/>
        </w:trPr>
        <w:tc>
          <w:tcPr>
            <w:tcW w:w="4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110,801</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101,437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9,364</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9.2 %</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17.8 %</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expenses increased by $9.4 million or 9.2% for the year ended December 31, 2022 as compared to the year ended December 31, 2021. This increase was primarily driven by an increase of $7.3 million in intangible assets’ amortization as a result of intangible asset additions from our 2021 acquisitions. As a percentage of revenue, depreciation and amortization expenses were 17.8% and 20.7% for the years ended December 31, 2022 and 2021,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Interest and Other Expense, net</w:t>
            </w: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4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920" w:type="dxa"/>
            <w:vAlign w:val="bottom"/>
            <w:gridSpan w:val="4"/>
          </w:tcPr>
          <w:p>
            <w:pPr>
              <w:ind w:left="260"/>
              <w:spacing w:after="0"/>
              <w:rPr>
                <w:sz w:val="20"/>
                <w:szCs w:val="20"/>
                <w:color w:val="auto"/>
              </w:rPr>
            </w:pPr>
            <w:r>
              <w:rPr>
                <w:rFonts w:ascii="Arial" w:cs="Arial" w:eastAsia="Arial" w:hAnsi="Arial"/>
                <w:sz w:val="18"/>
                <w:szCs w:val="18"/>
                <w:b w:val="1"/>
                <w:bCs w:val="1"/>
                <w:color w:val="auto"/>
              </w:rPr>
              <w:t>Year ended December 31,</w:t>
            </w:r>
          </w:p>
        </w:tc>
        <w:tc>
          <w:tcPr>
            <w:tcW w:w="240" w:type="dxa"/>
            <w:vAlign w:val="bottom"/>
          </w:tcPr>
          <w:p>
            <w:pPr>
              <w:spacing w:after="0"/>
              <w:rPr>
                <w:sz w:val="24"/>
                <w:szCs w:val="24"/>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6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33,902</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36,111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(2,209)</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5.5 %</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and other expense, net, decreased by $2.2 million or 6.1% for the year ended December 31, 2022 as compared to the year ended December 31, 2021. This decrease was primarily due to an overall lower outstanding debt balance in 2022 compared to 2021, as the Company refinanced its former credit facilities on July 6, 2021, offset by the loss on interest rate swap recognized in 2022. As a percentage of revenue, interest and other expense, net were 5.5% and 7.4% for the years ended December 31, 2022 and 2021,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r>
              <w:rPr>
                <w:rFonts w:ascii="Arial" w:cs="Arial" w:eastAsia="Arial" w:hAnsi="Arial"/>
                <w:sz w:val="18"/>
                <w:szCs w:val="18"/>
                <w:b w:val="1"/>
                <w:bCs w:val="1"/>
                <w:i w:val="1"/>
                <w:iCs w:val="1"/>
                <w:color w:val="auto"/>
              </w:rPr>
              <w:t>Loss on Debt Extinguishment</w:t>
            </w: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6"/>
        </w:trPr>
        <w:tc>
          <w:tcPr>
            <w:tcW w:w="5040" w:type="dxa"/>
            <w:vAlign w:val="bottom"/>
          </w:tcPr>
          <w:p>
            <w:pPr>
              <w:spacing w:after="0"/>
              <w:rPr>
                <w:sz w:val="24"/>
                <w:szCs w:val="24"/>
                <w:color w:val="auto"/>
              </w:rPr>
            </w:pPr>
          </w:p>
        </w:tc>
        <w:tc>
          <w:tcPr>
            <w:tcW w:w="3280" w:type="dxa"/>
            <w:vAlign w:val="bottom"/>
            <w:gridSpan w:val="5"/>
          </w:tcPr>
          <w:p>
            <w:pPr>
              <w:ind w:left="62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68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980" w:type="dxa"/>
            <w:vAlign w:val="bottom"/>
          </w:tcPr>
          <w:p>
            <w:pPr>
              <w:spacing w:after="0"/>
              <w:rPr>
                <w:sz w:val="24"/>
                <w:szCs w:val="24"/>
                <w:color w:val="auto"/>
              </w:rPr>
            </w:pPr>
          </w:p>
        </w:tc>
      </w:tr>
      <w:tr>
        <w:trPr>
          <w:trHeight w:val="27"/>
        </w:trPr>
        <w:tc>
          <w:tcPr>
            <w:tcW w:w="5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040" w:type="dxa"/>
            <w:vAlign w:val="bottom"/>
          </w:tcPr>
          <w:p>
            <w:pPr>
              <w:ind w:left="600"/>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830"/>
              <w:spacing w:after="0"/>
              <w:rPr>
                <w:sz w:val="20"/>
                <w:szCs w:val="20"/>
                <w:color w:val="auto"/>
              </w:rPr>
            </w:pPr>
            <w:r>
              <w:rPr>
                <w:rFonts w:ascii="Arial" w:cs="Arial" w:eastAsia="Arial" w:hAnsi="Arial"/>
                <w:sz w:val="18"/>
                <w:szCs w:val="18"/>
                <w:b w:val="1"/>
                <w:bCs w:val="1"/>
                <w:color w:val="auto"/>
              </w:rPr>
              <w:t>Amount</w:t>
            </w:r>
          </w:p>
        </w:tc>
        <w:tc>
          <w:tcPr>
            <w:tcW w:w="980" w:type="dxa"/>
            <w:vAlign w:val="bottom"/>
          </w:tcPr>
          <w:p>
            <w:pPr>
              <w:jc w:val="right"/>
              <w:ind w:right="530"/>
              <w:spacing w:after="0"/>
              <w:rPr>
                <w:sz w:val="20"/>
                <w:szCs w:val="20"/>
                <w:color w:val="auto"/>
              </w:rPr>
            </w:pPr>
            <w:r>
              <w:rPr>
                <w:rFonts w:ascii="Arial" w:cs="Arial" w:eastAsia="Arial" w:hAnsi="Arial"/>
                <w:sz w:val="18"/>
                <w:szCs w:val="18"/>
                <w:b w:val="1"/>
                <w:bCs w:val="1"/>
                <w:color w:val="auto"/>
              </w:rPr>
              <w:t>%</w:t>
            </w:r>
          </w:p>
        </w:tc>
      </w:tr>
      <w:tr>
        <w:trPr>
          <w:trHeight w:val="27"/>
        </w:trPr>
        <w:tc>
          <w:tcPr>
            <w:tcW w:w="50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4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980" w:type="dxa"/>
            <w:vAlign w:val="bottom"/>
          </w:tcPr>
          <w:p>
            <w:pPr>
              <w:spacing w:after="0"/>
              <w:rPr>
                <w:sz w:val="20"/>
                <w:szCs w:val="20"/>
                <w:color w:val="auto"/>
              </w:rPr>
            </w:pPr>
          </w:p>
        </w:tc>
      </w:tr>
      <w:tr>
        <w:trPr>
          <w:trHeight w:val="81"/>
        </w:trPr>
        <w:tc>
          <w:tcPr>
            <w:tcW w:w="5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980" w:type="dxa"/>
            <w:vAlign w:val="bottom"/>
          </w:tcPr>
          <w:p>
            <w:pPr>
              <w:spacing w:after="0"/>
              <w:rPr>
                <w:sz w:val="7"/>
                <w:szCs w:val="7"/>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104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28,714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rPr>
              <w:t>(28,714)</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43"/>
        </w:trPr>
        <w:tc>
          <w:tcPr>
            <w:tcW w:w="50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1040" w:type="dxa"/>
            <w:vAlign w:val="bottom"/>
          </w:tcPr>
          <w:p>
            <w:pPr>
              <w:spacing w:after="0"/>
              <w:rPr>
                <w:sz w:val="21"/>
                <w:szCs w:val="21"/>
                <w:color w:val="auto"/>
              </w:rPr>
            </w:pPr>
          </w:p>
        </w:tc>
        <w:tc>
          <w:tcPr>
            <w:tcW w:w="540" w:type="dxa"/>
            <w:vAlign w:val="bottom"/>
          </w:tcPr>
          <w:p>
            <w:pPr>
              <w:ind w:left="10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338"/>
        </w:trPr>
        <w:tc>
          <w:tcPr>
            <w:tcW w:w="5040" w:type="dxa"/>
            <w:vAlign w:val="bottom"/>
          </w:tcPr>
          <w:p>
            <w:pPr>
              <w:spacing w:after="0"/>
              <w:rPr>
                <w:sz w:val="20"/>
                <w:szCs w:val="20"/>
                <w:color w:val="auto"/>
              </w:rPr>
            </w:pPr>
            <w:r>
              <w:rPr>
                <w:rFonts w:ascii="Arial" w:cs="Arial" w:eastAsia="Arial" w:hAnsi="Arial"/>
                <w:sz w:val="18"/>
                <w:szCs w:val="18"/>
                <w:color w:val="auto"/>
              </w:rPr>
              <w:t>_______________</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59"/>
        </w:trPr>
        <w:tc>
          <w:tcPr>
            <w:tcW w:w="5040" w:type="dxa"/>
            <w:vAlign w:val="bottom"/>
          </w:tcPr>
          <w:p>
            <w:pPr>
              <w:spacing w:after="0"/>
              <w:rPr>
                <w:sz w:val="20"/>
                <w:szCs w:val="20"/>
                <w:color w:val="auto"/>
              </w:rPr>
            </w:pPr>
            <w:r>
              <w:rPr>
                <w:rFonts w:ascii="Arial" w:cs="Arial" w:eastAsia="Arial" w:hAnsi="Arial"/>
                <w:sz w:val="18"/>
                <w:szCs w:val="18"/>
                <w:color w:val="auto"/>
              </w:rPr>
              <w:t>N.M. — Not Meaningful.</w:t>
            </w: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Loss on debt extinguishment decreased by $28.7 million for the year ended December 31, 2022 as compared to the year ended December 31, 2021. In the year ended December 31, 2021, the Company recorded a loss on debt extinguishment of approximately $28.7 million. For additional information concerning our loss on debt extinguishment, see Note 10 in the notes to the consolidated financial statements included in our 2021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20"/>
                <w:szCs w:val="20"/>
                <w:color w:val="auto"/>
              </w:rPr>
            </w:pPr>
            <w:r>
              <w:rPr>
                <w:rFonts w:ascii="Arial" w:cs="Arial" w:eastAsia="Arial" w:hAnsi="Arial"/>
                <w:sz w:val="18"/>
                <w:szCs w:val="18"/>
                <w:b w:val="1"/>
                <w:bCs w:val="1"/>
                <w:i w:val="1"/>
                <w:iCs w:val="1"/>
                <w:color w:val="auto"/>
              </w:rPr>
              <w:t>Income Tax Benefit</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45"/>
        </w:trPr>
        <w:tc>
          <w:tcPr>
            <w:tcW w:w="4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20" w:type="dxa"/>
            <w:vAlign w:val="bottom"/>
            <w:gridSpan w:val="4"/>
          </w:tcPr>
          <w:p>
            <w:pPr>
              <w:ind w:left="26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740" w:type="dxa"/>
            <w:vAlign w:val="bottom"/>
          </w:tcPr>
          <w:p>
            <w:pPr>
              <w:jc w:val="right"/>
              <w:ind w:right="90"/>
              <w:spacing w:after="0"/>
              <w:rPr>
                <w:sz w:val="20"/>
                <w:szCs w:val="20"/>
                <w:color w:val="auto"/>
              </w:rPr>
            </w:pPr>
            <w:r>
              <w:rPr>
                <w:rFonts w:ascii="Arial" w:cs="Arial" w:eastAsia="Arial" w:hAnsi="Arial"/>
                <w:sz w:val="18"/>
                <w:szCs w:val="18"/>
                <w:b w:val="1"/>
                <w:bCs w:val="1"/>
                <w:color w:val="auto"/>
              </w:rPr>
              <w:t>Change</w:t>
            </w:r>
          </w:p>
        </w:tc>
        <w:tc>
          <w:tcPr>
            <w:tcW w:w="1040" w:type="dxa"/>
            <w:vAlign w:val="bottom"/>
          </w:tcPr>
          <w:p>
            <w:pPr>
              <w:spacing w:after="0"/>
              <w:rPr>
                <w:sz w:val="24"/>
                <w:szCs w:val="24"/>
                <w:color w:val="auto"/>
              </w:rPr>
            </w:pP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ind w:right="550"/>
              <w:spacing w:after="0"/>
              <w:rPr>
                <w:sz w:val="20"/>
                <w:szCs w:val="20"/>
                <w:color w:val="auto"/>
              </w:rPr>
            </w:pPr>
            <w:r>
              <w:rPr>
                <w:rFonts w:ascii="Arial" w:cs="Arial" w:eastAsia="Arial" w:hAnsi="Arial"/>
                <w:sz w:val="18"/>
                <w:szCs w:val="18"/>
                <w:b w:val="1"/>
                <w:bCs w:val="1"/>
                <w:color w:val="auto"/>
              </w:rPr>
              <w:t>2022</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40" w:type="dxa"/>
            <w:vAlign w:val="bottom"/>
          </w:tcPr>
          <w:p>
            <w:pPr>
              <w:jc w:val="right"/>
              <w:ind w:right="890"/>
              <w:spacing w:after="0"/>
              <w:rPr>
                <w:sz w:val="20"/>
                <w:szCs w:val="20"/>
                <w:color w:val="auto"/>
              </w:rPr>
            </w:pPr>
            <w:r>
              <w:rPr>
                <w:rFonts w:ascii="Arial" w:cs="Arial" w:eastAsia="Arial" w:hAnsi="Arial"/>
                <w:sz w:val="18"/>
                <w:szCs w:val="18"/>
                <w:b w:val="1"/>
                <w:bCs w:val="1"/>
                <w:color w:val="auto"/>
              </w:rPr>
              <w:t>Amount</w:t>
            </w:r>
          </w:p>
        </w:tc>
        <w:tc>
          <w:tcPr>
            <w:tcW w:w="104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r>
      <w:tr>
        <w:trPr>
          <w:trHeight w:val="27"/>
        </w:trPr>
        <w:tc>
          <w:tcPr>
            <w:tcW w:w="49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4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80" w:type="dxa"/>
            <w:vAlign w:val="bottom"/>
            <w:gridSpan w:val="4"/>
          </w:tcPr>
          <w:p>
            <w:pPr>
              <w:jc w:val="right"/>
              <w:ind w:right="1230"/>
              <w:spacing w:after="0"/>
              <w:rPr>
                <w:sz w:val="20"/>
                <w:szCs w:val="20"/>
                <w:color w:val="auto"/>
              </w:rPr>
            </w:pPr>
            <w:r>
              <w:rPr>
                <w:rFonts w:ascii="Arial" w:cs="Arial" w:eastAsia="Arial" w:hAnsi="Arial"/>
                <w:sz w:val="18"/>
                <w:szCs w:val="18"/>
                <w:i w:val="1"/>
                <w:iCs w:val="1"/>
                <w:color w:val="auto"/>
              </w:rPr>
              <w:t>(dollars in thousands)</w:t>
            </w:r>
          </w:p>
        </w:tc>
        <w:tc>
          <w:tcPr>
            <w:tcW w:w="1040" w:type="dxa"/>
            <w:vAlign w:val="bottom"/>
          </w:tcPr>
          <w:p>
            <w:pPr>
              <w:spacing w:after="0"/>
              <w:rPr>
                <w:sz w:val="20"/>
                <w:szCs w:val="20"/>
                <w:color w:val="auto"/>
              </w:rPr>
            </w:pPr>
          </w:p>
        </w:tc>
      </w:tr>
      <w:tr>
        <w:trPr>
          <w:trHeight w:val="81"/>
        </w:trPr>
        <w:tc>
          <w:tcPr>
            <w:tcW w:w="49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40" w:type="dxa"/>
            <w:vAlign w:val="bottom"/>
          </w:tcPr>
          <w:p>
            <w:pPr>
              <w:spacing w:after="0"/>
              <w:rPr>
                <w:sz w:val="7"/>
                <w:szCs w:val="7"/>
                <w:color w:val="auto"/>
              </w:rPr>
            </w:pPr>
          </w:p>
        </w:tc>
      </w:tr>
      <w:tr>
        <w:trPr>
          <w:trHeight w:val="250"/>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4,680</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10,051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rPr>
              <w:t>(5,371)</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r>
      <w:tr>
        <w:trPr>
          <w:trHeight w:val="243"/>
        </w:trPr>
        <w:tc>
          <w:tcPr>
            <w:tcW w:w="4940" w:type="dxa"/>
            <w:vAlign w:val="bottom"/>
          </w:tcPr>
          <w:p>
            <w:pPr>
              <w:ind w:left="20"/>
              <w:spacing w:after="0"/>
              <w:rPr>
                <w:sz w:val="20"/>
                <w:szCs w:val="20"/>
                <w:color w:val="auto"/>
              </w:rPr>
            </w:pPr>
            <w:r>
              <w:rPr>
                <w:rFonts w:ascii="Arial" w:cs="Arial" w:eastAsia="Arial" w:hAnsi="Arial"/>
                <w:sz w:val="18"/>
                <w:szCs w:val="18"/>
                <w:i w:val="1"/>
                <w:iCs w:val="1"/>
                <w:color w:val="auto"/>
              </w:rPr>
              <w:t>Percentage of revenues</w:t>
            </w:r>
          </w:p>
        </w:tc>
        <w:tc>
          <w:tcPr>
            <w:tcW w:w="3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0.8 %</w:t>
            </w:r>
          </w:p>
        </w:tc>
        <w:tc>
          <w:tcPr>
            <w:tcW w:w="4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Income tax benefit decreased by $5.4 million or 53.4% for the year ended December 31, 2022 as compared to the year ended December 31, 2021. This decrease was primarily driven by an increase in the valuation allowance against deferred tax assets. The main drivers of the change in valuation allowance were the reversal of deferred tax liabilities related to purchased intangibles and the change in presentation of lease-related deferred tax assets and liabilities from the adoption of ASC 842. Additionally, we restructured the ownership of certain intellectual property during the year, which resulted in an income tax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3"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To date, our primary sources of liquidity have been net cash provided by operating activities, proceeds from preferred stock and common stock issuances, including our recent initial public offering (“IPO”) of common stock, 2021 private placement of common stock and proceeds from long-term debt.</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primary use of liquidity has been acquisitions of businesses. For a description of our recent acquisitions, see Note 3 in the notes to the consolidated financial statements included in this Annual Report on Form 10-K. Absent significant deterioration of market conditions, we expect that working capital requirements, capital expenditures, acquisitions, the Company’s stock repurchase program (discussed below), debt servicing and lease obligations will be our principal needs for liquidity going forward. During the year ended December 31, 2021, we completed five acquisitions for total consideration of $367.1 million. During the year ended December 31, 2020, we completed nine acquisitions for total consideration of $415.3 million.</w:t>
      </w:r>
    </w:p>
    <w:p>
      <w:pPr>
        <w:spacing w:after="0" w:line="1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of December 31, 2022, we had cash, cash equivalents and restricted cash of $95.8 million, $190.0 million of available borrowing capacity under our Revolver (as defined below) and $543.1 million outstanding under our Term Loans (as defined below). We believe that our existing cash, cash equivalents and restricted cash, availability under our Credit Facilities (as defined below) and our cash flows from operations will be sufficient to fund our working capital requirements and planned capital expenditures, and to service our debt obligations for at least the next twelve months. However, our future working capital requirements will depend on many factors, including our rate of revenue growth, the timing and size of future acquisitions and the timing of introductions of new products and services. We expect to consummate acquisitions of complementary businesses in the future that could require us to seek additional equity or debt financing. Additional funds may not be available on terms favorable to us, or at all. If we are unable to raise additional funds when desired, our business, financial condition and results of operations could be adversely affected. See Part I, Item 1A</w:t>
      </w:r>
      <w:r>
        <w:rPr>
          <w:rFonts w:ascii="Arial" w:cs="Arial" w:eastAsia="Arial" w:hAnsi="Arial"/>
          <w:sz w:val="16"/>
          <w:szCs w:val="16"/>
          <w:i w:val="1"/>
          <w:iCs w:val="1"/>
          <w:color w:val="auto"/>
        </w:rPr>
        <w:t>.“Risk Factors.”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6, 2021, we completed our Initial Public Offering (“IPO”) which resulted in the issuance and sale of 19,117,648 shares of common stock at the IPO price of $17.00 generating net proceeds of $303.9 million after deducting underwriting discounts. Additionally, we incurred other IPO related fees of $6.9 million. On July 29, 2021, the underwriters of our IPO fully exercised their over-allotment option, resulting in the sale of an additional 2.8 million shares at the IPO price of $17.00 per share and after underwriter discounts, net proceeds were $43.9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6, 2021 we sold 4,411,764 shares of our common stock to entities affiliated with Silver Lake in a private placement (the “Private Placement”) at a purchase price equal to the IPO price of $17.00 per share of common stock for net proceeds of $75.0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3" w:name="page74"/>
    <w:bookmarkEnd w:id="73"/>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0" w:type="dxa"/>
            <w:vAlign w:val="bottom"/>
          </w:tcPr>
          <w:p>
            <w:pPr>
              <w:spacing w:after="0"/>
              <w:rPr>
                <w:sz w:val="20"/>
                <w:szCs w:val="20"/>
                <w:color w:val="auto"/>
              </w:rPr>
            </w:pPr>
            <w:r>
              <w:rPr>
                <w:rFonts w:ascii="Arial" w:cs="Arial" w:eastAsia="Arial" w:hAnsi="Arial"/>
                <w:sz w:val="18"/>
                <w:szCs w:val="18"/>
                <w:b w:val="1"/>
                <w:bCs w:val="1"/>
                <w:i w:val="1"/>
                <w:iCs w:val="1"/>
                <w:color w:val="auto"/>
              </w:rPr>
              <w:t>Cash Flows</w:t>
            </w: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59"/>
        </w:trPr>
        <w:tc>
          <w:tcPr>
            <w:tcW w:w="7800" w:type="dxa"/>
            <w:vAlign w:val="bottom"/>
          </w:tcPr>
          <w:p>
            <w:pPr>
              <w:spacing w:after="0"/>
              <w:rPr>
                <w:sz w:val="20"/>
                <w:szCs w:val="20"/>
                <w:color w:val="auto"/>
              </w:rPr>
            </w:pPr>
            <w:r>
              <w:rPr>
                <w:rFonts w:ascii="Arial" w:cs="Arial" w:eastAsia="Arial" w:hAnsi="Arial"/>
                <w:sz w:val="18"/>
                <w:szCs w:val="18"/>
                <w:color w:val="auto"/>
              </w:rPr>
              <w:t>The following table sets forth cash flow data:</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9"/>
        </w:trPr>
        <w:tc>
          <w:tcPr>
            <w:tcW w:w="7800" w:type="dxa"/>
            <w:vAlign w:val="bottom"/>
          </w:tcPr>
          <w:p>
            <w:pPr>
              <w:spacing w:after="0"/>
              <w:rPr>
                <w:sz w:val="24"/>
                <w:szCs w:val="24"/>
                <w:color w:val="auto"/>
              </w:rPr>
            </w:pPr>
          </w:p>
        </w:tc>
        <w:tc>
          <w:tcPr>
            <w:tcW w:w="344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Year ended December 31,</w:t>
            </w: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00" w:type="dxa"/>
            <w:vAlign w:val="bottom"/>
            <w:gridSpan w:val="3"/>
          </w:tcPr>
          <w:p>
            <w:pPr>
              <w:jc w:val="right"/>
              <w:spacing w:after="0"/>
              <w:rPr>
                <w:sz w:val="20"/>
                <w:szCs w:val="20"/>
                <w:color w:val="auto"/>
              </w:rPr>
            </w:pPr>
            <w:r>
              <w:rPr>
                <w:rFonts w:ascii="Arial" w:cs="Arial" w:eastAsia="Arial" w:hAnsi="Arial"/>
                <w:sz w:val="18"/>
                <w:szCs w:val="18"/>
                <w:i w:val="1"/>
                <w:iCs w:val="1"/>
                <w:color w:val="auto"/>
              </w:rPr>
              <w:t>(in thousands)</w:t>
            </w:r>
          </w:p>
        </w:tc>
        <w:tc>
          <w:tcPr>
            <w:tcW w:w="112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64,802</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37,482</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(18,080)</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(379,668)</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(47,309)</w:t>
            </w:r>
          </w:p>
        </w:tc>
        <w:tc>
          <w:tcPr>
            <w:tcW w:w="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341,183</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 changes on cash</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(1,148)</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8"/>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decrease in cash, cash equivalents and restricted cash</w:t>
            </w:r>
          </w:p>
        </w:tc>
        <w:tc>
          <w:tcPr>
            <w:tcW w:w="102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Net cash provided by operating activities was $64.8 million for the year ended December 31, 2022, compared to $37.5 million for the year ended December 31, 2021. Changes in net cash provided by operating activities result primarily from cash received from net sales within our subscription and transaction fees and marketing technology solutions. Other drivers of the changes in net cash provided by operating activities include payments for personnel expenses for our employees, costs related to delivering our services and products, partner commissions, advertising and interest on our long-term debt.</w:t>
      </w:r>
    </w:p>
    <w:p>
      <w:pPr>
        <w:spacing w:after="0" w:line="2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increase in cash provided for the year ended December 31, 2022 compared to the year ended December 31, 2021 was primarily due to higher cash collections from our subscription and transaction fees and marketing technology solutions of approximately $121.2 million offset by investments made to support the growth of our business including personnel expenses of $51.2 million, costs directly related to the delivery of our services and products of $41.3 million and the timing of payments.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December 31, 2022, net cash used in investing activities was $18.1 million. The cash used was driven primarily by costs to develop software of $15.5 million. The remainder was for purchases of property and equipment.</w:t>
      </w:r>
    </w:p>
    <w:p>
      <w:pPr>
        <w:spacing w:after="0" w:line="14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year ended December 31, 2021, net cash used in investing activities was $379.7 million. The cash used was driven primarily by acquisition of companies, net of cash acquired, of $364.9 million. The remainder was for purchases of property and equipment and cost to develop software.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2022, net cash used in financing activities was $47.3 million. The cash used was primarily driven by the repurchase and retirement of shares of our common stock of $43.0 million. For additional information regarding our repurchase and retirement of shares of our common stock, refer to Note 11 in the notes to the consolidated financial statements included in this Annual Report on Form 10-K. The remainder was for payments on long-term debt offset by net proceeds from common stock issuances.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year ended December 31, 2021, net cash provided by financing activities was $341.2 million. The cash provided was driven primarily by net proceeds from preferred and common stock issuances of $109.8 million and $415.7 million, respectively, and proceeds from long-term debt of $851.0 million, partially offset by payments on long-term debt of $1,028.5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Prior to our IPO, subsidiaries of the Company were party to a credit facility that provided for (i) a term loan in an aggregate principal amount of $415.0 million (the “Legacy Term Loan”), (ii) commitments for delayed draw term loans up to an aggregate principal amount of $385.0 million (the “Legacy Delayed Draw Term Loans”), (iii) commitments for revolving loans up to an aggregate principal amount of $50.0 million (the “Legacy Revolver”) and (iv) a sub-limit of the Revolver available for letters of credit up to an aggregate face amount of $10.0 million, or the letters of credit (the Legacy Term Loan, Legacy Delayed Draw Term Loans and Legacy Revolver are referred to herein as the “Legacy Credit Facilities”).</w:t>
      </w:r>
    </w:p>
    <w:p>
      <w:pPr>
        <w:spacing w:after="0" w:line="20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our IPO, on July 6, 2021 we refinanced our Legacy Credit Facilities and EverCommerce Solutions Inc., as borrower, and EverCommerce Intermediate Inc. entered into a new credit agreement (the “Credit Agreement”) in an aggregate principal amount of $540.0 million, consisting of (i) an aggregate principal amount of $350.0 million (the “Initial Term Loans”), (ii) a revolver with a capacity of $190.0 million (the “Revolver”) and (iii) a sub-limit of the Revolver available for letters of credit up to an aggregate face amount of $20.0 million. We used the net proceeds of the Initial Term Loans and a portion of the funds available under our Revolver, together with the net proceeds from the IPO, to repay all amounts outstanding under our Legacy Credit Facilities. In November 2021, the Company drew an additional $155.0 million on the Revolver to fund an acquisition. Subsequently, in November 2021, the Company drew an additional $200.0 million (the “Additional Term Loans,” and collectively with the Initial Term Loans, the “Term Loans”) as permitted by the Credit Agreement. The Company used the proceeds of the Additional Term Loans to repay all amounts outstanding on the Revolver and for general corporate purposes. The Initial Term Loans, Revolver and Additional Term Loans are collectively referred to herein as the “Credit Facilities.”</w:t>
      </w:r>
    </w:p>
    <w:p>
      <w:pPr>
        <w:spacing w:after="0" w:line="21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Simultaneously with the execution of the Credit Facilities, we and various of our subsidiaries entered into a collateral agreement and guarantee agreement. Pursuant to the guarantee agreement, EverCommerce Intermediate Inc. and various of our subsidiaries are guarantors of the obligations under the Credit Facilities. Pursuant to the collateral agreement, the Credit Facilities are secured by liens on substantially all of our assets, including our intellectual property and the equity interests of our various subsidiaries, including EverCommerce Solutions Inc.</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Credit Facilities contain certain affirmative and negative covenants, including, among other things, restrictions on indebtedness, issuance of preferred equity interests, liens, fundamental changes and asset sales, investments, negative pledges, repurchases of stock, dividends and other distributions, and transactions with affiliates. In addition, we are subject to a financial covenant with respect to the Revolver whereby, if the aggregate principal amount of revolving loans (excluding letters of credit) outstanding on the last day of any fiscal quarter exceeds 35% of the aggregate commitments available under the Revolver, then our first lien leverage ratio as of the last day of such fiscal quarter must be 7.50 to 1.00 or less.</w:t>
      </w:r>
    </w:p>
    <w:p>
      <w:pPr>
        <w:spacing w:after="0" w:line="217"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Borrowings under the Credit Facilities are available as ABR or Eurocurrency borrowings. ABR borrowings under the Credit Facilities accrue interest at an alternate base rate plus an applicable rate, and Eurocurrency borrowings accrue interest at an adjusted LIBOR rate plus an applicable rate. The ABR rate represents the greater of the prime rate, Federal Reserve Bank of New York rate plus ½ of 1%, and an adjusted LIBOR rate for a one month interest period plus 1%. The applicable rate for the Term Loans and the Revolver loans is 3% for Eurocurrency borrowings and 2% for ABR Borrowings, in each case subject to change based on our first lien net leverage ratio.</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Effective October 31, 2022, the Company entered into an interest rate swap agreement in connection with the Company’s Credit Facilities for a notional amount of $200.0 million to convert a portion of the Term Loans from a floating rate to a fixed rate (the “Swap Agreement”). The arrangement has a term of five years with a fixed rate in the agreement of 4.2295%.</w:t>
      </w: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14, 2023, the Company entered into a second interest rate swap agreement in connection with the Company’s Credit Facilities for a notional amount of $100.0 million to convert a portion of the Term Loans from a floating rate to a fixed rate. This swap agreement is effective March 31, 2023 and has a term of approximately 4.5 years with a fixed rate in the agreement of 3.969%.</w:t>
      </w:r>
    </w:p>
    <w:p>
      <w:pPr>
        <w:spacing w:after="0" w:line="20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With respect to ABR borrowings, interest payments are due on a quarterly basis on the last business day of each March, June, September and December. With respect to Eurocurrency borrowings, interest payments are due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75" w:name="page76"/>
    <w:bookmarkEnd w:id="75"/>
    <w:p>
      <w:pPr>
        <w:jc w:val="both"/>
        <w:spacing w:after="0" w:line="248" w:lineRule="auto"/>
        <w:rPr>
          <w:sz w:val="20"/>
          <w:szCs w:val="20"/>
          <w:color w:val="auto"/>
        </w:rPr>
      </w:pPr>
      <w:r>
        <w:rPr>
          <w:rFonts w:ascii="Arial" w:cs="Arial" w:eastAsia="Arial" w:hAnsi="Arial"/>
          <w:sz w:val="18"/>
          <w:szCs w:val="18"/>
          <w:color w:val="auto"/>
        </w:rPr>
        <w:t>last business day of the interest period applicable to the borrowing and, in the case of a Eurocurrency borrowing with an interest period of more than three months’ duration, each day prior to the last day of such interest period that occurs at intervals of three months’ duration after the first day of such interest period.</w:t>
      </w:r>
    </w:p>
    <w:p>
      <w:pPr>
        <w:spacing w:after="0" w:line="20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Revolver has a variable commitment fee, which is based on our first lien leverage ratio. We expect the commitment fee to range from 0.25% to 0.375% per annum. We are obligated to pay a fixed fronting fee for letters of credit of 0.125% per annum.</w:t>
      </w:r>
    </w:p>
    <w:p>
      <w:pPr>
        <w:spacing w:after="0" w:line="19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Amounts borrowed under the Revolver may be repaid and re-borrowed through maturity of the Revolver in July 2026. The Term Loans mature in July 2028. The Term Loans may be repaid or prepaid but may not be re-borrowed.</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As of December 31, 2022, there was $543.1 million outstanding under our Credit Facilities, all of which was related to the Term Loans as no amounts were outstanding under the Revolver. The effective interest rate on the Term Loans was approximately 5.2% for the year ended December 31,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2022, we were in compliance with the covenants under the Credit Facilities.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14, 2022, our Board of Directors approved a stock repurchase program with authorization to purchase up to $50.0 million in shares of the Company’s common stock through the expiration of the program on December 21, 2022 (the “Repurchase Program”). Repurchases under the program may be made in the open market, in privately negotiated transactions or otherwise, with the amount and timing of repurchases to be determined at the Company’s discretion, depending on market conditions and corporate needs. This program does not obligate the Company to acquire any particular amount of common stock and may be modified, suspended or terminated at any time at the discretion of the Board of Directors. The Company expects to fund repurchases with existing cash on hand. The Company repurchased and retired 4,951,966 shares of common stock for $43.0 million, including transaction fees, during the year ended December 31, 2022.</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7, 2022, our Board of Directors approved an expansion of the Repurchase Program with authorization to purchase up to an additional $50.0 million in shares of the Company’s common stock ($100.0 million total) and an extension to the expiration of the Repurchase Program through December 31, 2023. As of December 31, 2022, $57.1 million remains available under the Repurchase Program.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 to Notes 9, 10 and 17 in the notes to the consolidated financial statements included in this Annual Report on Form 10-K for a discussion of our debt, operating lease and contractual obligations, respectively.</w:t>
      </w:r>
    </w:p>
    <w:p>
      <w:pPr>
        <w:spacing w:after="0" w:line="19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Additionally, on March 14, 2023, the Company entered into an interest rate swap agreement in connection with the Company’s Credit Facilities for a notional amount of $100.0 million to convert a portion of the Term Loans from a floating rate to a fixed rate. This swap agreement is effective March 31, 2023 and has a term of approximately 4.5 years with a fixed rate in the agreement of 3.969%.</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4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financial statements are prepared in accordance with U.S. GAAP. The preparation of our financial statements in conformity with U.S. GAAP requires us to make estimates and assumptions that affect certain reported amounts of assets and liabilities and disclosure of contingent assets and liabilities at the date of the financial statements and the reported amounts of revenue and expenses during the reporting period.</w:t>
      </w:r>
    </w:p>
    <w:p>
      <w:pPr>
        <w:spacing w:after="0" w:line="1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While our significant accounting policies are described in further detail in Note 2 in the notes to the consolidated financial statements included in this Annual Report on Form 10-K, we believe that the following accounting policies are those most critical to the judgments and estimates used in the preparation of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6" w:name="page77"/>
    <w:bookmarkEnd w:id="76"/>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Revenues are derived from subscription and transaction fees, marketing technology solutions, and other revenues. We recognize revenue when our customers obtain control of goods or services in an amount that reflects the consideration that we expect to receive in exchange for those goods or services. In determining the total consideration that we expect to receive, we include variable consideration only to the extent that it is probable that a significant reversal of cumulative revenue will not occur when the uncertainty is resolved. Consideration subject to a constraint on revenue recognition has not been significant. Additionally, there have not been material changes in these estimates or assumptions pertaining to constraints on revenue recognition over the reporting periods presented. In the future, if there are material changes in the underlying estimates and assumptions pertaining to constraints on revenue recognition, the financial statements could be materially impacted.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Subscription and Transaction Fees: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Subscription revenue primarily consists of the sale of SaaS offerings, software licenses and related support services and payment processing services.</w:t>
      </w: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timing of revenue recognition within our software subscription services is dictated by the nature of the underlying performance obligation. Our SaaS offerings and license support services are generally recognized ratably over the contractual period that the services are delivered, beginning on the date our service is made available to customers. Revenues generated from the sale of on-premise perpetual or term licenses are generally recognized at the point in time when the software is made available to the customer to download or use. Subscription revenue related contracts can be both short and long-term, with stated contract terms that range from one month to five years. Our contracts may contain termination for convenience provisions that allow the Company, customer or both parties the ability to terminate for convenience, either at any time or upon providing a specified notice period, without a penalty.</w:t>
      </w:r>
    </w:p>
    <w:p>
      <w:pPr>
        <w:spacing w:after="0" w:line="1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Transaction fees relate to payment processing and group purchasing program administration services. In fulfillment of our payment processing services, we partner with third-party merchants and processors who assist us in fulfillment of our obligations to customers. We have concluded that we do not possess the ability to control the underlying services provided by third parties in the fulfillment of our obligations to customers and therefore recognize revenue net of interchange fees retained by the card issuing financial institutions and fees charged by payment networks. Transaction services contracts with customers are generally for a term of one month and automatically renew each month.</w:t>
      </w:r>
    </w:p>
    <w:p>
      <w:pPr>
        <w:spacing w:after="0" w:line="13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receive rebates from contracted suppliers in exchange for our program administration services. Rebates earned are based on a defined percentage of the purchase price of goods and services sold to members under the contract the Company has negotiated with its suppliers. Administration services contracts with customers are generally for an annual or monthly term and renew automatically upon lapse of the current term.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Marketing Technology Solutions: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Marketing technology solutions consist of digital advertising management and consumer connection services.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generated from digital advertising management services is recognized on a ratable basis over the service period as the customer simultaneously receives and consumes the benefits of the management services evenly throughout the contract period. Revenue generated from consumer connection services may be recognized at either a point-in-time or an over-time basis as each connection is delivered.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Marketing technology solutions service related contracts are typically short-term with stated contract terms that are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Other:</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revenues generally consist of fees associated with the sale of distinct professional services and hardware. Contract terms for other revenue arrangements are generally short-term, with stated contract terms that are less than one year.</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professional services associated with our subscription revenue generally relate to standard implementation, configuration, installation, or training services applied to both SaaS and on-premise deployment models. Marketing revenue related professional service fees are derived from website design, creation or enhancement services. Professional service revenue is recognized over time as the services are performed, as the customer simultaneously receives and consumes the benefit of these services.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Hardware revenue is recognized at a point-in time and consists of equipment that supports or enables our products or services within subscription and transaction fees offerings.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Performance Obligations and Standalone Selling Price:</w:t>
      </w:r>
    </w:p>
    <w:p>
      <w:pPr>
        <w:spacing w:after="0" w:line="18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contracts at times include the sale of multiple promised goods or services that have been determined to be distinct. The transaction price for contracts with multiple performance obligations is allocated based on the relative stand-alone selling price of each performance obligation within the contract.</w:t>
      </w:r>
    </w:p>
    <w:p>
      <w:pPr>
        <w:spacing w:after="0" w:line="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Judgement can be involved when determining the stand-alone selling price of products and services. For the majority of the Company’s SaaS, on-premise license and professional services, we establish a stand-alone selling price based on observable selling prices to similar classes of customers. If the stand-alone selling price is not observable through past transactions, we estimate the stand-alone selling price taking into consideration available information such as market conditions and internally approved pricing guidelines related to the performance obligation. As permitted under ASC 606, at times we have established the stand-alone selling price of performance obligations as a range and utilize this range to determine whether there is a discount that needs to be allocated based on the relative stand-alone selling price of the various performance obligations.</w:t>
      </w:r>
    </w:p>
    <w:p>
      <w:pPr>
        <w:spacing w:after="0" w:line="1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contract inception, we perform a review of each performance obligation’s selling price against the established stand-alone selling price range. If any performance obligations are priced outside of the established stand-alone selling price range, we reallocate the total transaction price to each performance obligation based on the relative stand-alone selling price for each performance. The established range is reassessed on a periodic basis when facts and circumstances surrounding these established ranges change.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 Goodwill and Intangible Assets</w:t>
      </w:r>
    </w:p>
    <w:p>
      <w:pPr>
        <w:spacing w:after="0" w:line="239"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Our acquisitions have been accounted for under the acquisition method. Net assets and results of operations are included in our financial statements commencing at the respective acquisition dates. We allocate the fair value of the purchase consideration of our acquisitions to the tangible and intangible assets acquired and liabilities assumed, based on their estimated fair values. The excess of the fair value of purchase consideration over the fair values of these identifiable assets and liabilities is recognized as goodwill. The allocation of the purchase price requires management to make significant estimates in determining the fair values of assets acquired and liabilities assumed, especially with respect to intangible assets. Intangible assets primarily consist of customer relationships which include government contracts, developed technology, trademarks and trade names, and non-compete agreements, which are recorded at acquisition date fair value, less accumulated amortization. These estimates and assumptions can include, but are not limited to, the cash flows that an asset is expected to generate in the future, the appropriate weighted average cost of capital, and the estimated useful lives. Changes in these assumptions could affect the carrying value of these assets.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We perform an impairment test annually in the fourth quarter or whenever events or changes in circumstances indicate that the carrying value of goodwill might not be fully recoverable. In accordance with applicable accounting guidance, a company can assess qualitative factors to determine whether it is necessary to perform a goodwill impairment test. Alternatively, a company may elect to proceed directly to a quantitative goodwill impairment test. The Company performed a qualitative annual impairment assessment for the years ended December 31, 2022,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jc w:val="both"/>
        <w:spacing w:after="0" w:line="290" w:lineRule="auto"/>
        <w:rPr>
          <w:sz w:val="20"/>
          <w:szCs w:val="20"/>
          <w:color w:val="auto"/>
        </w:rPr>
      </w:pPr>
      <w:r>
        <w:rPr>
          <w:rFonts w:ascii="Arial" w:cs="Arial" w:eastAsia="Arial" w:hAnsi="Arial"/>
          <w:sz w:val="16"/>
          <w:szCs w:val="16"/>
          <w:color w:val="auto"/>
        </w:rPr>
        <w:t>and 2020. For the qualitative assessments, we reviewed factors including macroeconomic conditions, industry and market conditions, cost factors, overall financial performance, changes in any key personnel, any changes in composition of carrying amount of our assets and changes in our stock price. There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were no reasonable changes to the methods and assumptions that would have resulted in an impairment. In the future, if there are material changes in the underlying estimates and assumptions pertaining to the impairment assessment, the financial statements could be materially impacted. For each year end, we determined that it was more likely than not that the fair value of each of our reporting units was more than the respective related carrying amounts, including goodwill, and therefore did not record any goodwill impairment.</w:t>
      </w:r>
    </w:p>
    <w:p>
      <w:pPr>
        <w:spacing w:after="0" w:line="21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Intangible assets are initially valued at fair value using generally accepted valuation methods appropriate for the type of intangible asset. Intangible assets with definite lives are amortized over their estimated useful lives and are reviewed for impairment if indicators of impairment arise. Indicators we reviewed included whether there was a significant decrease in market prices of our assets, a significant adverse change in the extent or manner in which our assets are being used, a significant adverse change in legal factors affecting our assets and a cash flow loss. The Company did not identify indicators of impairment for the years ended December 31, 2022, 2021 and 2020. In the future, if there are material changes in the underlying estimates and assumptions pertaining to the impairment assessment, the financial statements could be materially impacted.</w:t>
      </w:r>
    </w:p>
    <w:p>
      <w:pPr>
        <w:spacing w:after="0" w:line="2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completed five and nine business acquisitions in 2021 and 2020, respectively, and as a result recorded $132.5 million and $173.6 million in intangible assets and $255.7 million and $240.8 million of goodwill using the aforementioned valuation estimates, respectively. There were no material changes to prior estimates for the years ended December 31, 2021 and 2020.</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Deferred income tax assets and liabilities are determined based upon the net tax effect of the differences between the financial statement carrying amounts and the tax basis of assets and liabilities and are measured using the enacted tax rate expected to apply to taxable income or loss in the years in which the differences are expected to be reversed. A valuation allowance is used to reduce some or all of the deferred tax assets if, based upon the weight of available evidence, it is more likely than not that those deferred tax assets will not be realized. In making such determination, we consider all available positive and negative evidence, including future reversals of existing taxable temporary differences, projected future taxable income, tax planning strategies, recent financial operations and their associated valuation allowances, if any.</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the tax benefit from an uncertain tax position only when it is more likely than not, based on the technical merits of the position, that the tax position will be sustained upon examination, including the resolution of any related appeals or litigation. The tax benefits recognized in the consolidated financial statements from such a position are measured as the largest benefit that has a greater than fifty percent likelihood of being realized upon ultimate resolution.</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 recorded an additional $16.7 million and $14.5 million in valuation allowance on our deferred tax assets in 2022 and 2021, respectively, using the aforementioned approach. The Company recorded $0.4 million and $0.1 million in unrecognized tax benefits for the years ended December 31, 2022 and 2021, respectively.</w:t>
      </w:r>
    </w:p>
    <w:p>
      <w:pPr>
        <w:spacing w:after="0" w:line="209" w:lineRule="exact"/>
        <w:rPr>
          <w:sz w:val="20"/>
          <w:szCs w:val="20"/>
          <w:color w:val="auto"/>
        </w:rPr>
      </w:pPr>
    </w:p>
    <w:p>
      <w:pPr>
        <w:jc w:val="both"/>
        <w:spacing w:after="0"/>
        <w:rPr>
          <w:sz w:val="20"/>
          <w:szCs w:val="20"/>
          <w:color w:val="auto"/>
        </w:rPr>
      </w:pPr>
      <w:r>
        <w:rPr>
          <w:rFonts w:ascii="Arial" w:cs="Arial" w:eastAsia="Arial" w:hAnsi="Arial"/>
          <w:sz w:val="18"/>
          <w:szCs w:val="18"/>
          <w:color w:val="auto"/>
        </w:rPr>
        <w:t>Valuation allowances are currently assessed based on scheduling the reversal of temporary differences, without consideration to future projections of income, given the Company’s history of losses. This approach may change in the future, requiring the use of estimates or assumptions with regard to future taxable income in assessing the need for and quantum of valuation allowances.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 stock-based compensation, including grants of common stock options and restricted stock, are valued at fair value on the date of grant. We use the Black-Scholes option-pricing model to estimate the fair value of common stock options granted with time-based vesting. The following inputs are considered in estimating the fair value: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Risk-free interest rate: The risk-free rate is based on observed interest rates appropriate for the terms of our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79" w:name="page80"/>
    <w:bookmarkEnd w:id="79"/>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Dividend yield: The dividend yield is based on history and the expectation of paying no dividends.</w:t>
      </w:r>
    </w:p>
    <w:p>
      <w:pPr>
        <w:spacing w:after="0" w:line="1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Expected term: The expected term is based on the “simplified” method that measures the expected term as the average of the vesting period and the contractual term, given our limited stock option exercise data. Once we have sufficient option exercise data we will calculate the expected term based on our history of option exercises.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Expected volatility: We do not have a sufficient history of market prices of our common stock, and as such volatility is estimated, using historical volatilities of comparable public entities. Once we have sufficient history of trading prices we will use our calculated volatility.</w:t>
      </w:r>
    </w:p>
    <w:p>
      <w:pPr>
        <w:spacing w:after="0" w:line="18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There have not been material changes in these estimates or assumptions over the reporting periods presented. In the future, if there are material changes in the underlying estimates and assumptions pertaining to stock-based compensation, the financial statements could be materially impacted.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See Note 2 in the notes to the consolidated financial statements included in this Annual Report on Form 10-K for a discussion of accounting pronouncements recently adopted and recently issued accounting pronouncements not yet adopted and their potential impact to our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Under the Jumpstart Our Business Startups Act of 2012</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currently qualifies as an “emerging growth company” under the Jumpstart Our Business Startups Act of 2012, or the JOBS Act. Accordingly, the Company is provided the option to adopt new or revised accounting guidance either (i) within the same periods as those otherwise applicable to non-emerging growth companies or (ii) within the same time periods as private companies.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elected to adopt new or revised accounting guidance within the same time period as private companies, unless management determines it is preferable to take advantage of early adoption provisions offered within the applicable guidance. Our utilization of these transition periods may make it difficult to compare our financial statements to those of non-emerging growth companies and other emerging growth companies that have opted out of the transition periods afforded under the JOBS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exposed to market risk in the ordinary course of business. Market risk represents the risk of loss that may impact our financial position due to adverse changes in financial market prices and rates. Our market risk exposure is primarily a result of fluctuations in interest rates and foreign currency exchange risk. We do not hold or issue financial instruments for speculative or trading purposes.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hold cash and cash equivalents for working capital purposes. We do not have material exposure to market risk with respect to investments. Amounts borrowed under our Credit Facilities accrue interest at a per annum rate equal to the ABR rate or Adjusted LIBOR rate, in each case plus an applicable margin of 3.25%.</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October 31, 2022, the Company entered into the Swap Agreement in connection with the Company’s Credit Facilities for a notional amount of $200.0 million to convert a portion of the Term Loans from a floating rate to a fixed rate. The Swap Agreement has a term of 5 years with a fixed rate in the agreement of 4.2295%.</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Based on the outstanding balance of the Credit Facilities as of December 31, 2022, for every 100 basis point increase in the ABR rate or Adjusted LIBOR rate, we would incur approximately $3.4 million of additional annual interest expense.</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Additionally, on March 14, 2023, the Company entered into a second interest rate swap agreement in connection with the Company’s Credit Facilities for a notional amount of $100.0 million to convert a portion of the Term Loans from a floating rate to a fixed rate. This swap agreement is effective March 31, 2023 and has a term of approximately 4.5 years with a fixed rate in the agreement of 3.969%.</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foreign currency risks related to certain of our foreign subsidiaries, primarily in Canada, Jordan, the United Kingdom, New Zealand and Australia. The functional currencies of our significant foreign operations include the Canadian dollar, Great British pound and the New Zealand dollar. We do not believe that a 10% change in the relative value of the U.S. dollar to other foreign currencies would have a material effect on our cash flows and operating results.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currently do not hedge foreign currency exposure. We may in the future hedge our foreign currency exposure and may use currency forward contracts, currency options or other common derivative financial instruments to reduce foreign currency risk. It is difficult to predict the effect that future hedging activities would have on our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20" w:type="dxa"/>
            <w:vAlign w:val="bottom"/>
            <w:gridSpan w:val="2"/>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920" w:type="dxa"/>
            <w:vAlign w:val="bottom"/>
          </w:tcPr>
          <w:p>
            <w:pPr>
              <w:spacing w:after="0"/>
              <w:rPr>
                <w:sz w:val="20"/>
                <w:szCs w:val="20"/>
                <w:color w:val="auto"/>
              </w:rPr>
            </w:pPr>
          </w:p>
        </w:tc>
      </w:tr>
      <w:tr>
        <w:trPr>
          <w:trHeight w:val="445"/>
        </w:trPr>
        <w:tc>
          <w:tcPr>
            <w:tcW w:w="10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Index to Consolidated Financial Statements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7"/>
        </w:trPr>
        <w:tc>
          <w:tcPr>
            <w:tcW w:w="10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4"/>
        </w:trPr>
        <w:tc>
          <w:tcPr>
            <w:tcW w:w="10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Report of Independent Registered Public Accounting Firm (PCAOB ID 0042)</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III-26</w:t>
            </w:r>
          </w:p>
        </w:tc>
      </w:tr>
      <w:tr>
        <w:trPr>
          <w:trHeight w:val="243"/>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 as of December 31, 2022 and 2021</w:t>
            </w:r>
          </w:p>
        </w:tc>
        <w:tc>
          <w:tcPr>
            <w:tcW w:w="920" w:type="dxa"/>
            <w:vAlign w:val="bottom"/>
          </w:tcPr>
          <w:p>
            <w:pPr>
              <w:jc w:val="center"/>
              <w:spacing w:after="0"/>
              <w:rPr>
                <w:sz w:val="20"/>
                <w:szCs w:val="20"/>
                <w:color w:val="auto"/>
              </w:rPr>
            </w:pPr>
            <w:r>
              <w:rPr>
                <w:rFonts w:ascii="Arial" w:cs="Arial" w:eastAsia="Arial" w:hAnsi="Arial"/>
                <w:sz w:val="18"/>
                <w:szCs w:val="18"/>
                <w:color w:val="auto"/>
              </w:rPr>
              <w:t>III-28</w:t>
            </w:r>
          </w:p>
        </w:tc>
      </w:tr>
      <w:tr>
        <w:trPr>
          <w:trHeight w:val="27"/>
        </w:trPr>
        <w:tc>
          <w:tcPr>
            <w:tcW w:w="10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Operations and Comprehensive Loss for the years ended December 31, 2022, 2021 and 2020</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III-29</w:t>
            </w:r>
          </w:p>
        </w:tc>
      </w:tr>
      <w:tr>
        <w:trPr>
          <w:trHeight w:val="229"/>
        </w:trPr>
        <w:tc>
          <w:tcPr>
            <w:tcW w:w="10320" w:type="dxa"/>
            <w:vAlign w:val="bottom"/>
            <w:gridSpan w:val="2"/>
          </w:tcPr>
          <w:p>
            <w:pPr>
              <w:ind w:left="20"/>
              <w:spacing w:after="0"/>
              <w:rPr>
                <w:sz w:val="20"/>
                <w:szCs w:val="20"/>
                <w:color w:val="auto"/>
              </w:rPr>
            </w:pPr>
            <w:r>
              <w:rPr>
                <w:rFonts w:ascii="Arial" w:cs="Arial" w:eastAsia="Arial" w:hAnsi="Arial"/>
                <w:sz w:val="18"/>
                <w:szCs w:val="18"/>
                <w:color w:val="auto"/>
                <w:w w:val="94"/>
              </w:rPr>
              <w:t>Consolidated Statements of Convertible Preferred Stock and Stockholders’ Equity (Deficit) for the years ended December 31, 2022, 2021</w:t>
            </w:r>
          </w:p>
        </w:tc>
        <w:tc>
          <w:tcPr>
            <w:tcW w:w="920" w:type="dxa"/>
            <w:vAlign w:val="bottom"/>
          </w:tcPr>
          <w:p>
            <w:pPr>
              <w:spacing w:after="0"/>
              <w:rPr>
                <w:sz w:val="19"/>
                <w:szCs w:val="19"/>
                <w:color w:val="auto"/>
              </w:rPr>
            </w:pPr>
          </w:p>
        </w:tc>
      </w:tr>
      <w:tr>
        <w:trPr>
          <w:trHeight w:val="230"/>
        </w:trPr>
        <w:tc>
          <w:tcPr>
            <w:tcW w:w="10320" w:type="dxa"/>
            <w:vAlign w:val="bottom"/>
            <w:gridSpan w:val="2"/>
          </w:tcPr>
          <w:p>
            <w:pPr>
              <w:ind w:left="100"/>
              <w:spacing w:after="0"/>
              <w:rPr>
                <w:sz w:val="20"/>
                <w:szCs w:val="20"/>
                <w:color w:val="auto"/>
              </w:rPr>
            </w:pPr>
            <w:r>
              <w:rPr>
                <w:rFonts w:ascii="Arial" w:cs="Arial" w:eastAsia="Arial" w:hAnsi="Arial"/>
                <w:sz w:val="18"/>
                <w:szCs w:val="18"/>
                <w:color w:val="auto"/>
              </w:rPr>
              <w:t>and 2020</w:t>
            </w:r>
          </w:p>
        </w:tc>
        <w:tc>
          <w:tcPr>
            <w:tcW w:w="920" w:type="dxa"/>
            <w:vAlign w:val="bottom"/>
          </w:tcPr>
          <w:p>
            <w:pPr>
              <w:jc w:val="center"/>
              <w:spacing w:after="0"/>
              <w:rPr>
                <w:sz w:val="20"/>
                <w:szCs w:val="20"/>
                <w:color w:val="auto"/>
              </w:rPr>
            </w:pPr>
            <w:r>
              <w:rPr>
                <w:rFonts w:ascii="Arial" w:cs="Arial" w:eastAsia="Arial" w:hAnsi="Arial"/>
                <w:sz w:val="18"/>
                <w:szCs w:val="18"/>
                <w:color w:val="auto"/>
              </w:rPr>
              <w:t>III-30</w:t>
            </w:r>
          </w:p>
        </w:tc>
      </w:tr>
      <w:tr>
        <w:trPr>
          <w:trHeight w:val="27"/>
        </w:trPr>
        <w:tc>
          <w:tcPr>
            <w:tcW w:w="10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Cash Flows for the years ended December 31, 2022, 2021 and 2020</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III-33</w:t>
            </w:r>
          </w:p>
        </w:tc>
      </w:tr>
      <w:tr>
        <w:trPr>
          <w:trHeight w:val="243"/>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920" w:type="dxa"/>
            <w:vAlign w:val="bottom"/>
          </w:tcPr>
          <w:p>
            <w:pPr>
              <w:jc w:val="center"/>
              <w:spacing w:after="0"/>
              <w:rPr>
                <w:sz w:val="20"/>
                <w:szCs w:val="20"/>
                <w:color w:val="auto"/>
              </w:rPr>
            </w:pPr>
            <w:r>
              <w:rPr>
                <w:rFonts w:ascii="Arial" w:cs="Arial" w:eastAsia="Arial" w:hAnsi="Arial"/>
                <w:sz w:val="18"/>
                <w:szCs w:val="18"/>
                <w:color w:val="auto"/>
              </w:rPr>
              <w:t>III-34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ind w:left="35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EverCommerce Inc.</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4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consolidated balance sheets of EverCommerce Inc. (the “Company”) as of December 31, 2022 and 2021, the related consolidated statements of operations and comprehensive loss, convertible preferred stock and stockholders’ equity (deficit) and cash flows for each of the three years in the period ended December 31, 2022, and the related notes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ASU No. 2016-02</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discussed in Note 9 to the consolidated financial statements, the Company changed its method of accounting for leases in the year ended December 31, 2022 due to the adoption of ASU No. 2016-02.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43"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16"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3" w:name="page84"/>
    <w:bookmarkEnd w:id="83"/>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December 31,</w:t>
            </w:r>
          </w:p>
        </w:tc>
        <w:tc>
          <w:tcPr>
            <w:tcW w:w="128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jc w:val="right"/>
              <w:ind w:right="670"/>
              <w:spacing w:after="0"/>
              <w:rPr>
                <w:sz w:val="20"/>
                <w:szCs w:val="20"/>
                <w:color w:val="auto"/>
              </w:rPr>
            </w:pPr>
            <w:r>
              <w:rPr>
                <w:rFonts w:ascii="Arial" w:cs="Arial" w:eastAsia="Arial" w:hAnsi="Arial"/>
                <w:sz w:val="18"/>
                <w:szCs w:val="18"/>
                <w:b w:val="1"/>
                <w:bCs w:val="1"/>
                <w:color w:val="auto"/>
              </w:rPr>
              <w:t>2021</w:t>
            </w:r>
          </w:p>
        </w:tc>
      </w:tr>
      <w:tr>
        <w:trPr>
          <w:trHeight w:val="27"/>
        </w:trPr>
        <w:tc>
          <w:tcPr>
            <w:tcW w:w="73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34"/>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92,625</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93,993</w:t>
            </w:r>
          </w:p>
        </w:tc>
      </w:tr>
      <w:tr>
        <w:trPr>
          <w:trHeight w:val="243"/>
        </w:trPr>
        <w:tc>
          <w:tcPr>
            <w:tcW w:w="7320" w:type="dxa"/>
            <w:vAlign w:val="bottom"/>
          </w:tcPr>
          <w:p>
            <w:pPr>
              <w:ind w:left="100"/>
              <w:spacing w:after="0"/>
              <w:rPr>
                <w:sz w:val="20"/>
                <w:szCs w:val="20"/>
                <w:color w:val="auto"/>
              </w:rPr>
            </w:pPr>
            <w:r>
              <w:rPr>
                <w:rFonts w:ascii="Arial" w:cs="Arial" w:eastAsia="Arial" w:hAnsi="Arial"/>
                <w:sz w:val="18"/>
                <w:szCs w:val="18"/>
                <w:color w:val="auto"/>
              </w:rPr>
              <w:t>Restricted cash</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3,199</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3,566</w:t>
            </w: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7"/>
              </w:rPr>
              <w:t>Accounts receivable, net of allowance for doubtful accounts of $4.7 million and $1.9 million at</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December 31, 2022 and 2021, respectively</w:t>
            </w:r>
          </w:p>
        </w:tc>
        <w:tc>
          <w:tcPr>
            <w:tcW w:w="4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48,032</w:t>
            </w: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40,514</w:t>
            </w:r>
          </w:p>
        </w:tc>
      </w:tr>
      <w:tr>
        <w:trPr>
          <w:trHeight w:val="243"/>
        </w:trPr>
        <w:tc>
          <w:tcPr>
            <w:tcW w:w="7320" w:type="dxa"/>
            <w:vAlign w:val="bottom"/>
          </w:tcPr>
          <w:p>
            <w:pPr>
              <w:ind w:left="100"/>
              <w:spacing w:after="0"/>
              <w:rPr>
                <w:sz w:val="20"/>
                <w:szCs w:val="20"/>
                <w:color w:val="auto"/>
              </w:rPr>
            </w:pPr>
            <w:r>
              <w:rPr>
                <w:rFonts w:ascii="Arial" w:cs="Arial" w:eastAsia="Arial" w:hAnsi="Arial"/>
                <w:sz w:val="18"/>
                <w:szCs w:val="18"/>
                <w:color w:val="auto"/>
              </w:rPr>
              <w:t>Contract assets</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12,971</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11,039</w:t>
            </w: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23,760</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22,505</w:t>
            </w:r>
          </w:p>
        </w:tc>
      </w:tr>
      <w:tr>
        <w:trPr>
          <w:trHeight w:val="237"/>
        </w:trPr>
        <w:tc>
          <w:tcPr>
            <w:tcW w:w="7320" w:type="dxa"/>
            <w:vAlign w:val="bottom"/>
          </w:tcPr>
          <w:p>
            <w:pPr>
              <w:ind w:left="240"/>
              <w:spacing w:after="0"/>
              <w:rPr>
                <w:sz w:val="20"/>
                <w:szCs w:val="20"/>
                <w:color w:val="auto"/>
              </w:rPr>
            </w:pPr>
            <w:r>
              <w:rPr>
                <w:rFonts w:ascii="Arial" w:cs="Arial" w:eastAsia="Arial" w:hAnsi="Arial"/>
                <w:sz w:val="18"/>
                <w:szCs w:val="18"/>
                <w:b w:val="1"/>
                <w:bCs w:val="1"/>
                <w:color w:val="auto"/>
              </w:rPr>
              <w:t>Total current assets</w:t>
            </w: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180,587</w:t>
            </w:r>
          </w:p>
        </w:tc>
        <w:tc>
          <w:tcPr>
            <w:tcW w:w="1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171,617</w:t>
            </w: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11,930</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13,509</w:t>
            </w:r>
          </w:p>
        </w:tc>
      </w:tr>
      <w:tr>
        <w:trPr>
          <w:trHeight w:val="243"/>
        </w:trPr>
        <w:tc>
          <w:tcPr>
            <w:tcW w:w="7320" w:type="dxa"/>
            <w:vAlign w:val="bottom"/>
          </w:tcPr>
          <w:p>
            <w:pPr>
              <w:ind w:left="100"/>
              <w:spacing w:after="0"/>
              <w:rPr>
                <w:sz w:val="20"/>
                <w:szCs w:val="20"/>
                <w:color w:val="auto"/>
              </w:rPr>
            </w:pPr>
            <w:r>
              <w:rPr>
                <w:rFonts w:ascii="Arial" w:cs="Arial" w:eastAsia="Arial" w:hAnsi="Arial"/>
                <w:sz w:val="18"/>
                <w:szCs w:val="18"/>
                <w:color w:val="auto"/>
              </w:rPr>
              <w:t>Capitalized software, net</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32,554</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24,000</w:t>
            </w: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non-current assets</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46,855</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24,296</w:t>
            </w:r>
          </w:p>
        </w:tc>
      </w:tr>
      <w:tr>
        <w:trPr>
          <w:trHeight w:val="243"/>
        </w:trPr>
        <w:tc>
          <w:tcPr>
            <w:tcW w:w="7320" w:type="dxa"/>
            <w:vAlign w:val="bottom"/>
          </w:tcPr>
          <w:p>
            <w:pPr>
              <w:ind w:left="100"/>
              <w:spacing w:after="0"/>
              <w:rPr>
                <w:sz w:val="20"/>
                <w:szCs w:val="20"/>
                <w:color w:val="auto"/>
              </w:rPr>
            </w:pPr>
            <w:r>
              <w:rPr>
                <w:rFonts w:ascii="Arial" w:cs="Arial" w:eastAsia="Arial" w:hAnsi="Arial"/>
                <w:sz w:val="18"/>
                <w:szCs w:val="18"/>
                <w:color w:val="auto"/>
              </w:rPr>
              <w:t>Intangible assets, net</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405,720</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508,535</w:t>
            </w: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914,082</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921,416</w:t>
            </w:r>
          </w:p>
        </w:tc>
      </w:tr>
      <w:tr>
        <w:trPr>
          <w:trHeight w:val="237"/>
        </w:trPr>
        <w:tc>
          <w:tcPr>
            <w:tcW w:w="7320" w:type="dxa"/>
            <w:vAlign w:val="bottom"/>
          </w:tcPr>
          <w:p>
            <w:pPr>
              <w:ind w:left="24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1,591,728</w:t>
            </w:r>
          </w:p>
        </w:tc>
        <w:tc>
          <w:tcPr>
            <w:tcW w:w="140" w:type="dxa"/>
            <w:vAlign w:val="bottom"/>
          </w:tcPr>
          <w:p>
            <w:pPr>
              <w:spacing w:after="0"/>
              <w:rPr>
                <w:sz w:val="20"/>
                <w:szCs w:val="20"/>
                <w:color w:val="auto"/>
              </w:rPr>
            </w:pPr>
          </w:p>
        </w:tc>
        <w:tc>
          <w:tcPr>
            <w:tcW w:w="62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1,663,373</w:t>
            </w:r>
          </w:p>
        </w:tc>
      </w:tr>
      <w:tr>
        <w:trPr>
          <w:trHeight w:val="66"/>
        </w:trPr>
        <w:tc>
          <w:tcPr>
            <w:tcW w:w="732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43"/>
        </w:trPr>
        <w:tc>
          <w:tcPr>
            <w:tcW w:w="7320" w:type="dxa"/>
            <w:vAlign w:val="bottom"/>
            <w:tcBorders>
              <w:top w:val="single" w:sz="8" w:color="CCEEFF"/>
            </w:tcBorders>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40" w:type="dxa"/>
            <w:vAlign w:val="bottom"/>
            <w:tcBorders>
              <w:top w:val="single" w:sz="8" w:color="CCEEFF"/>
            </w:tcBorders>
          </w:tcPr>
          <w:p>
            <w:pPr>
              <w:spacing w:after="0"/>
              <w:rPr>
                <w:sz w:val="21"/>
                <w:szCs w:val="21"/>
                <w:color w:val="auto"/>
              </w:rPr>
            </w:pPr>
          </w:p>
        </w:tc>
        <w:tc>
          <w:tcPr>
            <w:tcW w:w="14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620" w:type="dxa"/>
            <w:vAlign w:val="bottom"/>
            <w:tcBorders>
              <w:top w:val="single" w:sz="8" w:color="CCEEFF"/>
            </w:tcBorders>
          </w:tcPr>
          <w:p>
            <w:pPr>
              <w:spacing w:after="0"/>
              <w:rPr>
                <w:sz w:val="21"/>
                <w:szCs w:val="21"/>
                <w:color w:val="auto"/>
              </w:rPr>
            </w:pPr>
          </w:p>
        </w:tc>
        <w:tc>
          <w:tcPr>
            <w:tcW w:w="1280" w:type="dxa"/>
            <w:vAlign w:val="bottom"/>
            <w:tcBorders>
              <w:top w:val="single" w:sz="8" w:color="CCEEFF"/>
            </w:tcBorders>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8,373</w:t>
            </w:r>
          </w:p>
        </w:tc>
        <w:tc>
          <w:tcPr>
            <w:tcW w:w="140" w:type="dxa"/>
            <w:vAlign w:val="bottom"/>
          </w:tcPr>
          <w:p>
            <w:pPr>
              <w:spacing w:after="0"/>
              <w:rPr>
                <w:sz w:val="21"/>
                <w:szCs w:val="21"/>
                <w:color w:val="auto"/>
              </w:rPr>
            </w:pPr>
          </w:p>
        </w:tc>
        <w:tc>
          <w:tcPr>
            <w:tcW w:w="620" w:type="dxa"/>
            <w:vAlign w:val="bottom"/>
          </w:tcPr>
          <w:p>
            <w:pPr>
              <w:jc w:val="right"/>
              <w:ind w:right="4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10,325</w:t>
            </w: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Accrued expenses and other</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56,963</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49,340</w:t>
            </w:r>
          </w:p>
        </w:tc>
      </w:tr>
      <w:tr>
        <w:trPr>
          <w:trHeight w:val="243"/>
        </w:trPr>
        <w:tc>
          <w:tcPr>
            <w:tcW w:w="732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22,885</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22,992</w:t>
            </w: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Customer deposits</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11,360</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9,828</w:t>
            </w:r>
          </w:p>
        </w:tc>
      </w:tr>
      <w:tr>
        <w:trPr>
          <w:trHeight w:val="243"/>
        </w:trPr>
        <w:tc>
          <w:tcPr>
            <w:tcW w:w="7320" w:type="dxa"/>
            <w:vAlign w:val="bottom"/>
          </w:tcPr>
          <w:p>
            <w:pPr>
              <w:ind w:left="100"/>
              <w:spacing w:after="0"/>
              <w:rPr>
                <w:sz w:val="20"/>
                <w:szCs w:val="20"/>
                <w:color w:val="auto"/>
              </w:rPr>
            </w:pPr>
            <w:r>
              <w:rPr>
                <w:rFonts w:ascii="Arial" w:cs="Arial" w:eastAsia="Arial" w:hAnsi="Arial"/>
                <w:sz w:val="18"/>
                <w:szCs w:val="18"/>
                <w:color w:val="auto"/>
              </w:rPr>
              <w:t>Current maturities of long-term debt</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5,500</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10,943</w:t>
            </w:r>
          </w:p>
        </w:tc>
      </w:tr>
      <w:tr>
        <w:trPr>
          <w:trHeight w:val="27"/>
        </w:trPr>
        <w:tc>
          <w:tcPr>
            <w:tcW w:w="73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current liabilities</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105,081</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103,428</w:t>
            </w:r>
          </w:p>
        </w:tc>
      </w:tr>
      <w:tr>
        <w:trPr>
          <w:trHeight w:val="243"/>
        </w:trPr>
        <w:tc>
          <w:tcPr>
            <w:tcW w:w="7320" w:type="dxa"/>
            <w:vAlign w:val="bottom"/>
          </w:tcPr>
          <w:p>
            <w:pPr>
              <w:ind w:left="100"/>
              <w:spacing w:after="0"/>
              <w:rPr>
                <w:sz w:val="20"/>
                <w:szCs w:val="20"/>
                <w:color w:val="auto"/>
              </w:rPr>
            </w:pPr>
            <w:r>
              <w:rPr>
                <w:rFonts w:ascii="Arial" w:cs="Arial" w:eastAsia="Arial" w:hAnsi="Arial"/>
                <w:sz w:val="18"/>
                <w:szCs w:val="18"/>
                <w:color w:val="auto"/>
              </w:rPr>
              <w:t>Long-term debt, net of current maturities and deferred financing costs</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530,946</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535,184</w:t>
            </w: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Other non-current liabilities</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49,008</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39,113</w:t>
            </w:r>
          </w:p>
        </w:tc>
      </w:tr>
      <w:tr>
        <w:trPr>
          <w:trHeight w:val="237"/>
        </w:trPr>
        <w:tc>
          <w:tcPr>
            <w:tcW w:w="7320" w:type="dxa"/>
            <w:vAlign w:val="bottom"/>
          </w:tcPr>
          <w:p>
            <w:pPr>
              <w:ind w:left="360"/>
              <w:spacing w:after="0"/>
              <w:rPr>
                <w:sz w:val="20"/>
                <w:szCs w:val="20"/>
                <w:color w:val="auto"/>
              </w:rPr>
            </w:pPr>
            <w:r>
              <w:rPr>
                <w:rFonts w:ascii="Arial" w:cs="Arial" w:eastAsia="Arial" w:hAnsi="Arial"/>
                <w:sz w:val="18"/>
                <w:szCs w:val="18"/>
                <w:b w:val="1"/>
                <w:bCs w:val="1"/>
                <w:color w:val="auto"/>
              </w:rPr>
              <w:t>Total liabilities</w:t>
            </w: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685,035</w:t>
            </w:r>
          </w:p>
        </w:tc>
        <w:tc>
          <w:tcPr>
            <w:tcW w:w="1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677,725</w:t>
            </w: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2"/>
        </w:trPr>
        <w:tc>
          <w:tcPr>
            <w:tcW w:w="7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Commitments and contingencies (Note 17)</w:t>
            </w: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2"/>
        </w:trPr>
        <w:tc>
          <w:tcPr>
            <w:tcW w:w="73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43"/>
        </w:trPr>
        <w:tc>
          <w:tcPr>
            <w:tcW w:w="73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4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8"/>
              </w:rPr>
              <w:t>Preferred stock, $0.00001 par value, 50,000,000 shares authorized and no shares issued or</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7"/>
        </w:trPr>
        <w:tc>
          <w:tcPr>
            <w:tcW w:w="7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outstanding as of December 31, 2022 and 2021</w:t>
            </w:r>
          </w:p>
        </w:tc>
        <w:tc>
          <w:tcPr>
            <w:tcW w:w="4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320" w:type="dxa"/>
            <w:vAlign w:val="bottom"/>
          </w:tcPr>
          <w:p>
            <w:pPr>
              <w:ind w:left="100"/>
              <w:spacing w:after="0"/>
              <w:rPr>
                <w:sz w:val="20"/>
                <w:szCs w:val="20"/>
                <w:color w:val="auto"/>
              </w:rPr>
            </w:pPr>
            <w:r>
              <w:rPr>
                <w:rFonts w:ascii="Arial" w:cs="Arial" w:eastAsia="Arial" w:hAnsi="Arial"/>
                <w:sz w:val="18"/>
                <w:szCs w:val="18"/>
                <w:color w:val="auto"/>
                <w:w w:val="98"/>
              </w:rPr>
              <w:t>Common stock, $0.00001 par value, 2,000,000,000 shares authorized and 191,447,237 and</w:t>
            </w: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320" w:type="dxa"/>
            <w:vAlign w:val="bottom"/>
          </w:tcPr>
          <w:p>
            <w:pPr>
              <w:ind w:left="260"/>
              <w:spacing w:after="0"/>
              <w:rPr>
                <w:sz w:val="20"/>
                <w:szCs w:val="20"/>
                <w:color w:val="auto"/>
              </w:rPr>
            </w:pPr>
            <w:r>
              <w:rPr>
                <w:rFonts w:ascii="Arial" w:cs="Arial" w:eastAsia="Arial" w:hAnsi="Arial"/>
                <w:sz w:val="18"/>
                <w:szCs w:val="18"/>
                <w:color w:val="auto"/>
                <w:w w:val="98"/>
              </w:rPr>
              <w:t>195,384,291 shares issued and outstanding at December 31, 2022 and 2021, respectively</w:t>
            </w:r>
          </w:p>
        </w:tc>
        <w:tc>
          <w:tcPr>
            <w:tcW w:w="4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w:t>
            </w:r>
          </w:p>
        </w:tc>
        <w:tc>
          <w:tcPr>
            <w:tcW w:w="4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(10,198)</w:t>
            </w: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r>
      <w:tr>
        <w:trPr>
          <w:trHeight w:val="243"/>
        </w:trPr>
        <w:tc>
          <w:tcPr>
            <w:tcW w:w="732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4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1,489,935</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1,500,643</w:t>
            </w:r>
          </w:p>
        </w:tc>
      </w:tr>
      <w:tr>
        <w:trPr>
          <w:trHeight w:val="27"/>
        </w:trPr>
        <w:tc>
          <w:tcPr>
            <w:tcW w:w="7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4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(573,046)</w:t>
            </w: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(513,230)</w:t>
            </w:r>
          </w:p>
        </w:tc>
      </w:tr>
      <w:tr>
        <w:trPr>
          <w:trHeight w:val="236"/>
        </w:trPr>
        <w:tc>
          <w:tcPr>
            <w:tcW w:w="7320" w:type="dxa"/>
            <w:vAlign w:val="bottom"/>
          </w:tcPr>
          <w:p>
            <w:pPr>
              <w:ind w:left="460"/>
              <w:spacing w:after="0"/>
              <w:rPr>
                <w:sz w:val="20"/>
                <w:szCs w:val="20"/>
                <w:color w:val="auto"/>
              </w:rPr>
            </w:pPr>
            <w:r>
              <w:rPr>
                <w:rFonts w:ascii="Arial" w:cs="Arial" w:eastAsia="Arial" w:hAnsi="Arial"/>
                <w:sz w:val="18"/>
                <w:szCs w:val="18"/>
                <w:b w:val="1"/>
                <w:bCs w:val="1"/>
                <w:color w:val="auto"/>
              </w:rPr>
              <w:t>Total stockholders’ equity</w:t>
            </w:r>
          </w:p>
        </w:tc>
        <w:tc>
          <w:tcPr>
            <w:tcW w:w="44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906,693</w:t>
            </w:r>
          </w:p>
        </w:tc>
        <w:tc>
          <w:tcPr>
            <w:tcW w:w="140" w:type="dxa"/>
            <w:vAlign w:val="bottom"/>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985,648</w:t>
            </w:r>
          </w:p>
        </w:tc>
      </w:tr>
      <w:tr>
        <w:trPr>
          <w:trHeight w:val="27"/>
        </w:trPr>
        <w:tc>
          <w:tcPr>
            <w:tcW w:w="73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89"/>
        </w:trPr>
        <w:tc>
          <w:tcPr>
            <w:tcW w:w="73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b w:val="1"/>
                <w:bCs w:val="1"/>
                <w:color w:val="auto"/>
              </w:rPr>
              <w:t>Total liabilities and stockholders’ equity</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1,591,728</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1,663,373</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and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40" w:type="dxa"/>
            <w:vAlign w:val="bottom"/>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4"/>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Subscription and transaction fees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465,345</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351,831</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232,931</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Marketing technology solutions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134,596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118,275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86,331</w:t>
            </w:r>
          </w:p>
        </w:tc>
        <w:tc>
          <w:tcPr>
            <w:tcW w:w="0" w:type="dxa"/>
            <w:vAlign w:val="bottom"/>
          </w:tcPr>
          <w:p>
            <w:pPr>
              <w:spacing w:after="0"/>
              <w:rPr>
                <w:sz w:val="1"/>
                <w:szCs w:val="1"/>
                <w:color w:val="auto"/>
              </w:rPr>
            </w:pP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20,805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20,033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18,263</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620,746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490,139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337,525</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w w:val="92"/>
              </w:rPr>
              <w:t>Cost of revenues (exclusive of depreciation and amortization presented separately below)</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162,230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115,020</w:t>
            </w:r>
          </w:p>
        </w:tc>
        <w:tc>
          <w:tcPr>
            <w:tcW w:w="0" w:type="dxa"/>
            <w:vAlign w:val="bottom"/>
          </w:tcPr>
          <w:p>
            <w:pPr>
              <w:spacing w:after="0"/>
              <w:rPr>
                <w:sz w:val="1"/>
                <w:szCs w:val="1"/>
                <w:color w:val="auto"/>
              </w:rPr>
            </w:pP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119,059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93,789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50,246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Product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30,386</w:t>
            </w:r>
          </w:p>
        </w:tc>
        <w:tc>
          <w:tcPr>
            <w:tcW w:w="0" w:type="dxa"/>
            <w:vAlign w:val="bottom"/>
          </w:tcPr>
          <w:p>
            <w:pPr>
              <w:spacing w:after="0"/>
              <w:rPr>
                <w:sz w:val="1"/>
                <w:szCs w:val="1"/>
                <w:color w:val="auto"/>
              </w:rPr>
            </w:pP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132,483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110,369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87,068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110,801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101,437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76,844</w:t>
            </w:r>
          </w:p>
        </w:tc>
        <w:tc>
          <w:tcPr>
            <w:tcW w:w="0" w:type="dxa"/>
            <w:vAlign w:val="bottom"/>
          </w:tcPr>
          <w:p>
            <w:pPr>
              <w:spacing w:after="0"/>
              <w:rPr>
                <w:sz w:val="1"/>
                <w:szCs w:val="1"/>
                <w:color w:val="auto"/>
              </w:rPr>
            </w:pPr>
          </w:p>
        </w:tc>
      </w:tr>
      <w:tr>
        <w:trPr>
          <w:trHeight w:val="237"/>
        </w:trPr>
        <w:tc>
          <w:tcPr>
            <w:tcW w:w="6720" w:type="dxa"/>
            <w:vAlign w:val="bottom"/>
          </w:tcPr>
          <w:p>
            <w:pPr>
              <w:ind w:left="24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651,340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517,331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359,564</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loss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(30,594)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(22,039)</w:t>
            </w:r>
          </w:p>
        </w:tc>
        <w:tc>
          <w:tcPr>
            <w:tcW w:w="0" w:type="dxa"/>
            <w:vAlign w:val="bottom"/>
          </w:tcPr>
          <w:p>
            <w:pPr>
              <w:spacing w:after="0"/>
              <w:rPr>
                <w:sz w:val="1"/>
                <w:szCs w:val="1"/>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Interest and other expense, net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(33,902)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(41,545)</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extinguishment</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(28,714)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720" w:type="dxa"/>
            <w:vAlign w:val="bottom"/>
          </w:tcPr>
          <w:p>
            <w:pPr>
              <w:ind w:left="460"/>
              <w:spacing w:after="0"/>
              <w:rPr>
                <w:sz w:val="20"/>
                <w:szCs w:val="20"/>
                <w:color w:val="auto"/>
              </w:rPr>
            </w:pPr>
            <w:r>
              <w:rPr>
                <w:rFonts w:ascii="Arial" w:cs="Arial" w:eastAsia="Arial" w:hAnsi="Arial"/>
                <w:sz w:val="18"/>
                <w:szCs w:val="18"/>
                <w:b w:val="1"/>
                <w:bCs w:val="1"/>
                <w:color w:val="auto"/>
              </w:rPr>
              <w:t>Net loss before income tax benefit</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(64,496)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(92,017)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(63,584)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0" w:type="dxa"/>
            <w:vAlign w:val="bottom"/>
          </w:tcPr>
          <w:p>
            <w:pPr>
              <w:spacing w:after="0"/>
              <w:rPr>
                <w:sz w:val="1"/>
                <w:szCs w:val="1"/>
                <w:color w:val="auto"/>
              </w:rPr>
            </w:pPr>
          </w:p>
        </w:tc>
      </w:tr>
      <w:tr>
        <w:trPr>
          <w:trHeight w:val="237"/>
        </w:trPr>
        <w:tc>
          <w:tcPr>
            <w:tcW w:w="6720" w:type="dxa"/>
            <w:vAlign w:val="bottom"/>
          </w:tcPr>
          <w:p>
            <w:pPr>
              <w:ind w:left="560"/>
              <w:spacing w:after="0"/>
              <w:rPr>
                <w:sz w:val="20"/>
                <w:szCs w:val="20"/>
                <w:color w:val="auto"/>
              </w:rPr>
            </w:pPr>
            <w:r>
              <w:rPr>
                <w:rFonts w:ascii="Arial" w:cs="Arial" w:eastAsia="Arial" w:hAnsi="Arial"/>
                <w:sz w:val="18"/>
                <w:szCs w:val="18"/>
                <w:b w:val="1"/>
                <w:bCs w:val="1"/>
                <w:color w:val="auto"/>
              </w:rPr>
              <w:t>Net loss</w:t>
            </w: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(81,966)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(59,954)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220"/>
              <w:spacing w:after="0"/>
              <w:rPr>
                <w:sz w:val="20"/>
                <w:szCs w:val="20"/>
                <w:color w:val="auto"/>
              </w:rPr>
            </w:pPr>
            <w:r>
              <w:rPr>
                <w:rFonts w:ascii="Arial" w:cs="Arial" w:eastAsia="Arial" w:hAnsi="Arial"/>
                <w:sz w:val="18"/>
                <w:szCs w:val="18"/>
                <w:color w:val="auto"/>
              </w:rPr>
              <w:t>Foreign currency translation gains (losses), net</w:t>
            </w:r>
          </w:p>
        </w:tc>
        <w:tc>
          <w:tcPr>
            <w:tcW w:w="2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(8,431)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7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(68,247)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(85,279)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(58,750)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(59,816)</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(81,966)</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(59,954)</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Adjustments to net loss (see Note 13)</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(67,811)</w:t>
            </w:r>
          </w:p>
        </w:tc>
        <w:tc>
          <w:tcPr>
            <w:tcW w:w="0" w:type="dxa"/>
            <w:vAlign w:val="bottom"/>
          </w:tcPr>
          <w:p>
            <w:pPr>
              <w:spacing w:after="0"/>
              <w:rPr>
                <w:sz w:val="1"/>
                <w:szCs w:val="1"/>
                <w:color w:val="auto"/>
              </w:rPr>
            </w:pPr>
          </w:p>
        </w:tc>
      </w:tr>
      <w:tr>
        <w:trPr>
          <w:trHeight w:val="263"/>
        </w:trPr>
        <w:tc>
          <w:tcPr>
            <w:tcW w:w="6720" w:type="dxa"/>
            <w:vAlign w:val="bottom"/>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(59,816)</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(97,071)</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(127,765)</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6720" w:type="dxa"/>
            <w:vAlign w:val="bottom"/>
          </w:tcPr>
          <w:p>
            <w:pPr>
              <w:ind w:left="20"/>
              <w:spacing w:after="0"/>
              <w:rPr>
                <w:sz w:val="20"/>
                <w:szCs w:val="20"/>
                <w:color w:val="auto"/>
              </w:rPr>
            </w:pPr>
            <w:r>
              <w:rPr>
                <w:rFonts w:ascii="Arial" w:cs="Arial" w:eastAsia="Arial" w:hAnsi="Arial"/>
                <w:sz w:val="18"/>
                <w:szCs w:val="18"/>
                <w:color w:val="auto"/>
              </w:rPr>
              <w:t>Basic and diluted net loss per share attributable to common stockholders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3"/>
                <w:szCs w:val="23"/>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w w:val="90"/>
              </w:rPr>
              <w:t>Basic and diluted weighted-average shares of common stock outstanding used in computing</w:t>
            </w:r>
          </w:p>
        </w:tc>
        <w:tc>
          <w:tcPr>
            <w:tcW w:w="28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194,624,968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117,795,280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41,696,800</w:t>
            </w:r>
          </w:p>
        </w:tc>
        <w:tc>
          <w:tcPr>
            <w:tcW w:w="0" w:type="dxa"/>
            <w:vAlign w:val="bottom"/>
          </w:tcPr>
          <w:p>
            <w:pPr>
              <w:spacing w:after="0"/>
              <w:rPr>
                <w:sz w:val="1"/>
                <w:szCs w:val="1"/>
                <w:color w:val="auto"/>
              </w:rPr>
            </w:pPr>
          </w:p>
        </w:tc>
      </w:tr>
      <w:tr>
        <w:trPr>
          <w:trHeight w:val="230"/>
        </w:trPr>
        <w:tc>
          <w:tcPr>
            <w:tcW w:w="6720" w:type="dxa"/>
            <w:vAlign w:val="bottom"/>
          </w:tcPr>
          <w:p>
            <w:pPr>
              <w:ind w:left="180"/>
              <w:spacing w:after="0"/>
              <w:rPr>
                <w:sz w:val="20"/>
                <w:szCs w:val="20"/>
                <w:color w:val="auto"/>
              </w:rPr>
            </w:pPr>
            <w:r>
              <w:rPr>
                <w:rFonts w:ascii="Arial" w:cs="Arial" w:eastAsia="Arial" w:hAnsi="Arial"/>
                <w:sz w:val="18"/>
                <w:szCs w:val="18"/>
                <w:color w:val="auto"/>
              </w:rPr>
              <w:t>net loss per share</w:t>
            </w: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5" w:name="page86"/>
    <w:bookmarkEnd w:id="85"/>
    <w:p>
      <w:pPr>
        <w:jc w:val="center"/>
        <w:ind w:right="20"/>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Convertible Preferred Stock and Stockholders’ Equity (Deficit)</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20"/>
          </w:cols>
          <w:pgMar w:left="340" w:top="14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Balance at January 1, 2020</w:t>
      </w:r>
    </w:p>
    <w:p>
      <w:pPr>
        <w:spacing w:after="0" w:line="57" w:lineRule="exact"/>
        <w:rPr>
          <w:sz w:val="20"/>
          <w:szCs w:val="20"/>
          <w:color w:val="auto"/>
        </w:rPr>
      </w:pPr>
    </w:p>
    <w:p>
      <w:pPr>
        <w:ind w:left="160" w:right="140" w:hanging="80"/>
        <w:spacing w:after="0" w:line="366" w:lineRule="auto"/>
        <w:rPr>
          <w:sz w:val="20"/>
          <w:szCs w:val="20"/>
          <w:color w:val="auto"/>
        </w:rPr>
      </w:pPr>
      <w:r>
        <w:rPr>
          <w:rFonts w:ascii="Arial" w:cs="Arial" w:eastAsia="Arial" w:hAnsi="Arial"/>
          <w:sz w:val="10"/>
          <w:szCs w:val="10"/>
          <w:color w:val="auto"/>
        </w:rPr>
        <w:t>Issuance of Series B convertible preferred stock</w:t>
      </w:r>
    </w:p>
    <w:p>
      <w:pPr>
        <w:ind w:left="80"/>
        <w:spacing w:after="0"/>
        <w:rPr>
          <w:sz w:val="20"/>
          <w:szCs w:val="20"/>
          <w:color w:val="auto"/>
        </w:rPr>
      </w:pPr>
      <w:r>
        <w:rPr>
          <w:rFonts w:ascii="Arial" w:cs="Arial" w:eastAsia="Arial" w:hAnsi="Arial"/>
          <w:sz w:val="13"/>
          <w:szCs w:val="13"/>
          <w:color w:val="auto"/>
        </w:rPr>
        <w:t>Equity issuance costs</w:t>
      </w:r>
    </w:p>
    <w:p>
      <w:pPr>
        <w:spacing w:after="0" w:line="53" w:lineRule="exact"/>
        <w:rPr>
          <w:sz w:val="20"/>
          <w:szCs w:val="20"/>
          <w:color w:val="auto"/>
        </w:rPr>
      </w:pPr>
    </w:p>
    <w:p>
      <w:pPr>
        <w:ind w:left="160" w:right="160" w:hanging="80"/>
        <w:spacing w:after="0" w:line="247" w:lineRule="auto"/>
        <w:rPr>
          <w:sz w:val="20"/>
          <w:szCs w:val="20"/>
          <w:color w:val="auto"/>
        </w:rPr>
      </w:pPr>
      <w:r>
        <w:rPr>
          <w:rFonts w:ascii="Arial" w:cs="Arial" w:eastAsia="Arial" w:hAnsi="Arial"/>
          <w:sz w:val="13"/>
          <w:szCs w:val="13"/>
          <w:color w:val="auto"/>
        </w:rPr>
        <w:t>Rollover equity in consideration of net assets acquired</w:t>
      </w:r>
    </w:p>
    <w:p>
      <w:pPr>
        <w:spacing w:after="0" w:line="51" w:lineRule="exact"/>
        <w:rPr>
          <w:sz w:val="20"/>
          <w:szCs w:val="20"/>
          <w:color w:val="auto"/>
        </w:rPr>
      </w:pPr>
    </w:p>
    <w:p>
      <w:pPr>
        <w:ind w:left="80" w:right="220"/>
        <w:spacing w:after="0" w:line="422" w:lineRule="auto"/>
        <w:rPr>
          <w:sz w:val="20"/>
          <w:szCs w:val="20"/>
          <w:color w:val="auto"/>
        </w:rPr>
      </w:pPr>
      <w:r>
        <w:rPr>
          <w:rFonts w:ascii="Arial" w:cs="Arial" w:eastAsia="Arial" w:hAnsi="Arial"/>
          <w:sz w:val="10"/>
          <w:szCs w:val="10"/>
          <w:color w:val="auto"/>
        </w:rPr>
        <w:t>Stock-based compensation Stock option exercises</w:t>
      </w:r>
    </w:p>
    <w:p>
      <w:pPr>
        <w:spacing w:after="0" w:line="1" w:lineRule="exact"/>
        <w:rPr>
          <w:sz w:val="20"/>
          <w:szCs w:val="20"/>
          <w:color w:val="auto"/>
        </w:rPr>
      </w:pPr>
    </w:p>
    <w:p>
      <w:pPr>
        <w:ind w:left="160" w:right="140" w:hanging="80"/>
        <w:spacing w:after="0" w:line="255" w:lineRule="auto"/>
        <w:rPr>
          <w:sz w:val="20"/>
          <w:szCs w:val="20"/>
          <w:color w:val="auto"/>
        </w:rPr>
      </w:pPr>
      <w:r>
        <w:rPr>
          <w:rFonts w:ascii="Arial" w:cs="Arial" w:eastAsia="Arial" w:hAnsi="Arial"/>
          <w:sz w:val="13"/>
          <w:szCs w:val="13"/>
          <w:color w:val="auto"/>
        </w:rPr>
        <w:t>Foreign currency translation gains, net</w:t>
      </w:r>
    </w:p>
    <w:p>
      <w:pPr>
        <w:spacing w:after="0" w:line="33" w:lineRule="exact"/>
        <w:rPr>
          <w:sz w:val="20"/>
          <w:szCs w:val="20"/>
          <w:color w:val="auto"/>
        </w:rPr>
      </w:pPr>
    </w:p>
    <w:p>
      <w:pPr>
        <w:ind w:left="160" w:hanging="80"/>
        <w:spacing w:after="0" w:line="247" w:lineRule="auto"/>
        <w:rPr>
          <w:sz w:val="20"/>
          <w:szCs w:val="20"/>
          <w:color w:val="auto"/>
        </w:rPr>
      </w:pPr>
      <w:r>
        <w:rPr>
          <w:rFonts w:ascii="Arial" w:cs="Arial" w:eastAsia="Arial" w:hAnsi="Arial"/>
          <w:sz w:val="13"/>
          <w:szCs w:val="13"/>
          <w:color w:val="auto"/>
        </w:rPr>
        <w:t>Accretion of Series B convertible preferred stock to redemption value</w:t>
      </w:r>
    </w:p>
    <w:p>
      <w:pPr>
        <w:spacing w:after="0" w:line="51" w:lineRule="exact"/>
        <w:rPr>
          <w:sz w:val="20"/>
          <w:szCs w:val="20"/>
          <w:color w:val="auto"/>
        </w:rPr>
      </w:pPr>
    </w:p>
    <w:p>
      <w:pPr>
        <w:ind w:left="80"/>
        <w:spacing w:after="0"/>
        <w:rPr>
          <w:sz w:val="20"/>
          <w:szCs w:val="20"/>
          <w:color w:val="auto"/>
        </w:rPr>
      </w:pPr>
      <w:r>
        <w:rPr>
          <w:rFonts w:ascii="Arial" w:cs="Arial" w:eastAsia="Arial" w:hAnsi="Arial"/>
          <w:sz w:val="13"/>
          <w:szCs w:val="13"/>
          <w:color w:val="auto"/>
        </w:rPr>
        <w:t>Net loss</w:t>
      </w:r>
    </w:p>
    <w:p>
      <w:pPr>
        <w:spacing w:after="0" w:line="49"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Balance at December 31, 2020</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Series B</w:t>
            </w:r>
          </w:p>
        </w:tc>
        <w:tc>
          <w:tcPr>
            <w:tcW w:w="820" w:type="dxa"/>
            <w:vAlign w:val="bottom"/>
            <w:gridSpan w:val="2"/>
          </w:tcPr>
          <w:p>
            <w:pPr>
              <w:ind w:left="280"/>
              <w:spacing w:after="0"/>
              <w:rPr>
                <w:sz w:val="20"/>
                <w:szCs w:val="20"/>
                <w:color w:val="auto"/>
              </w:rPr>
            </w:pPr>
            <w:r>
              <w:rPr>
                <w:rFonts w:ascii="Arial" w:cs="Arial" w:eastAsia="Arial" w:hAnsi="Arial"/>
                <w:sz w:val="13"/>
                <w:szCs w:val="13"/>
                <w:b w:val="1"/>
                <w:bCs w:val="1"/>
                <w:color w:val="auto"/>
                <w:w w:val="99"/>
              </w:rPr>
              <w:t>Series C</w:t>
            </w:r>
          </w:p>
        </w:tc>
        <w:tc>
          <w:tcPr>
            <w:tcW w:w="22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Series A</w:t>
            </w:r>
          </w:p>
        </w:tc>
        <w:tc>
          <w:tcPr>
            <w:tcW w:w="100" w:type="dxa"/>
            <w:vAlign w:val="bottom"/>
          </w:tcPr>
          <w:p>
            <w:pPr>
              <w:spacing w:after="0"/>
              <w:rPr>
                <w:sz w:val="13"/>
                <w:szCs w:val="13"/>
                <w:color w:val="auto"/>
              </w:rPr>
            </w:pPr>
          </w:p>
        </w:tc>
        <w:tc>
          <w:tcPr>
            <w:tcW w:w="660" w:type="dxa"/>
            <w:vAlign w:val="bottom"/>
            <w:tcBorders>
              <w:right w:val="single" w:sz="8" w:color="auto"/>
            </w:tcBorders>
            <w:vMerge w:val="restart"/>
          </w:tcPr>
          <w:p>
            <w:pPr>
              <w:jc w:val="center"/>
              <w:ind w:right="77"/>
              <w:spacing w:after="0"/>
              <w:rPr>
                <w:sz w:val="20"/>
                <w:szCs w:val="20"/>
                <w:color w:val="auto"/>
              </w:rPr>
            </w:pPr>
            <w:r>
              <w:rPr>
                <w:rFonts w:ascii="Arial" w:cs="Arial" w:eastAsia="Arial" w:hAnsi="Arial"/>
                <w:sz w:val="13"/>
                <w:szCs w:val="13"/>
                <w:b w:val="1"/>
                <w:bCs w:val="1"/>
                <w:color w:val="auto"/>
                <w:w w:val="89"/>
              </w:rPr>
              <w:t>Total</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5"/>
              </w:rPr>
              <w:t>Accumulated</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1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9"/>
              </w:rPr>
              <w:t>Convertible</w:t>
            </w:r>
          </w:p>
        </w:tc>
        <w:tc>
          <w:tcPr>
            <w:tcW w:w="82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w w:val="86"/>
              </w:rPr>
              <w:t>Convertible</w:t>
            </w:r>
          </w:p>
        </w:tc>
        <w:tc>
          <w:tcPr>
            <w:tcW w:w="220" w:type="dxa"/>
            <w:vAlign w:val="bottom"/>
          </w:tcPr>
          <w:p>
            <w:pPr>
              <w:spacing w:after="0"/>
              <w:rPr>
                <w:sz w:val="5"/>
                <w:szCs w:val="5"/>
                <w:color w:val="auto"/>
              </w:rPr>
            </w:pP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Convertible</w:t>
            </w:r>
          </w:p>
        </w:tc>
        <w:tc>
          <w:tcPr>
            <w:tcW w:w="100" w:type="dxa"/>
            <w:vAlign w:val="bottom"/>
          </w:tcPr>
          <w:p>
            <w:pPr>
              <w:spacing w:after="0"/>
              <w:rPr>
                <w:sz w:val="5"/>
                <w:szCs w:val="5"/>
                <w:color w:val="auto"/>
              </w:rPr>
            </w:pPr>
          </w:p>
        </w:tc>
        <w:tc>
          <w:tcPr>
            <w:tcW w:w="660" w:type="dxa"/>
            <w:vAlign w:val="bottom"/>
            <w:tcBorders>
              <w:right w:val="single" w:sz="8" w:color="auto"/>
            </w:tcBorders>
            <w:vMerge w:val="continue"/>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12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89"/>
              </w:rPr>
              <w:t>Convertible</w:t>
            </w: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7"/>
                <w:szCs w:val="7"/>
                <w:color w:val="auto"/>
              </w:rPr>
            </w:pPr>
          </w:p>
        </w:tc>
        <w:tc>
          <w:tcPr>
            <w:tcW w:w="840" w:type="dxa"/>
            <w:vAlign w:val="bottom"/>
            <w:vMerge w:val="restart"/>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68"/>
        </w:trPr>
        <w:tc>
          <w:tcPr>
            <w:tcW w:w="11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104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97"/>
              </w:rPr>
              <w:t>Preferred Stock</w:t>
            </w:r>
          </w:p>
        </w:tc>
        <w:tc>
          <w:tcPr>
            <w:tcW w:w="10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760" w:type="dxa"/>
            <w:vAlign w:val="bottom"/>
            <w:tcBorders>
              <w:right w:val="single" w:sz="8" w:color="auto"/>
            </w:tcBorders>
            <w:gridSpan w:val="2"/>
            <w:vMerge w:val="continue"/>
          </w:tcPr>
          <w:p>
            <w:pPr>
              <w:spacing w:after="0"/>
              <w:rPr>
                <w:sz w:val="5"/>
                <w:szCs w:val="5"/>
                <w:color w:val="auto"/>
              </w:rPr>
            </w:pPr>
          </w:p>
        </w:tc>
        <w:tc>
          <w:tcPr>
            <w:tcW w:w="10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94"/>
              </w:rPr>
              <w:t>Preferred Stock</w:t>
            </w:r>
          </w:p>
        </w:tc>
        <w:tc>
          <w:tcPr>
            <w:tcW w:w="104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w w:val="96"/>
              </w:rPr>
              <w:t>Common Stock</w:t>
            </w:r>
          </w:p>
        </w:tc>
        <w:tc>
          <w:tcPr>
            <w:tcW w:w="7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120" w:type="dxa"/>
            <w:vAlign w:val="bottom"/>
            <w:gridSpan w:val="2"/>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Borders>
              <w:right w:val="single" w:sz="8" w:color="auto"/>
            </w:tcBorders>
            <w:vMerge w:val="restart"/>
          </w:tcPr>
          <w:p>
            <w:pPr>
              <w:jc w:val="center"/>
              <w:ind w:right="77"/>
              <w:spacing w:after="0" w:line="120" w:lineRule="exact"/>
              <w:rPr>
                <w:sz w:val="20"/>
                <w:szCs w:val="20"/>
                <w:color w:val="auto"/>
              </w:rPr>
            </w:pPr>
            <w:r>
              <w:rPr>
                <w:rFonts w:ascii="Arial" w:cs="Arial" w:eastAsia="Arial" w:hAnsi="Arial"/>
                <w:sz w:val="13"/>
                <w:szCs w:val="13"/>
                <w:b w:val="1"/>
                <w:bCs w:val="1"/>
                <w:color w:val="auto"/>
                <w:w w:val="89"/>
              </w:rPr>
              <w:t>Preferred</w:t>
            </w:r>
          </w:p>
        </w:tc>
        <w:tc>
          <w:tcPr>
            <w:tcW w:w="1020" w:type="dxa"/>
            <w:vAlign w:val="bottom"/>
            <w:gridSpan w:val="3"/>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ind w:right="77"/>
              <w:spacing w:after="0" w:line="120" w:lineRule="exact"/>
              <w:rPr>
                <w:sz w:val="20"/>
                <w:szCs w:val="20"/>
                <w:color w:val="auto"/>
              </w:rPr>
            </w:pPr>
            <w:r>
              <w:rPr>
                <w:rFonts w:ascii="Arial" w:cs="Arial" w:eastAsia="Arial" w:hAnsi="Arial"/>
                <w:sz w:val="13"/>
                <w:szCs w:val="13"/>
                <w:b w:val="1"/>
                <w:bCs w:val="1"/>
                <w:color w:val="auto"/>
                <w:w w:val="96"/>
              </w:rPr>
              <w:t>Paid-In</w:t>
            </w:r>
          </w:p>
        </w:tc>
        <w:tc>
          <w:tcPr>
            <w:tcW w:w="760" w:type="dxa"/>
            <w:vAlign w:val="bottom"/>
            <w:gridSpan w:val="2"/>
            <w:vMerge w:val="restart"/>
          </w:tcPr>
          <w:p>
            <w:pPr>
              <w:ind w:left="20"/>
              <w:spacing w:after="0" w:line="120"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9"/>
                <w:szCs w:val="9"/>
                <w:color w:val="auto"/>
              </w:rPr>
            </w:pPr>
          </w:p>
        </w:tc>
        <w:tc>
          <w:tcPr>
            <w:tcW w:w="940" w:type="dxa"/>
            <w:vAlign w:val="bottom"/>
            <w:vMerge w:val="restart"/>
          </w:tcPr>
          <w:p>
            <w:pPr>
              <w:jc w:val="center"/>
              <w:ind w:right="17"/>
              <w:spacing w:after="0" w:line="120" w:lineRule="exact"/>
              <w:rPr>
                <w:sz w:val="20"/>
                <w:szCs w:val="20"/>
                <w:color w:val="auto"/>
              </w:rPr>
            </w:pPr>
            <w:r>
              <w:rPr>
                <w:rFonts w:ascii="Arial" w:cs="Arial" w:eastAsia="Arial" w:hAnsi="Arial"/>
                <w:sz w:val="13"/>
                <w:szCs w:val="13"/>
                <w:b w:val="1"/>
                <w:bCs w:val="1"/>
                <w:color w:val="auto"/>
                <w:w w:val="84"/>
              </w:rPr>
              <w:t>Comprehensive</w:t>
            </w:r>
          </w:p>
        </w:tc>
        <w:tc>
          <w:tcPr>
            <w:tcW w:w="100" w:type="dxa"/>
            <w:vAlign w:val="bottom"/>
          </w:tcPr>
          <w:p>
            <w:pPr>
              <w:spacing w:after="0"/>
              <w:rPr>
                <w:sz w:val="9"/>
                <w:szCs w:val="9"/>
                <w:color w:val="auto"/>
              </w:rPr>
            </w:pPr>
          </w:p>
        </w:tc>
        <w:tc>
          <w:tcPr>
            <w:tcW w:w="840" w:type="dxa"/>
            <w:vAlign w:val="bottom"/>
            <w:vMerge w:val="restart"/>
          </w:tcPr>
          <w:p>
            <w:pPr>
              <w:jc w:val="right"/>
              <w:ind w:right="17"/>
              <w:spacing w:after="0" w:line="120"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29"/>
        </w:trPr>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right w:val="single" w:sz="8" w:color="auto"/>
            </w:tcBorders>
            <w:vMerge w:val="continue"/>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6"/>
              </w:rPr>
              <w:t>Shares</w:t>
            </w:r>
          </w:p>
        </w:tc>
        <w:tc>
          <w:tcPr>
            <w:tcW w:w="640" w:type="dxa"/>
            <w:vAlign w:val="bottom"/>
          </w:tcPr>
          <w:p>
            <w:pPr>
              <w:jc w:val="right"/>
              <w:ind w:right="37"/>
              <w:spacing w:after="0"/>
              <w:rPr>
                <w:sz w:val="20"/>
                <w:szCs w:val="20"/>
                <w:color w:val="auto"/>
              </w:rPr>
            </w:pPr>
            <w:r>
              <w:rPr>
                <w:rFonts w:ascii="Arial" w:cs="Arial" w:eastAsia="Arial" w:hAnsi="Arial"/>
                <w:sz w:val="13"/>
                <w:szCs w:val="13"/>
                <w:b w:val="1"/>
                <w:bCs w:val="1"/>
                <w:color w:val="auto"/>
              </w:rPr>
              <w:t>Amount</w:t>
            </w:r>
          </w:p>
        </w:tc>
        <w:tc>
          <w:tcPr>
            <w:tcW w:w="460" w:type="dxa"/>
            <w:vAlign w:val="bottom"/>
          </w:tcPr>
          <w:p>
            <w:pPr>
              <w:ind w:left="40"/>
              <w:spacing w:after="0"/>
              <w:rPr>
                <w:sz w:val="20"/>
                <w:szCs w:val="20"/>
                <w:color w:val="auto"/>
              </w:rPr>
            </w:pPr>
            <w:r>
              <w:rPr>
                <w:rFonts w:ascii="Arial" w:cs="Arial" w:eastAsia="Arial" w:hAnsi="Arial"/>
                <w:sz w:val="13"/>
                <w:szCs w:val="13"/>
                <w:b w:val="1"/>
                <w:bCs w:val="1"/>
                <w:color w:val="auto"/>
                <w:w w:val="92"/>
              </w:rPr>
              <w:t>Shares</w:t>
            </w:r>
          </w:p>
        </w:tc>
        <w:tc>
          <w:tcPr>
            <w:tcW w:w="580" w:type="dxa"/>
            <w:vAlign w:val="bottom"/>
            <w:gridSpan w:val="2"/>
          </w:tcPr>
          <w:p>
            <w:pPr>
              <w:ind w:left="80"/>
              <w:spacing w:after="0"/>
              <w:rPr>
                <w:sz w:val="20"/>
                <w:szCs w:val="20"/>
                <w:color w:val="auto"/>
              </w:rPr>
            </w:pPr>
            <w:r>
              <w:rPr>
                <w:rFonts w:ascii="Arial" w:cs="Arial" w:eastAsia="Arial" w:hAnsi="Arial"/>
                <w:sz w:val="13"/>
                <w:szCs w:val="13"/>
                <w:b w:val="1"/>
                <w:bCs w:val="1"/>
                <w:color w:val="auto"/>
                <w:w w:val="97"/>
              </w:rPr>
              <w:t>Amount</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2"/>
              </w:rPr>
              <w:t>Shares</w:t>
            </w:r>
          </w:p>
        </w:tc>
        <w:tc>
          <w:tcPr>
            <w:tcW w:w="600" w:type="dxa"/>
            <w:vAlign w:val="bottom"/>
          </w:tcPr>
          <w:p>
            <w:pPr>
              <w:jc w:val="right"/>
              <w:ind w:right="17"/>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4"/>
                <w:szCs w:val="14"/>
                <w:color w:val="auto"/>
              </w:rPr>
            </w:pPr>
          </w:p>
        </w:tc>
        <w:tc>
          <w:tcPr>
            <w:tcW w:w="660" w:type="dxa"/>
            <w:vAlign w:val="bottom"/>
            <w:tcBorders>
              <w:right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Stock</w:t>
            </w:r>
          </w:p>
        </w:tc>
        <w:tc>
          <w:tcPr>
            <w:tcW w:w="480" w:type="dxa"/>
            <w:vAlign w:val="bottom"/>
          </w:tcPr>
          <w:p>
            <w:pPr>
              <w:ind w:left="60"/>
              <w:spacing w:after="0"/>
              <w:rPr>
                <w:sz w:val="20"/>
                <w:szCs w:val="20"/>
                <w:color w:val="auto"/>
              </w:rPr>
            </w:pPr>
            <w:r>
              <w:rPr>
                <w:rFonts w:ascii="Arial" w:cs="Arial" w:eastAsia="Arial" w:hAnsi="Arial"/>
                <w:sz w:val="13"/>
                <w:szCs w:val="13"/>
                <w:b w:val="1"/>
                <w:bCs w:val="1"/>
                <w:color w:val="auto"/>
                <w:w w:val="92"/>
              </w:rPr>
              <w:t>Shares</w:t>
            </w:r>
          </w:p>
        </w:tc>
        <w:tc>
          <w:tcPr>
            <w:tcW w:w="540" w:type="dxa"/>
            <w:vAlign w:val="bottom"/>
            <w:gridSpan w:val="2"/>
          </w:tcPr>
          <w:p>
            <w:pPr>
              <w:ind w:left="40"/>
              <w:spacing w:after="0"/>
              <w:rPr>
                <w:sz w:val="20"/>
                <w:szCs w:val="20"/>
                <w:color w:val="auto"/>
              </w:rPr>
            </w:pPr>
            <w:r>
              <w:rPr>
                <w:rFonts w:ascii="Arial" w:cs="Arial" w:eastAsia="Arial" w:hAnsi="Arial"/>
                <w:sz w:val="13"/>
                <w:szCs w:val="13"/>
                <w:b w:val="1"/>
                <w:bCs w:val="1"/>
                <w:color w:val="auto"/>
                <w:w w:val="97"/>
              </w:rPr>
              <w:t>Amount</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2"/>
              </w:rPr>
              <w:t>Shares</w:t>
            </w:r>
          </w:p>
        </w:tc>
        <w:tc>
          <w:tcPr>
            <w:tcW w:w="560" w:type="dxa"/>
            <w:vAlign w:val="bottom"/>
            <w:gridSpan w:val="2"/>
          </w:tcPr>
          <w:p>
            <w:pPr>
              <w:ind w:left="60"/>
              <w:spacing w:after="0"/>
              <w:rPr>
                <w:sz w:val="20"/>
                <w:szCs w:val="20"/>
                <w:color w:val="auto"/>
              </w:rPr>
            </w:pPr>
            <w:r>
              <w:rPr>
                <w:rFonts w:ascii="Arial" w:cs="Arial" w:eastAsia="Arial" w:hAnsi="Arial"/>
                <w:sz w:val="13"/>
                <w:szCs w:val="13"/>
                <w:b w:val="1"/>
                <w:bCs w:val="1"/>
                <w:color w:val="auto"/>
                <w:w w:val="97"/>
              </w:rPr>
              <w:t>Amount</w:t>
            </w:r>
          </w:p>
        </w:tc>
        <w:tc>
          <w:tcPr>
            <w:tcW w:w="120" w:type="dxa"/>
            <w:vAlign w:val="bottom"/>
          </w:tcPr>
          <w:p>
            <w:pPr>
              <w:spacing w:after="0"/>
              <w:rPr>
                <w:sz w:val="14"/>
                <w:szCs w:val="14"/>
                <w:color w:val="auto"/>
              </w:rPr>
            </w:pPr>
          </w:p>
        </w:tc>
        <w:tc>
          <w:tcPr>
            <w:tcW w:w="580" w:type="dxa"/>
            <w:vAlign w:val="bottom"/>
          </w:tcPr>
          <w:p>
            <w:pPr>
              <w:jc w:val="right"/>
              <w:ind w:right="97"/>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4"/>
                <w:szCs w:val="14"/>
                <w:color w:val="auto"/>
              </w:rPr>
            </w:pPr>
          </w:p>
        </w:tc>
        <w:tc>
          <w:tcPr>
            <w:tcW w:w="620" w:type="dxa"/>
            <w:vAlign w:val="bottom"/>
          </w:tcPr>
          <w:p>
            <w:pPr>
              <w:jc w:val="right"/>
              <w:ind w:right="13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4"/>
                <w:szCs w:val="14"/>
                <w:color w:val="auto"/>
              </w:rPr>
            </w:pPr>
          </w:p>
        </w:tc>
        <w:tc>
          <w:tcPr>
            <w:tcW w:w="94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Income</w:t>
            </w:r>
          </w:p>
        </w:tc>
        <w:tc>
          <w:tcPr>
            <w:tcW w:w="940" w:type="dxa"/>
            <w:vAlign w:val="bottom"/>
            <w:gridSpan w:val="2"/>
          </w:tcPr>
          <w:p>
            <w:pPr>
              <w:ind w:left="60"/>
              <w:spacing w:after="0"/>
              <w:rPr>
                <w:sz w:val="20"/>
                <w:szCs w:val="20"/>
                <w:color w:val="auto"/>
              </w:rPr>
            </w:pPr>
            <w:r>
              <w:rPr>
                <w:rFonts w:ascii="Arial" w:cs="Arial" w:eastAsia="Arial" w:hAnsi="Arial"/>
                <w:sz w:val="13"/>
                <w:szCs w:val="13"/>
                <w:b w:val="1"/>
                <w:bCs w:val="1"/>
                <w:color w:val="auto"/>
                <w:w w:val="93"/>
              </w:rPr>
              <w:t>Equity (Deficit)</w:t>
            </w:r>
          </w:p>
        </w:tc>
        <w:tc>
          <w:tcPr>
            <w:tcW w:w="0" w:type="dxa"/>
            <w:vAlign w:val="bottom"/>
          </w:tcPr>
          <w:p>
            <w:pPr>
              <w:spacing w:after="0"/>
              <w:rPr>
                <w:sz w:val="1"/>
                <w:szCs w:val="1"/>
                <w:color w:val="auto"/>
              </w:rPr>
            </w:pPr>
          </w:p>
        </w:tc>
      </w:tr>
      <w:tr>
        <w:trPr>
          <w:trHeight w:val="29"/>
        </w:trPr>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80" w:type="dxa"/>
            <w:vAlign w:val="bottom"/>
          </w:tcPr>
          <w:p>
            <w:pPr>
              <w:jc w:val="right"/>
              <w:spacing w:after="0"/>
              <w:rPr>
                <w:sz w:val="20"/>
                <w:szCs w:val="20"/>
                <w:color w:val="auto"/>
              </w:rPr>
            </w:pPr>
            <w:r>
              <w:rPr>
                <w:rFonts w:ascii="Arial" w:cs="Arial" w:eastAsia="Arial" w:hAnsi="Arial"/>
                <w:sz w:val="13"/>
                <w:szCs w:val="13"/>
                <w:color w:val="auto"/>
              </w:rPr>
              <w:t>55,759</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$ 527,065</w:t>
            </w:r>
          </w:p>
        </w:tc>
        <w:tc>
          <w:tcPr>
            <w:tcW w:w="460" w:type="dxa"/>
            <w:vAlign w:val="bottom"/>
          </w:tcPr>
          <w:p>
            <w:pPr>
              <w:ind w:left="30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44,958</w:t>
            </w:r>
          </w:p>
        </w:tc>
        <w:tc>
          <w:tcPr>
            <w:tcW w:w="600" w:type="dxa"/>
            <w:vAlign w:val="bottom"/>
          </w:tcPr>
          <w:p>
            <w:pPr>
              <w:jc w:val="right"/>
              <w:spacing w:after="0"/>
              <w:rPr>
                <w:sz w:val="20"/>
                <w:szCs w:val="20"/>
                <w:color w:val="auto"/>
              </w:rPr>
            </w:pPr>
            <w:r>
              <w:rPr>
                <w:rFonts w:ascii="Arial" w:cs="Arial" w:eastAsia="Arial" w:hAnsi="Arial"/>
                <w:sz w:val="13"/>
                <w:szCs w:val="13"/>
                <w:color w:val="auto"/>
                <w:w w:val="89"/>
              </w:rPr>
              <w:t>$ 163,264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690,329</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40,731</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96,129</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(371,310)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342</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(274,839)</w:t>
            </w:r>
          </w:p>
        </w:tc>
        <w:tc>
          <w:tcPr>
            <w:tcW w:w="0" w:type="dxa"/>
            <w:vAlign w:val="bottom"/>
          </w:tcPr>
          <w:p>
            <w:pPr>
              <w:spacing w:after="0"/>
              <w:rPr>
                <w:sz w:val="1"/>
                <w:szCs w:val="1"/>
                <w:color w:val="auto"/>
              </w:rPr>
            </w:pPr>
          </w:p>
        </w:tc>
      </w:tr>
      <w:tr>
        <w:trPr>
          <w:trHeight w:val="203"/>
        </w:trPr>
        <w:tc>
          <w:tcPr>
            <w:tcW w:w="480" w:type="dxa"/>
            <w:vAlign w:val="bottom"/>
          </w:tcPr>
          <w:p>
            <w:pPr>
              <w:jc w:val="right"/>
              <w:spacing w:after="0"/>
              <w:rPr>
                <w:sz w:val="20"/>
                <w:szCs w:val="20"/>
                <w:color w:val="auto"/>
              </w:rPr>
            </w:pPr>
            <w:r>
              <w:rPr>
                <w:rFonts w:ascii="Arial" w:cs="Arial" w:eastAsia="Arial" w:hAnsi="Arial"/>
                <w:sz w:val="13"/>
                <w:szCs w:val="13"/>
                <w:color w:val="auto"/>
              </w:rPr>
              <w:t>16,467</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150,250</w:t>
            </w:r>
          </w:p>
        </w:tc>
        <w:tc>
          <w:tcPr>
            <w:tcW w:w="460" w:type="dxa"/>
            <w:vAlign w:val="bottom"/>
          </w:tcPr>
          <w:p>
            <w:pPr>
              <w:ind w:left="3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6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150,250</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351"/>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(80)</w:t>
            </w:r>
          </w:p>
        </w:tc>
        <w:tc>
          <w:tcPr>
            <w:tcW w:w="460" w:type="dxa"/>
            <w:vAlign w:val="bottom"/>
          </w:tcPr>
          <w:p>
            <w:pPr>
              <w:ind w:left="3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(80)</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3"/>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60" w:type="dxa"/>
            <w:vAlign w:val="bottom"/>
          </w:tcPr>
          <w:p>
            <w:pPr>
              <w:ind w:left="3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6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222</w:t>
            </w:r>
          </w:p>
        </w:tc>
        <w:tc>
          <w:tcPr>
            <w:tcW w:w="240" w:type="dxa"/>
            <w:vAlign w:val="bottom"/>
          </w:tcPr>
          <w:p>
            <w:pPr>
              <w:spacing w:after="0"/>
              <w:rPr>
                <w:sz w:val="17"/>
                <w:szCs w:val="17"/>
                <w:color w:val="auto"/>
              </w:rPr>
            </w:pP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1,319</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1,319</w:t>
            </w:r>
          </w:p>
        </w:tc>
        <w:tc>
          <w:tcPr>
            <w:tcW w:w="0" w:type="dxa"/>
            <w:vAlign w:val="bottom"/>
          </w:tcPr>
          <w:p>
            <w:pPr>
              <w:spacing w:after="0"/>
              <w:rPr>
                <w:sz w:val="1"/>
                <w:szCs w:val="1"/>
                <w:color w:val="auto"/>
              </w:rPr>
            </w:pPr>
          </w:p>
        </w:tc>
      </w:tr>
      <w:tr>
        <w:trPr>
          <w:trHeight w:val="513"/>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60" w:type="dxa"/>
            <w:vAlign w:val="bottom"/>
          </w:tcPr>
          <w:p>
            <w:pPr>
              <w:ind w:left="3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2,037</w:t>
            </w:r>
          </w:p>
        </w:tc>
        <w:tc>
          <w:tcPr>
            <w:tcW w:w="24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10,721</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10,721</w:t>
            </w:r>
          </w:p>
        </w:tc>
        <w:tc>
          <w:tcPr>
            <w:tcW w:w="0" w:type="dxa"/>
            <w:vAlign w:val="bottom"/>
          </w:tcPr>
          <w:p>
            <w:pPr>
              <w:spacing w:after="0"/>
              <w:rPr>
                <w:sz w:val="1"/>
                <w:szCs w:val="1"/>
                <w:color w:val="auto"/>
              </w:rPr>
            </w:pPr>
          </w:p>
        </w:tc>
      </w:tr>
      <w:tr>
        <w:trPr>
          <w:trHeight w:val="203"/>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60" w:type="dxa"/>
            <w:vAlign w:val="bottom"/>
          </w:tcPr>
          <w:p>
            <w:pPr>
              <w:ind w:left="3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6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84</w:t>
            </w:r>
          </w:p>
        </w:tc>
        <w:tc>
          <w:tcPr>
            <w:tcW w:w="240" w:type="dxa"/>
            <w:vAlign w:val="bottom"/>
          </w:tcPr>
          <w:p>
            <w:pPr>
              <w:spacing w:after="0"/>
              <w:rPr>
                <w:sz w:val="17"/>
                <w:szCs w:val="17"/>
                <w:color w:val="auto"/>
              </w:rPr>
            </w:pP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206</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206</w:t>
            </w:r>
          </w:p>
        </w:tc>
        <w:tc>
          <w:tcPr>
            <w:tcW w:w="0" w:type="dxa"/>
            <w:vAlign w:val="bottom"/>
          </w:tcPr>
          <w:p>
            <w:pPr>
              <w:spacing w:after="0"/>
              <w:rPr>
                <w:sz w:val="1"/>
                <w:szCs w:val="1"/>
                <w:color w:val="auto"/>
              </w:rPr>
            </w:pPr>
          </w:p>
        </w:tc>
      </w:tr>
      <w:tr>
        <w:trPr>
          <w:trHeight w:val="203"/>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60" w:type="dxa"/>
            <w:vAlign w:val="bottom"/>
          </w:tcPr>
          <w:p>
            <w:pPr>
              <w:ind w:left="3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6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1,204</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1,204</w:t>
            </w:r>
          </w:p>
        </w:tc>
        <w:tc>
          <w:tcPr>
            <w:tcW w:w="0" w:type="dxa"/>
            <w:vAlign w:val="bottom"/>
          </w:tcPr>
          <w:p>
            <w:pPr>
              <w:spacing w:after="0"/>
              <w:rPr>
                <w:sz w:val="1"/>
                <w:szCs w:val="1"/>
                <w:color w:val="auto"/>
              </w:rPr>
            </w:pPr>
          </w:p>
        </w:tc>
      </w:tr>
      <w:tr>
        <w:trPr>
          <w:trHeight w:val="351"/>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67,811</w:t>
            </w:r>
          </w:p>
        </w:tc>
        <w:tc>
          <w:tcPr>
            <w:tcW w:w="460" w:type="dxa"/>
            <w:vAlign w:val="bottom"/>
          </w:tcPr>
          <w:p>
            <w:pPr>
              <w:ind w:left="3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67,811</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(67,811)</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(67,811)</w:t>
            </w:r>
          </w:p>
        </w:tc>
        <w:tc>
          <w:tcPr>
            <w:tcW w:w="0" w:type="dxa"/>
            <w:vAlign w:val="bottom"/>
          </w:tcPr>
          <w:p>
            <w:pPr>
              <w:spacing w:after="0"/>
              <w:rPr>
                <w:sz w:val="1"/>
                <w:szCs w:val="1"/>
                <w:color w:val="auto"/>
              </w:rPr>
            </w:pPr>
          </w:p>
        </w:tc>
      </w:tr>
      <w:tr>
        <w:trPr>
          <w:trHeight w:val="513"/>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460" w:type="dxa"/>
            <w:vAlign w:val="bottom"/>
          </w:tcPr>
          <w:p>
            <w:pPr>
              <w:ind w:left="300"/>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4"/>
                <w:szCs w:val="24"/>
                <w:color w:val="auto"/>
              </w:rPr>
            </w:pP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(59,954)</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(59,954)</w:t>
            </w:r>
          </w:p>
        </w:tc>
        <w:tc>
          <w:tcPr>
            <w:tcW w:w="0" w:type="dxa"/>
            <w:vAlign w:val="bottom"/>
          </w:tcPr>
          <w:p>
            <w:pPr>
              <w:spacing w:after="0"/>
              <w:rPr>
                <w:sz w:val="1"/>
                <w:szCs w:val="1"/>
                <w:color w:val="auto"/>
              </w:rPr>
            </w:pPr>
          </w:p>
        </w:tc>
      </w:tr>
      <w:tr>
        <w:trPr>
          <w:trHeight w:val="29"/>
        </w:trPr>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80" w:type="dxa"/>
            <w:vAlign w:val="bottom"/>
          </w:tcPr>
          <w:p>
            <w:pPr>
              <w:jc w:val="right"/>
              <w:spacing w:after="0"/>
              <w:rPr>
                <w:sz w:val="20"/>
                <w:szCs w:val="20"/>
                <w:color w:val="auto"/>
              </w:rPr>
            </w:pPr>
            <w:r>
              <w:rPr>
                <w:rFonts w:ascii="Arial" w:cs="Arial" w:eastAsia="Arial" w:hAnsi="Arial"/>
                <w:sz w:val="13"/>
                <w:szCs w:val="13"/>
                <w:color w:val="auto"/>
              </w:rPr>
              <w:t>72,226</w:t>
            </w:r>
          </w:p>
        </w:tc>
        <w:tc>
          <w:tcPr>
            <w:tcW w:w="640" w:type="dxa"/>
            <w:vAlign w:val="bottom"/>
          </w:tcPr>
          <w:p>
            <w:pPr>
              <w:jc w:val="right"/>
              <w:ind w:right="17"/>
              <w:spacing w:after="0"/>
              <w:rPr>
                <w:sz w:val="20"/>
                <w:szCs w:val="20"/>
                <w:color w:val="auto"/>
              </w:rPr>
            </w:pPr>
            <w:r>
              <w:rPr>
                <w:rFonts w:ascii="Arial" w:cs="Arial" w:eastAsia="Arial" w:hAnsi="Arial"/>
                <w:sz w:val="13"/>
                <w:szCs w:val="13"/>
                <w:color w:val="auto"/>
                <w:w w:val="93"/>
              </w:rPr>
              <w:t>$ 745,046</w:t>
            </w:r>
          </w:p>
        </w:tc>
        <w:tc>
          <w:tcPr>
            <w:tcW w:w="460" w:type="dxa"/>
            <w:vAlign w:val="bottom"/>
          </w:tcPr>
          <w:p>
            <w:pPr>
              <w:ind w:left="300"/>
              <w:spacing w:after="0"/>
              <w:rPr>
                <w:sz w:val="20"/>
                <w:szCs w:val="20"/>
                <w:color w:val="auto"/>
              </w:rPr>
            </w:pPr>
            <w:r>
              <w:rPr>
                <w:rFonts w:ascii="Arial" w:cs="Arial" w:eastAsia="Arial" w:hAnsi="Arial"/>
                <w:sz w:val="13"/>
                <w:szCs w:val="13"/>
                <w:color w:val="auto"/>
              </w:rPr>
              <w:t>—</w:t>
            </w:r>
          </w:p>
        </w:tc>
        <w:tc>
          <w:tcPr>
            <w:tcW w:w="360" w:type="dxa"/>
            <w:vAlign w:val="bottom"/>
          </w:tcPr>
          <w:p>
            <w:pPr>
              <w:jc w:val="right"/>
              <w:ind w:right="197"/>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44,958</w:t>
            </w:r>
          </w:p>
        </w:tc>
        <w:tc>
          <w:tcPr>
            <w:tcW w:w="600" w:type="dxa"/>
            <w:vAlign w:val="bottom"/>
          </w:tcPr>
          <w:p>
            <w:pPr>
              <w:jc w:val="right"/>
              <w:spacing w:after="0"/>
              <w:rPr>
                <w:sz w:val="20"/>
                <w:szCs w:val="20"/>
                <w:color w:val="auto"/>
              </w:rPr>
            </w:pPr>
            <w:r>
              <w:rPr>
                <w:rFonts w:ascii="Arial" w:cs="Arial" w:eastAsia="Arial" w:hAnsi="Arial"/>
                <w:sz w:val="13"/>
                <w:szCs w:val="13"/>
                <w:color w:val="auto"/>
                <w:w w:val="89"/>
              </w:rPr>
              <w:t>$ 163,264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60" w:type="dxa"/>
            <w:vAlign w:val="bottom"/>
            <w:tcBorders>
              <w:right w:val="single" w:sz="8" w:color="auto"/>
            </w:tcBorders>
          </w:tcPr>
          <w:p>
            <w:pPr>
              <w:jc w:val="right"/>
              <w:ind w:right="17"/>
              <w:spacing w:after="0"/>
              <w:rPr>
                <w:sz w:val="20"/>
                <w:szCs w:val="20"/>
                <w:color w:val="auto"/>
              </w:rPr>
            </w:pPr>
            <w:r>
              <w:rPr>
                <w:rFonts w:ascii="Arial" w:cs="Arial" w:eastAsia="Arial" w:hAnsi="Arial"/>
                <w:sz w:val="13"/>
                <w:szCs w:val="13"/>
                <w:color w:val="auto"/>
              </w:rPr>
              <w:t>908,310</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32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43,074</w:t>
            </w:r>
          </w:p>
        </w:tc>
        <w:tc>
          <w:tcPr>
            <w:tcW w:w="24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320" w:type="dxa"/>
            <w:vAlign w:val="bottom"/>
          </w:tcPr>
          <w:p>
            <w:pPr>
              <w:ind w:left="14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40,564</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(431,264)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1,546</w:t>
            </w:r>
          </w:p>
        </w:tc>
        <w:tc>
          <w:tcPr>
            <w:tcW w:w="100" w:type="dxa"/>
            <w:vAlign w:val="bottom"/>
          </w:tcPr>
          <w:p>
            <w:pPr>
              <w:ind w:left="4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(389,154)</w:t>
            </w:r>
          </w:p>
        </w:tc>
        <w:tc>
          <w:tcPr>
            <w:tcW w:w="0" w:type="dxa"/>
            <w:vAlign w:val="bottom"/>
          </w:tcPr>
          <w:p>
            <w:pPr>
              <w:spacing w:after="0"/>
              <w:rPr>
                <w:sz w:val="1"/>
                <w:szCs w:val="1"/>
                <w:color w:val="auto"/>
              </w:rPr>
            </w:pPr>
          </w:p>
        </w:tc>
      </w:tr>
      <w:tr>
        <w:trPr>
          <w:trHeight w:val="29"/>
        </w:trPr>
        <w:tc>
          <w:tcPr>
            <w:tcW w:w="4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-1099185</wp:posOffset>
            </wp:positionH>
            <wp:positionV relativeFrom="paragraph">
              <wp:posOffset>-1910715</wp:posOffset>
            </wp:positionV>
            <wp:extent cx="7132320" cy="1289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-1559560</wp:posOffset>
            </wp:positionV>
            <wp:extent cx="7132320" cy="1289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-1104900</wp:posOffset>
            </wp:positionV>
            <wp:extent cx="7132320" cy="1282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28270"/>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-848360</wp:posOffset>
            </wp:positionV>
            <wp:extent cx="7132320" cy="2228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22885"/>
                    </a:xfrm>
                    <a:prstGeom prst="rect">
                      <a:avLst/>
                    </a:prstGeom>
                    <a:noFill/>
                  </pic:spPr>
                </pic:pic>
              </a:graphicData>
            </a:graphic>
          </wp:anchor>
        </w:drawing>
        <w:drawing>
          <wp:anchor simplePos="0" relativeHeight="251657728" behindDoc="1" locked="0" layoutInCell="0" allowOverlap="1">
            <wp:simplePos x="0" y="0"/>
            <wp:positionH relativeFrom="column">
              <wp:posOffset>-1099185</wp:posOffset>
            </wp:positionH>
            <wp:positionV relativeFrom="paragraph">
              <wp:posOffset>-299720</wp:posOffset>
            </wp:positionV>
            <wp:extent cx="7132320" cy="1289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60"/>
            <w:col w:w="9500"/>
          </w:cols>
          <w:pgMar w:left="34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17" w:right="339" w:bottom="1440" w:gutter="0" w:footer="0" w:header="0"/>
          <w:type w:val="continuous"/>
        </w:sectPr>
      </w:pPr>
    </w:p>
    <w:bookmarkStart w:id="86" w:name="page87"/>
    <w:bookmarkEnd w:id="86"/>
    <w:p>
      <w:pPr>
        <w:jc w:val="center"/>
        <w:ind w:right="-19"/>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Convertible Preferred Stock and Stockholders’ Equity (Deficit) (Cont’d)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0840"/>
          </w:cols>
          <w:pgMar w:left="520" w:top="1417"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Balance at January 1, 2021</w:t>
      </w:r>
    </w:p>
    <w:p>
      <w:pPr>
        <w:spacing w:after="0" w:line="69" w:lineRule="exact"/>
        <w:rPr>
          <w:sz w:val="20"/>
          <w:szCs w:val="20"/>
          <w:color w:val="auto"/>
        </w:rPr>
      </w:pPr>
    </w:p>
    <w:p>
      <w:pPr>
        <w:ind w:left="200" w:right="100" w:hanging="80"/>
        <w:spacing w:after="0" w:line="356" w:lineRule="auto"/>
        <w:rPr>
          <w:sz w:val="20"/>
          <w:szCs w:val="20"/>
          <w:color w:val="auto"/>
        </w:rPr>
      </w:pPr>
      <w:r>
        <w:rPr>
          <w:rFonts w:ascii="Arial" w:cs="Arial" w:eastAsia="Arial" w:hAnsi="Arial"/>
          <w:sz w:val="10"/>
          <w:szCs w:val="10"/>
          <w:color w:val="auto"/>
        </w:rPr>
        <w:t>Accretion of Series B convertible preferred stock to redemption value</w:t>
      </w:r>
    </w:p>
    <w:p>
      <w:pPr>
        <w:spacing w:after="0" w:line="1" w:lineRule="exact"/>
        <w:rPr>
          <w:sz w:val="20"/>
          <w:szCs w:val="20"/>
          <w:color w:val="auto"/>
        </w:rPr>
      </w:pPr>
    </w:p>
    <w:p>
      <w:pPr>
        <w:ind w:left="200" w:right="380" w:hanging="80"/>
        <w:spacing w:after="0" w:line="366" w:lineRule="auto"/>
        <w:rPr>
          <w:sz w:val="20"/>
          <w:szCs w:val="20"/>
          <w:color w:val="auto"/>
        </w:rPr>
      </w:pPr>
      <w:r>
        <w:rPr>
          <w:rFonts w:ascii="Arial" w:cs="Arial" w:eastAsia="Arial" w:hAnsi="Arial"/>
          <w:sz w:val="10"/>
          <w:szCs w:val="10"/>
          <w:color w:val="auto"/>
        </w:rPr>
        <w:t>Issuance of convertible preferred stock, net</w:t>
      </w:r>
    </w:p>
    <w:p>
      <w:pPr>
        <w:ind w:left="200" w:right="60" w:hanging="80"/>
        <w:spacing w:after="0" w:line="345" w:lineRule="auto"/>
        <w:rPr>
          <w:sz w:val="20"/>
          <w:szCs w:val="20"/>
          <w:color w:val="auto"/>
        </w:rPr>
      </w:pPr>
      <w:r>
        <w:rPr>
          <w:rFonts w:ascii="Arial" w:cs="Arial" w:eastAsia="Arial" w:hAnsi="Arial"/>
          <w:sz w:val="10"/>
          <w:szCs w:val="10"/>
          <w:color w:val="auto"/>
        </w:rPr>
        <w:t>Conversion of convertible preferred stock to common stock upon closing of initial public offering</w:t>
      </w:r>
    </w:p>
    <w:p>
      <w:pPr>
        <w:ind w:left="200" w:hanging="80"/>
        <w:spacing w:after="0" w:line="338" w:lineRule="auto"/>
        <w:rPr>
          <w:sz w:val="20"/>
          <w:szCs w:val="20"/>
          <w:color w:val="auto"/>
        </w:rPr>
      </w:pPr>
      <w:r>
        <w:rPr>
          <w:rFonts w:ascii="Arial" w:cs="Arial" w:eastAsia="Arial" w:hAnsi="Arial"/>
          <w:sz w:val="10"/>
          <w:szCs w:val="10"/>
          <w:color w:val="auto"/>
        </w:rPr>
        <w:t>Issuance of common stock upon closing of initial public offering, net of issuance costs and underwriters fees of $31,278 thousand</w:t>
      </w:r>
    </w:p>
    <w:p>
      <w:pPr>
        <w:ind w:left="200" w:right="80" w:hanging="80"/>
        <w:spacing w:after="0" w:line="296" w:lineRule="auto"/>
        <w:rPr>
          <w:sz w:val="20"/>
          <w:szCs w:val="20"/>
          <w:color w:val="auto"/>
        </w:rPr>
      </w:pPr>
      <w:r>
        <w:rPr>
          <w:rFonts w:ascii="Arial" w:cs="Arial" w:eastAsia="Arial" w:hAnsi="Arial"/>
          <w:sz w:val="12"/>
          <w:szCs w:val="12"/>
          <w:color w:val="auto"/>
        </w:rPr>
        <w:t>Issuance of common stock in a private placement</w:t>
      </w:r>
    </w:p>
    <w:p>
      <w:pPr>
        <w:spacing w:after="0" w:line="11" w:lineRule="exact"/>
        <w:rPr>
          <w:sz w:val="20"/>
          <w:szCs w:val="20"/>
          <w:color w:val="auto"/>
        </w:rPr>
      </w:pPr>
    </w:p>
    <w:p>
      <w:pPr>
        <w:ind w:left="200" w:right="140" w:hanging="80"/>
        <w:spacing w:after="0" w:line="247" w:lineRule="auto"/>
        <w:rPr>
          <w:sz w:val="20"/>
          <w:szCs w:val="20"/>
          <w:color w:val="auto"/>
        </w:rPr>
      </w:pPr>
      <w:r>
        <w:rPr>
          <w:rFonts w:ascii="Arial" w:cs="Arial" w:eastAsia="Arial" w:hAnsi="Arial"/>
          <w:sz w:val="13"/>
          <w:szCs w:val="13"/>
          <w:color w:val="auto"/>
        </w:rPr>
        <w:t>Rollover equity in consideration of net assets acquired</w:t>
      </w:r>
    </w:p>
    <w:p>
      <w:pPr>
        <w:spacing w:after="0" w:line="51" w:lineRule="exact"/>
        <w:rPr>
          <w:sz w:val="20"/>
          <w:szCs w:val="20"/>
          <w:color w:val="auto"/>
        </w:rPr>
      </w:pPr>
    </w:p>
    <w:p>
      <w:pPr>
        <w:ind w:left="120" w:right="200"/>
        <w:spacing w:after="0" w:line="422" w:lineRule="auto"/>
        <w:rPr>
          <w:sz w:val="20"/>
          <w:szCs w:val="20"/>
          <w:color w:val="auto"/>
        </w:rPr>
      </w:pPr>
      <w:r>
        <w:rPr>
          <w:rFonts w:ascii="Arial" w:cs="Arial" w:eastAsia="Arial" w:hAnsi="Arial"/>
          <w:sz w:val="10"/>
          <w:szCs w:val="10"/>
          <w:color w:val="auto"/>
        </w:rPr>
        <w:t>Stock-based compensation Stock option exercises</w:t>
      </w:r>
    </w:p>
    <w:p>
      <w:pPr>
        <w:spacing w:after="0" w:line="1" w:lineRule="exact"/>
        <w:rPr>
          <w:sz w:val="20"/>
          <w:szCs w:val="20"/>
          <w:color w:val="auto"/>
        </w:rPr>
      </w:pPr>
    </w:p>
    <w:p>
      <w:pPr>
        <w:ind w:left="200" w:right="180" w:hanging="80"/>
        <w:spacing w:after="0" w:line="277" w:lineRule="auto"/>
        <w:rPr>
          <w:sz w:val="20"/>
          <w:szCs w:val="20"/>
          <w:color w:val="auto"/>
        </w:rPr>
      </w:pPr>
      <w:r>
        <w:rPr>
          <w:rFonts w:ascii="Arial" w:cs="Arial" w:eastAsia="Arial" w:hAnsi="Arial"/>
          <w:sz w:val="12"/>
          <w:szCs w:val="12"/>
          <w:color w:val="auto"/>
        </w:rPr>
        <w:t>Release of valuation allowance related to prior equity transactions</w:t>
      </w:r>
    </w:p>
    <w:p>
      <w:pPr>
        <w:spacing w:after="0" w:line="35" w:lineRule="exact"/>
        <w:rPr>
          <w:sz w:val="20"/>
          <w:szCs w:val="20"/>
          <w:color w:val="auto"/>
        </w:rPr>
      </w:pPr>
    </w:p>
    <w:p>
      <w:pPr>
        <w:ind w:left="200" w:right="120" w:hanging="80"/>
        <w:spacing w:after="0" w:line="255" w:lineRule="auto"/>
        <w:rPr>
          <w:sz w:val="20"/>
          <w:szCs w:val="20"/>
          <w:color w:val="auto"/>
        </w:rPr>
      </w:pPr>
      <w:r>
        <w:rPr>
          <w:rFonts w:ascii="Arial" w:cs="Arial" w:eastAsia="Arial" w:hAnsi="Arial"/>
          <w:sz w:val="13"/>
          <w:szCs w:val="13"/>
          <w:color w:val="auto"/>
        </w:rPr>
        <w:t>Foreign currency translation losses, net</w:t>
      </w:r>
    </w:p>
    <w:p>
      <w:pPr>
        <w:spacing w:after="0" w:line="33" w:lineRule="exact"/>
        <w:rPr>
          <w:sz w:val="20"/>
          <w:szCs w:val="20"/>
          <w:color w:val="auto"/>
        </w:rPr>
      </w:pPr>
    </w:p>
    <w:p>
      <w:pPr>
        <w:ind w:left="120"/>
        <w:spacing w:after="0"/>
        <w:rPr>
          <w:sz w:val="20"/>
          <w:szCs w:val="20"/>
          <w:color w:val="auto"/>
        </w:rPr>
      </w:pPr>
      <w:r>
        <w:rPr>
          <w:rFonts w:ascii="Arial" w:cs="Arial" w:eastAsia="Arial" w:hAnsi="Arial"/>
          <w:sz w:val="13"/>
          <w:szCs w:val="13"/>
          <w:color w:val="auto"/>
        </w:rPr>
        <w:t>Net loss</w:t>
      </w:r>
    </w:p>
    <w:p>
      <w:pPr>
        <w:spacing w:after="0" w:line="90"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Balance at December 31, 2021</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10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0"/>
              </w:rPr>
              <w:t>Series B</w:t>
            </w:r>
          </w:p>
        </w:tc>
        <w:tc>
          <w:tcPr>
            <w:tcW w:w="820" w:type="dxa"/>
            <w:vAlign w:val="bottom"/>
            <w:gridSpan w:val="2"/>
          </w:tcPr>
          <w:p>
            <w:pPr>
              <w:jc w:val="center"/>
              <w:ind w:left="117"/>
              <w:spacing w:after="0"/>
              <w:rPr>
                <w:sz w:val="20"/>
                <w:szCs w:val="20"/>
                <w:color w:val="auto"/>
              </w:rPr>
            </w:pPr>
            <w:r>
              <w:rPr>
                <w:rFonts w:ascii="Arial" w:cs="Arial" w:eastAsia="Arial" w:hAnsi="Arial"/>
                <w:sz w:val="13"/>
                <w:szCs w:val="13"/>
                <w:b w:val="1"/>
                <w:bCs w:val="1"/>
                <w:color w:val="auto"/>
                <w:w w:val="84"/>
              </w:rPr>
              <w:t>Series C</w:t>
            </w:r>
          </w:p>
        </w:tc>
        <w:tc>
          <w:tcPr>
            <w:tcW w:w="200" w:type="dxa"/>
            <w:vAlign w:val="bottom"/>
          </w:tcPr>
          <w:p>
            <w:pPr>
              <w:spacing w:after="0"/>
              <w:rPr>
                <w:sz w:val="13"/>
                <w:szCs w:val="13"/>
                <w:color w:val="auto"/>
              </w:rPr>
            </w:pPr>
          </w:p>
        </w:tc>
        <w:tc>
          <w:tcPr>
            <w:tcW w:w="10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4"/>
              </w:rPr>
              <w:t>Series A</w:t>
            </w:r>
          </w:p>
        </w:tc>
        <w:tc>
          <w:tcPr>
            <w:tcW w:w="80" w:type="dxa"/>
            <w:vAlign w:val="bottom"/>
          </w:tcPr>
          <w:p>
            <w:pPr>
              <w:spacing w:after="0"/>
              <w:rPr>
                <w:sz w:val="13"/>
                <w:szCs w:val="13"/>
                <w:color w:val="auto"/>
              </w:rPr>
            </w:pPr>
          </w:p>
        </w:tc>
        <w:tc>
          <w:tcPr>
            <w:tcW w:w="680" w:type="dxa"/>
            <w:vAlign w:val="bottom"/>
            <w:tcBorders>
              <w:right w:val="single" w:sz="8" w:color="auto"/>
            </w:tcBorders>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8"/>
              </w:rPr>
              <w:t>Accumulated</w:t>
            </w:r>
          </w:p>
        </w:tc>
        <w:tc>
          <w:tcPr>
            <w:tcW w:w="140" w:type="dxa"/>
            <w:vAlign w:val="bottom"/>
          </w:tcPr>
          <w:p>
            <w:pPr>
              <w:spacing w:after="0"/>
              <w:rPr>
                <w:sz w:val="13"/>
                <w:szCs w:val="13"/>
                <w:color w:val="auto"/>
              </w:rPr>
            </w:pPr>
          </w:p>
        </w:tc>
        <w:tc>
          <w:tcPr>
            <w:tcW w:w="70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10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Convertible</w:t>
            </w:r>
          </w:p>
        </w:tc>
        <w:tc>
          <w:tcPr>
            <w:tcW w:w="820" w:type="dxa"/>
            <w:vAlign w:val="bottom"/>
            <w:gridSpan w:val="2"/>
            <w:vMerge w:val="restart"/>
          </w:tcPr>
          <w:p>
            <w:pPr>
              <w:jc w:val="center"/>
              <w:ind w:left="117"/>
              <w:spacing w:after="0"/>
              <w:rPr>
                <w:sz w:val="20"/>
                <w:szCs w:val="20"/>
                <w:color w:val="auto"/>
              </w:rPr>
            </w:pPr>
            <w:r>
              <w:rPr>
                <w:rFonts w:ascii="Arial" w:cs="Arial" w:eastAsia="Arial" w:hAnsi="Arial"/>
                <w:sz w:val="13"/>
                <w:szCs w:val="13"/>
                <w:b w:val="1"/>
                <w:bCs w:val="1"/>
                <w:color w:val="auto"/>
                <w:w w:val="89"/>
              </w:rPr>
              <w:t>Convertible</w:t>
            </w:r>
          </w:p>
        </w:tc>
        <w:tc>
          <w:tcPr>
            <w:tcW w:w="200" w:type="dxa"/>
            <w:vAlign w:val="bottom"/>
          </w:tcPr>
          <w:p>
            <w:pPr>
              <w:spacing w:after="0"/>
              <w:rPr>
                <w:sz w:val="5"/>
                <w:szCs w:val="5"/>
                <w:color w:val="auto"/>
              </w:rPr>
            </w:pPr>
          </w:p>
        </w:tc>
        <w:tc>
          <w:tcPr>
            <w:tcW w:w="10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9"/>
              </w:rPr>
              <w:t>Convertible</w:t>
            </w:r>
          </w:p>
        </w:tc>
        <w:tc>
          <w:tcPr>
            <w:tcW w:w="80" w:type="dxa"/>
            <w:vAlign w:val="bottom"/>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80" w:type="dxa"/>
            <w:vAlign w:val="bottom"/>
            <w:gridSpan w:val="2"/>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7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89"/>
              </w:rPr>
              <w:t>Convertible</w:t>
            </w: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4"/>
              </w:rPr>
              <w:t>Additional</w:t>
            </w: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2"/>
              </w:rPr>
              <w:t>Other</w:t>
            </w:r>
          </w:p>
        </w:tc>
        <w:tc>
          <w:tcPr>
            <w:tcW w:w="84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68"/>
        </w:trPr>
        <w:tc>
          <w:tcPr>
            <w:tcW w:w="108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0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10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760" w:type="dxa"/>
            <w:vAlign w:val="bottom"/>
            <w:tcBorders>
              <w:right w:val="single" w:sz="8" w:color="auto"/>
            </w:tcBorders>
            <w:gridSpan w:val="2"/>
            <w:vMerge w:val="continue"/>
          </w:tcPr>
          <w:p>
            <w:pPr>
              <w:spacing w:after="0"/>
              <w:rPr>
                <w:sz w:val="5"/>
                <w:szCs w:val="5"/>
                <w:color w:val="auto"/>
              </w:rPr>
            </w:pPr>
          </w:p>
        </w:tc>
        <w:tc>
          <w:tcPr>
            <w:tcW w:w="98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104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5"/>
              </w:rPr>
              <w:t>Common Stock</w:t>
            </w:r>
          </w:p>
        </w:tc>
        <w:tc>
          <w:tcPr>
            <w:tcW w:w="6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080" w:type="dxa"/>
            <w:vAlign w:val="bottom"/>
            <w:gridSpan w:val="2"/>
            <w:vMerge w:val="continue"/>
          </w:tcPr>
          <w:p>
            <w:pPr>
              <w:spacing w:after="0"/>
              <w:rPr>
                <w:sz w:val="9"/>
                <w:szCs w:val="9"/>
                <w:color w:val="auto"/>
              </w:rPr>
            </w:pPr>
          </w:p>
        </w:tc>
        <w:tc>
          <w:tcPr>
            <w:tcW w:w="1020" w:type="dxa"/>
            <w:vAlign w:val="bottom"/>
            <w:gridSpan w:val="3"/>
            <w:vMerge w:val="continue"/>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Borders>
              <w:right w:val="single" w:sz="8" w:color="auto"/>
            </w:tcBorders>
            <w:vMerge w:val="restart"/>
          </w:tcPr>
          <w:p>
            <w:pPr>
              <w:jc w:val="center"/>
              <w:ind w:right="57"/>
              <w:spacing w:after="0" w:line="120" w:lineRule="exact"/>
              <w:rPr>
                <w:sz w:val="20"/>
                <w:szCs w:val="20"/>
                <w:color w:val="auto"/>
              </w:rPr>
            </w:pPr>
            <w:r>
              <w:rPr>
                <w:rFonts w:ascii="Arial" w:cs="Arial" w:eastAsia="Arial" w:hAnsi="Arial"/>
                <w:sz w:val="13"/>
                <w:szCs w:val="13"/>
                <w:b w:val="1"/>
                <w:bCs w:val="1"/>
                <w:color w:val="auto"/>
                <w:w w:val="89"/>
              </w:rPr>
              <w:t>Preferred</w:t>
            </w:r>
          </w:p>
        </w:tc>
        <w:tc>
          <w:tcPr>
            <w:tcW w:w="980" w:type="dxa"/>
            <w:vAlign w:val="bottom"/>
            <w:gridSpan w:val="3"/>
            <w:vMerge w:val="continue"/>
          </w:tcPr>
          <w:p>
            <w:pPr>
              <w:spacing w:after="0"/>
              <w:rPr>
                <w:sz w:val="9"/>
                <w:szCs w:val="9"/>
                <w:color w:val="auto"/>
              </w:rPr>
            </w:pPr>
          </w:p>
        </w:tc>
        <w:tc>
          <w:tcPr>
            <w:tcW w:w="104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jc w:val="right"/>
              <w:ind w:right="57"/>
              <w:spacing w:after="0" w:line="120" w:lineRule="exact"/>
              <w:rPr>
                <w:sz w:val="20"/>
                <w:szCs w:val="20"/>
                <w:color w:val="auto"/>
              </w:rPr>
            </w:pPr>
            <w:r>
              <w:rPr>
                <w:rFonts w:ascii="Arial" w:cs="Arial" w:eastAsia="Arial" w:hAnsi="Arial"/>
                <w:sz w:val="13"/>
                <w:szCs w:val="13"/>
                <w:b w:val="1"/>
                <w:bCs w:val="1"/>
                <w:color w:val="auto"/>
                <w:w w:val="96"/>
              </w:rPr>
              <w:t>Paid-In</w:t>
            </w:r>
          </w:p>
        </w:tc>
        <w:tc>
          <w:tcPr>
            <w:tcW w:w="800" w:type="dxa"/>
            <w:vAlign w:val="bottom"/>
            <w:gridSpan w:val="2"/>
            <w:vMerge w:val="restart"/>
          </w:tcPr>
          <w:p>
            <w:pPr>
              <w:ind w:left="40"/>
              <w:spacing w:after="0" w:line="120" w:lineRule="exact"/>
              <w:rPr>
                <w:sz w:val="20"/>
                <w:szCs w:val="20"/>
                <w:color w:val="auto"/>
              </w:rPr>
            </w:pPr>
            <w:r>
              <w:rPr>
                <w:rFonts w:ascii="Arial" w:cs="Arial" w:eastAsia="Arial" w:hAnsi="Arial"/>
                <w:sz w:val="13"/>
                <w:szCs w:val="13"/>
                <w:b w:val="1"/>
                <w:bCs w:val="1"/>
                <w:color w:val="auto"/>
                <w:w w:val="90"/>
              </w:rPr>
              <w:t>Accumulated</w:t>
            </w:r>
          </w:p>
        </w:tc>
        <w:tc>
          <w:tcPr>
            <w:tcW w:w="920" w:type="dxa"/>
            <w:vAlign w:val="bottom"/>
            <w:gridSpan w:val="2"/>
            <w:vMerge w:val="restart"/>
          </w:tcPr>
          <w:p>
            <w:pPr>
              <w:jc w:val="center"/>
              <w:spacing w:after="0" w:line="120"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9"/>
                <w:szCs w:val="9"/>
                <w:color w:val="auto"/>
              </w:rPr>
            </w:pPr>
          </w:p>
        </w:tc>
        <w:tc>
          <w:tcPr>
            <w:tcW w:w="700" w:type="dxa"/>
            <w:vAlign w:val="bottom"/>
            <w:vMerge w:val="restart"/>
          </w:tcPr>
          <w:p>
            <w:pPr>
              <w:jc w:val="center"/>
              <w:ind w:right="77"/>
              <w:spacing w:after="0" w:line="120" w:lineRule="exact"/>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9"/>
        </w:trPr>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right w:val="single" w:sz="8" w:color="auto"/>
            </w:tcBorders>
            <w:vMerge w:val="continue"/>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2"/>
              </w:rPr>
              <w:t>Shares</w:t>
            </w:r>
          </w:p>
        </w:tc>
        <w:tc>
          <w:tcPr>
            <w:tcW w:w="600" w:type="dxa"/>
            <w:vAlign w:val="bottom"/>
          </w:tcPr>
          <w:p>
            <w:pPr>
              <w:jc w:val="right"/>
              <w:ind w:right="21"/>
              <w:spacing w:after="0"/>
              <w:rPr>
                <w:sz w:val="20"/>
                <w:szCs w:val="20"/>
                <w:color w:val="auto"/>
              </w:rPr>
            </w:pPr>
            <w:r>
              <w:rPr>
                <w:rFonts w:ascii="Arial" w:cs="Arial" w:eastAsia="Arial" w:hAnsi="Arial"/>
                <w:sz w:val="13"/>
                <w:szCs w:val="13"/>
                <w:b w:val="1"/>
                <w:bCs w:val="1"/>
                <w:color w:val="auto"/>
              </w:rPr>
              <w:t>Amount</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w w:val="87"/>
              </w:rPr>
              <w:t>Shares</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2"/>
              </w:rPr>
              <w:t>Shares</w:t>
            </w:r>
          </w:p>
        </w:tc>
        <w:tc>
          <w:tcPr>
            <w:tcW w:w="58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Pr>
          <w:p>
            <w:pPr>
              <w:spacing w:after="0"/>
              <w:rPr>
                <w:sz w:val="14"/>
                <w:szCs w:val="14"/>
                <w:color w:val="auto"/>
              </w:rPr>
            </w:pPr>
          </w:p>
        </w:tc>
        <w:tc>
          <w:tcPr>
            <w:tcW w:w="680" w:type="dxa"/>
            <w:vAlign w:val="bottom"/>
            <w:tcBorders>
              <w:right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Stock</w:t>
            </w:r>
          </w:p>
        </w:tc>
        <w:tc>
          <w:tcPr>
            <w:tcW w:w="440" w:type="dxa"/>
            <w:vAlign w:val="bottom"/>
          </w:tcPr>
          <w:p>
            <w:pPr>
              <w:jc w:val="right"/>
              <w:spacing w:after="0"/>
              <w:rPr>
                <w:sz w:val="20"/>
                <w:szCs w:val="20"/>
                <w:color w:val="auto"/>
              </w:rPr>
            </w:pPr>
            <w:r>
              <w:rPr>
                <w:rFonts w:ascii="Arial" w:cs="Arial" w:eastAsia="Arial" w:hAnsi="Arial"/>
                <w:sz w:val="13"/>
                <w:szCs w:val="13"/>
                <w:b w:val="1"/>
                <w:bCs w:val="1"/>
                <w:color w:val="auto"/>
                <w:w w:val="87"/>
              </w:rPr>
              <w:t>Shares</w:t>
            </w:r>
          </w:p>
        </w:tc>
        <w:tc>
          <w:tcPr>
            <w:tcW w:w="540" w:type="dxa"/>
            <w:vAlign w:val="bottom"/>
            <w:gridSpan w:val="2"/>
          </w:tcPr>
          <w:p>
            <w:pPr>
              <w:ind w:left="60"/>
              <w:spacing w:after="0"/>
              <w:rPr>
                <w:sz w:val="20"/>
                <w:szCs w:val="20"/>
                <w:color w:val="auto"/>
              </w:rPr>
            </w:pPr>
            <w:r>
              <w:rPr>
                <w:rFonts w:ascii="Arial" w:cs="Arial" w:eastAsia="Arial" w:hAnsi="Arial"/>
                <w:sz w:val="13"/>
                <w:szCs w:val="13"/>
                <w:b w:val="1"/>
                <w:bCs w:val="1"/>
                <w:color w:val="auto"/>
                <w:w w:val="93"/>
              </w:rPr>
              <w:t>Amount</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w w:val="96"/>
              </w:rPr>
              <w:t>Shares</w:t>
            </w:r>
          </w:p>
        </w:tc>
        <w:tc>
          <w:tcPr>
            <w:tcW w:w="560" w:type="dxa"/>
            <w:vAlign w:val="bottom"/>
            <w:gridSpan w:val="2"/>
          </w:tcPr>
          <w:p>
            <w:pPr>
              <w:jc w:val="right"/>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Pr>
          <w:p>
            <w:pPr>
              <w:spacing w:after="0"/>
              <w:rPr>
                <w:sz w:val="14"/>
                <w:szCs w:val="14"/>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w w:val="96"/>
              </w:rPr>
              <w:t>Capital</w:t>
            </w:r>
          </w:p>
        </w:tc>
        <w:tc>
          <w:tcPr>
            <w:tcW w:w="160" w:type="dxa"/>
            <w:vAlign w:val="bottom"/>
          </w:tcPr>
          <w:p>
            <w:pPr>
              <w:spacing w:after="0"/>
              <w:rPr>
                <w:sz w:val="14"/>
                <w:szCs w:val="14"/>
                <w:color w:val="auto"/>
              </w:rPr>
            </w:pPr>
          </w:p>
        </w:tc>
        <w:tc>
          <w:tcPr>
            <w:tcW w:w="640" w:type="dxa"/>
            <w:vAlign w:val="bottom"/>
          </w:tcPr>
          <w:p>
            <w:pPr>
              <w:jc w:val="right"/>
              <w:ind w:right="157"/>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4"/>
                <w:szCs w:val="14"/>
                <w:color w:val="auto"/>
              </w:rPr>
            </w:pPr>
          </w:p>
        </w:tc>
        <w:tc>
          <w:tcPr>
            <w:tcW w:w="820" w:type="dxa"/>
            <w:vAlign w:val="bottom"/>
          </w:tcPr>
          <w:p>
            <w:pPr>
              <w:jc w:val="center"/>
              <w:ind w:right="37"/>
              <w:spacing w:after="0"/>
              <w:rPr>
                <w:sz w:val="20"/>
                <w:szCs w:val="20"/>
                <w:color w:val="auto"/>
              </w:rPr>
            </w:pPr>
            <w:r>
              <w:rPr>
                <w:rFonts w:ascii="Arial" w:cs="Arial" w:eastAsia="Arial" w:hAnsi="Arial"/>
                <w:sz w:val="13"/>
                <w:szCs w:val="13"/>
                <w:b w:val="1"/>
                <w:bCs w:val="1"/>
                <w:color w:val="auto"/>
                <w:w w:val="78"/>
              </w:rPr>
              <w:t>Loss</w:t>
            </w:r>
          </w:p>
        </w:tc>
        <w:tc>
          <w:tcPr>
            <w:tcW w:w="140" w:type="dxa"/>
            <w:vAlign w:val="bottom"/>
          </w:tcPr>
          <w:p>
            <w:pPr>
              <w:spacing w:after="0"/>
              <w:rPr>
                <w:sz w:val="14"/>
                <w:szCs w:val="14"/>
                <w:color w:val="auto"/>
              </w:rPr>
            </w:pPr>
          </w:p>
        </w:tc>
        <w:tc>
          <w:tcPr>
            <w:tcW w:w="700" w:type="dxa"/>
            <w:vAlign w:val="bottom"/>
          </w:tcPr>
          <w:p>
            <w:pPr>
              <w:jc w:val="center"/>
              <w:ind w:right="77"/>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9"/>
        </w:trPr>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480" w:type="dxa"/>
            <w:vAlign w:val="bottom"/>
          </w:tcPr>
          <w:p>
            <w:pPr>
              <w:jc w:val="right"/>
              <w:spacing w:after="0"/>
              <w:rPr>
                <w:sz w:val="20"/>
                <w:szCs w:val="20"/>
                <w:color w:val="auto"/>
              </w:rPr>
            </w:pPr>
            <w:r>
              <w:rPr>
                <w:rFonts w:ascii="Arial" w:cs="Arial" w:eastAsia="Arial" w:hAnsi="Arial"/>
                <w:sz w:val="13"/>
                <w:szCs w:val="13"/>
                <w:color w:val="auto"/>
              </w:rPr>
              <w:t>72,226</w:t>
            </w:r>
          </w:p>
        </w:tc>
        <w:tc>
          <w:tcPr>
            <w:tcW w:w="600" w:type="dxa"/>
            <w:vAlign w:val="bottom"/>
          </w:tcPr>
          <w:p>
            <w:pPr>
              <w:jc w:val="right"/>
              <w:ind w:right="21"/>
              <w:spacing w:after="0"/>
              <w:rPr>
                <w:sz w:val="20"/>
                <w:szCs w:val="20"/>
                <w:color w:val="auto"/>
              </w:rPr>
            </w:pPr>
            <w:r>
              <w:rPr>
                <w:rFonts w:ascii="Arial" w:cs="Arial" w:eastAsia="Arial" w:hAnsi="Arial"/>
                <w:sz w:val="13"/>
                <w:szCs w:val="13"/>
                <w:color w:val="auto"/>
                <w:w w:val="86"/>
              </w:rPr>
              <w:t>$ 745,046</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center"/>
              <w:ind w:right="17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44,958</w:t>
            </w:r>
          </w:p>
        </w:tc>
        <w:tc>
          <w:tcPr>
            <w:tcW w:w="1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85"/>
              </w:rPr>
              <w:t>163,264</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908,310</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jc w:val="center"/>
              <w:ind w:right="57"/>
              <w:spacing w:after="0"/>
              <w:rPr>
                <w:sz w:val="20"/>
                <w:szCs w:val="20"/>
                <w:color w:val="auto"/>
              </w:rPr>
            </w:pPr>
            <w:r>
              <w:rPr>
                <w:rFonts w:ascii="Arial" w:cs="Arial" w:eastAsia="Arial" w:hAnsi="Arial"/>
                <w:sz w:val="13"/>
                <w:szCs w:val="13"/>
                <w:color w:val="auto"/>
              </w:rPr>
              <w:t>$</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43,074</w:t>
            </w:r>
          </w:p>
        </w:tc>
        <w:tc>
          <w:tcPr>
            <w:tcW w:w="240" w:type="dxa"/>
            <w:vAlign w:val="bottom"/>
          </w:tcPr>
          <w:p>
            <w:pPr>
              <w:jc w:val="center"/>
              <w:ind w:right="37"/>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40,564</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(431,264)</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1,546</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(389,154)</w:t>
            </w:r>
          </w:p>
        </w:tc>
        <w:tc>
          <w:tcPr>
            <w:tcW w:w="0" w:type="dxa"/>
            <w:vAlign w:val="bottom"/>
          </w:tcPr>
          <w:p>
            <w:pPr>
              <w:spacing w:after="0"/>
              <w:rPr>
                <w:sz w:val="1"/>
                <w:szCs w:val="1"/>
                <w:color w:val="auto"/>
              </w:rPr>
            </w:pPr>
          </w:p>
        </w:tc>
      </w:tr>
      <w:tr>
        <w:trPr>
          <w:trHeight w:val="513"/>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
              <w:spacing w:after="0"/>
              <w:rPr>
                <w:sz w:val="20"/>
                <w:szCs w:val="20"/>
                <w:color w:val="auto"/>
              </w:rPr>
            </w:pPr>
            <w:r>
              <w:rPr>
                <w:rFonts w:ascii="Arial" w:cs="Arial" w:eastAsia="Arial" w:hAnsi="Arial"/>
                <w:sz w:val="13"/>
                <w:szCs w:val="13"/>
                <w:color w:val="auto"/>
              </w:rPr>
              <w:t>15,105</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15,105</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(15,105)</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(15,105)</w:t>
            </w:r>
          </w:p>
        </w:tc>
        <w:tc>
          <w:tcPr>
            <w:tcW w:w="0" w:type="dxa"/>
            <w:vAlign w:val="bottom"/>
          </w:tcPr>
          <w:p>
            <w:pPr>
              <w:spacing w:after="0"/>
              <w:rPr>
                <w:sz w:val="1"/>
                <w:szCs w:val="1"/>
                <w:color w:val="auto"/>
              </w:rPr>
            </w:pPr>
          </w:p>
        </w:tc>
      </w:tr>
      <w:tr>
        <w:trPr>
          <w:trHeight w:val="351"/>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7,857</w:t>
            </w:r>
          </w:p>
        </w:tc>
        <w:tc>
          <w:tcPr>
            <w:tcW w:w="560" w:type="dxa"/>
            <w:vAlign w:val="bottom"/>
            <w:gridSpan w:val="2"/>
          </w:tcPr>
          <w:p>
            <w:pPr>
              <w:jc w:val="right"/>
              <w:spacing w:after="0"/>
              <w:rPr>
                <w:sz w:val="20"/>
                <w:szCs w:val="20"/>
                <w:color w:val="auto"/>
              </w:rPr>
            </w:pPr>
            <w:r>
              <w:rPr>
                <w:rFonts w:ascii="Arial" w:cs="Arial" w:eastAsia="Arial" w:hAnsi="Arial"/>
                <w:sz w:val="13"/>
                <w:szCs w:val="13"/>
                <w:color w:val="auto"/>
              </w:rPr>
              <w:t>109,782</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109,782</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61"/>
        </w:trPr>
        <w:tc>
          <w:tcPr>
            <w:tcW w:w="480" w:type="dxa"/>
            <w:vAlign w:val="bottom"/>
          </w:tcPr>
          <w:p>
            <w:pPr>
              <w:jc w:val="right"/>
              <w:spacing w:after="0"/>
              <w:rPr>
                <w:sz w:val="20"/>
                <w:szCs w:val="20"/>
                <w:color w:val="auto"/>
              </w:rPr>
            </w:pPr>
            <w:r>
              <w:rPr>
                <w:rFonts w:ascii="Arial" w:cs="Arial" w:eastAsia="Arial" w:hAnsi="Arial"/>
                <w:sz w:val="13"/>
                <w:szCs w:val="13"/>
                <w:color w:val="auto"/>
                <w:w w:val="90"/>
              </w:rPr>
              <w:t>(72,226)</w:t>
            </w:r>
          </w:p>
        </w:tc>
        <w:tc>
          <w:tcPr>
            <w:tcW w:w="600" w:type="dxa"/>
            <w:vAlign w:val="bottom"/>
          </w:tcPr>
          <w:p>
            <w:pPr>
              <w:jc w:val="right"/>
              <w:spacing w:after="0"/>
              <w:rPr>
                <w:sz w:val="20"/>
                <w:szCs w:val="20"/>
                <w:color w:val="auto"/>
              </w:rPr>
            </w:pPr>
            <w:r>
              <w:rPr>
                <w:rFonts w:ascii="Arial" w:cs="Arial" w:eastAsia="Arial" w:hAnsi="Arial"/>
                <w:sz w:val="13"/>
                <w:szCs w:val="13"/>
                <w:color w:val="auto"/>
                <w:w w:val="96"/>
              </w:rPr>
              <w:t>(760,151)</w:t>
            </w:r>
          </w:p>
        </w:tc>
        <w:tc>
          <w:tcPr>
            <w:tcW w:w="1500" w:type="dxa"/>
            <w:vAlign w:val="bottom"/>
            <w:gridSpan w:val="4"/>
          </w:tcPr>
          <w:p>
            <w:pPr>
              <w:jc w:val="right"/>
              <w:spacing w:after="0"/>
              <w:rPr>
                <w:sz w:val="20"/>
                <w:szCs w:val="20"/>
                <w:color w:val="auto"/>
              </w:rPr>
            </w:pPr>
            <w:r>
              <w:rPr>
                <w:rFonts w:ascii="Arial" w:cs="Arial" w:eastAsia="Arial" w:hAnsi="Arial"/>
                <w:sz w:val="13"/>
                <w:szCs w:val="13"/>
                <w:color w:val="auto"/>
                <w:w w:val="94"/>
              </w:rPr>
              <w:t>(7,857) (109,782) (44,958)</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w w:val="96"/>
              </w:rPr>
              <w:t>(163,264)</w:t>
            </w:r>
          </w:p>
        </w:tc>
        <w:tc>
          <w:tcPr>
            <w:tcW w:w="80" w:type="dxa"/>
            <w:vAlign w:val="bottom"/>
          </w:tcPr>
          <w:p>
            <w:pPr>
              <w:spacing w:after="0"/>
              <w:rPr>
                <w:sz w:val="24"/>
                <w:szCs w:val="24"/>
                <w:color w:val="auto"/>
              </w:rPr>
            </w:pPr>
          </w:p>
        </w:tc>
        <w:tc>
          <w:tcPr>
            <w:tcW w:w="68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w w:val="90"/>
              </w:rPr>
              <w:t>(1,033,197)</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89"/>
              </w:rPr>
              <w:t>125,041</w:t>
            </w:r>
          </w:p>
        </w:tc>
        <w:tc>
          <w:tcPr>
            <w:tcW w:w="2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86"/>
              </w:rPr>
              <w:t>1,033,195</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1,033,197</w:t>
            </w:r>
          </w:p>
        </w:tc>
        <w:tc>
          <w:tcPr>
            <w:tcW w:w="0" w:type="dxa"/>
            <w:vAlign w:val="bottom"/>
          </w:tcPr>
          <w:p>
            <w:pPr>
              <w:spacing w:after="0"/>
              <w:rPr>
                <w:sz w:val="1"/>
                <w:szCs w:val="1"/>
                <w:color w:val="auto"/>
              </w:rPr>
            </w:pPr>
          </w:p>
        </w:tc>
      </w:tr>
      <w:tr>
        <w:trPr>
          <w:trHeight w:val="810"/>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21,882</w:t>
            </w:r>
          </w:p>
        </w:tc>
        <w:tc>
          <w:tcPr>
            <w:tcW w:w="2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340,708</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340,708</w:t>
            </w:r>
          </w:p>
        </w:tc>
        <w:tc>
          <w:tcPr>
            <w:tcW w:w="0" w:type="dxa"/>
            <w:vAlign w:val="bottom"/>
          </w:tcPr>
          <w:p>
            <w:pPr>
              <w:spacing w:after="0"/>
              <w:rPr>
                <w:sz w:val="1"/>
                <w:szCs w:val="1"/>
                <w:color w:val="auto"/>
              </w:rPr>
            </w:pPr>
          </w:p>
        </w:tc>
      </w:tr>
      <w:tr>
        <w:trPr>
          <w:trHeight w:val="351"/>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4,412</w:t>
            </w:r>
          </w:p>
        </w:tc>
        <w:tc>
          <w:tcPr>
            <w:tcW w:w="2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75,000</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75,000</w:t>
            </w:r>
          </w:p>
        </w:tc>
        <w:tc>
          <w:tcPr>
            <w:tcW w:w="0" w:type="dxa"/>
            <w:vAlign w:val="bottom"/>
          </w:tcPr>
          <w:p>
            <w:pPr>
              <w:spacing w:after="0"/>
              <w:rPr>
                <w:sz w:val="1"/>
                <w:szCs w:val="1"/>
                <w:color w:val="auto"/>
              </w:rPr>
            </w:pPr>
          </w:p>
        </w:tc>
      </w:tr>
      <w:tr>
        <w:trPr>
          <w:trHeight w:val="513"/>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45</w:t>
            </w:r>
          </w:p>
        </w:tc>
        <w:tc>
          <w:tcPr>
            <w:tcW w:w="2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726</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726</w:t>
            </w:r>
          </w:p>
        </w:tc>
        <w:tc>
          <w:tcPr>
            <w:tcW w:w="0" w:type="dxa"/>
            <w:vAlign w:val="bottom"/>
          </w:tcPr>
          <w:p>
            <w:pPr>
              <w:spacing w:after="0"/>
              <w:rPr>
                <w:sz w:val="1"/>
                <w:szCs w:val="1"/>
                <w:color w:val="auto"/>
              </w:rPr>
            </w:pPr>
          </w:p>
        </w:tc>
      </w:tr>
      <w:tr>
        <w:trPr>
          <w:trHeight w:val="202"/>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571</w:t>
            </w:r>
          </w:p>
        </w:tc>
        <w:tc>
          <w:tcPr>
            <w:tcW w:w="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22,095</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22,095</w:t>
            </w:r>
          </w:p>
        </w:tc>
        <w:tc>
          <w:tcPr>
            <w:tcW w:w="0" w:type="dxa"/>
            <w:vAlign w:val="bottom"/>
          </w:tcPr>
          <w:p>
            <w:pPr>
              <w:spacing w:after="0"/>
              <w:rPr>
                <w:sz w:val="1"/>
                <w:szCs w:val="1"/>
                <w:color w:val="auto"/>
              </w:rPr>
            </w:pPr>
          </w:p>
        </w:tc>
      </w:tr>
      <w:tr>
        <w:trPr>
          <w:trHeight w:val="203"/>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359</w:t>
            </w:r>
          </w:p>
        </w:tc>
        <w:tc>
          <w:tcPr>
            <w:tcW w:w="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1,319</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1,319</w:t>
            </w:r>
          </w:p>
        </w:tc>
        <w:tc>
          <w:tcPr>
            <w:tcW w:w="0" w:type="dxa"/>
            <w:vAlign w:val="bottom"/>
          </w:tcPr>
          <w:p>
            <w:pPr>
              <w:spacing w:after="0"/>
              <w:rPr>
                <w:sz w:val="1"/>
                <w:szCs w:val="1"/>
                <w:color w:val="auto"/>
              </w:rPr>
            </w:pPr>
          </w:p>
        </w:tc>
      </w:tr>
      <w:tr>
        <w:trPr>
          <w:trHeight w:val="513"/>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2,141</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2,141</w:t>
            </w:r>
          </w:p>
        </w:tc>
        <w:tc>
          <w:tcPr>
            <w:tcW w:w="0" w:type="dxa"/>
            <w:vAlign w:val="bottom"/>
          </w:tcPr>
          <w:p>
            <w:pPr>
              <w:spacing w:after="0"/>
              <w:rPr>
                <w:sz w:val="1"/>
                <w:szCs w:val="1"/>
                <w:color w:val="auto"/>
              </w:rPr>
            </w:pPr>
          </w:p>
        </w:tc>
      </w:tr>
      <w:tr>
        <w:trPr>
          <w:trHeight w:val="351"/>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6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(3,313)</w:t>
            </w:r>
          </w:p>
        </w:tc>
        <w:tc>
          <w:tcPr>
            <w:tcW w:w="14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(3,313)</w:t>
            </w:r>
          </w:p>
        </w:tc>
        <w:tc>
          <w:tcPr>
            <w:tcW w:w="0" w:type="dxa"/>
            <w:vAlign w:val="bottom"/>
          </w:tcPr>
          <w:p>
            <w:pPr>
              <w:spacing w:after="0"/>
              <w:rPr>
                <w:sz w:val="1"/>
                <w:szCs w:val="1"/>
                <w:color w:val="auto"/>
              </w:rPr>
            </w:pPr>
          </w:p>
        </w:tc>
      </w:tr>
      <w:tr>
        <w:trPr>
          <w:trHeight w:val="203"/>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
              <w:spacing w:after="0"/>
              <w:rPr>
                <w:sz w:val="20"/>
                <w:szCs w:val="20"/>
                <w:color w:val="auto"/>
              </w:rPr>
            </w:pPr>
            <w:r>
              <w:rPr>
                <w:rFonts w:ascii="Arial" w:cs="Arial" w:eastAsia="Arial" w:hAnsi="Arial"/>
                <w:sz w:val="13"/>
                <w:szCs w:val="13"/>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6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(81,966)</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(81,966)</w:t>
            </w:r>
          </w:p>
        </w:tc>
        <w:tc>
          <w:tcPr>
            <w:tcW w:w="0" w:type="dxa"/>
            <w:vAlign w:val="bottom"/>
          </w:tcPr>
          <w:p>
            <w:pPr>
              <w:spacing w:after="0"/>
              <w:rPr>
                <w:sz w:val="1"/>
                <w:szCs w:val="1"/>
                <w:color w:val="auto"/>
              </w:rPr>
            </w:pPr>
          </w:p>
        </w:tc>
      </w:tr>
      <w:tr>
        <w:trPr>
          <w:trHeight w:val="30"/>
        </w:trPr>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ind w:right="21"/>
              <w:spacing w:after="0"/>
              <w:rPr>
                <w:sz w:val="20"/>
                <w:szCs w:val="20"/>
                <w:color w:val="auto"/>
              </w:rPr>
            </w:pPr>
            <w:r>
              <w:rPr>
                <w:rFonts w:ascii="Arial" w:cs="Arial" w:eastAsia="Arial" w:hAnsi="Arial"/>
                <w:sz w:val="13"/>
                <w:szCs w:val="13"/>
                <w:color w:val="auto"/>
                <w:w w:val="91"/>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tcPr>
          <w:p>
            <w:pPr>
              <w:jc w:val="center"/>
              <w:ind w:right="177"/>
              <w:spacing w:after="0"/>
              <w:rPr>
                <w:sz w:val="20"/>
                <w:szCs w:val="20"/>
                <w:color w:val="auto"/>
              </w:rPr>
            </w:pPr>
            <w:r>
              <w:rPr>
                <w:rFonts w:ascii="Arial" w:cs="Arial" w:eastAsia="Arial" w:hAnsi="Arial"/>
                <w:sz w:val="13"/>
                <w:szCs w:val="13"/>
                <w:color w:val="auto"/>
              </w:rPr>
              <w:t>$</w:t>
            </w:r>
          </w:p>
        </w:tc>
        <w:tc>
          <w:tcPr>
            <w:tcW w:w="200" w:type="dxa"/>
            <w:vAlign w:val="bottom"/>
          </w:tcPr>
          <w:p>
            <w:pPr>
              <w:jc w:val="right"/>
              <w:spacing w:after="0"/>
              <w:rPr>
                <w:sz w:val="20"/>
                <w:szCs w:val="20"/>
                <w:color w:val="auto"/>
              </w:rPr>
            </w:pPr>
            <w:r>
              <w:rPr>
                <w:rFonts w:ascii="Arial" w:cs="Arial" w:eastAsia="Arial" w:hAnsi="Arial"/>
                <w:sz w:val="13"/>
                <w:szCs w:val="13"/>
                <w:color w:val="auto"/>
                <w:w w:val="91"/>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center"/>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right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jc w:val="center"/>
              <w:ind w:right="57"/>
              <w:spacing w:after="0"/>
              <w:rPr>
                <w:sz w:val="20"/>
                <w:szCs w:val="20"/>
                <w:color w:val="auto"/>
              </w:rPr>
            </w:pPr>
            <w:r>
              <w:rPr>
                <w:rFonts w:ascii="Arial" w:cs="Arial" w:eastAsia="Arial" w:hAnsi="Arial"/>
                <w:sz w:val="13"/>
                <w:szCs w:val="13"/>
                <w:color w:val="auto"/>
              </w:rPr>
              <w:t>$</w:t>
            </w:r>
          </w:p>
        </w:tc>
        <w:tc>
          <w:tcPr>
            <w:tcW w:w="300" w:type="dxa"/>
            <w:vAlign w:val="bottom"/>
          </w:tcPr>
          <w:p>
            <w:pPr>
              <w:ind w:left="1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w w:val="89"/>
              </w:rPr>
              <w:t>195,384</w:t>
            </w:r>
          </w:p>
        </w:tc>
        <w:tc>
          <w:tcPr>
            <w:tcW w:w="240" w:type="dxa"/>
            <w:vAlign w:val="bottom"/>
          </w:tcPr>
          <w:p>
            <w:pPr>
              <w:jc w:val="center"/>
              <w:ind w:right="37"/>
              <w:spacing w:after="0"/>
              <w:rPr>
                <w:sz w:val="20"/>
                <w:szCs w:val="20"/>
                <w:color w:val="auto"/>
              </w:rPr>
            </w:pPr>
            <w:r>
              <w:rPr>
                <w:rFonts w:ascii="Arial" w:cs="Arial" w:eastAsia="Arial" w:hAnsi="Arial"/>
                <w:sz w:val="13"/>
                <w:szCs w:val="13"/>
                <w:color w:val="auto"/>
                <w:w w:val="82"/>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tcPr>
          <w:p>
            <w:pPr>
              <w:jc w:val="right"/>
              <w:spacing w:after="0"/>
              <w:rPr>
                <w:sz w:val="20"/>
                <w:szCs w:val="20"/>
                <w:color w:val="auto"/>
              </w:rPr>
            </w:pPr>
            <w:r>
              <w:rPr>
                <w:rFonts w:ascii="Arial" w:cs="Arial" w:eastAsia="Arial" w:hAnsi="Arial"/>
                <w:sz w:val="13"/>
                <w:szCs w:val="13"/>
                <w:color w:val="auto"/>
                <w:w w:val="86"/>
              </w:rPr>
              <w:t>1,500,643</w:t>
            </w:r>
          </w:p>
        </w:tc>
        <w:tc>
          <w:tcPr>
            <w:tcW w:w="160" w:type="dxa"/>
            <w:vAlign w:val="bottom"/>
          </w:tcPr>
          <w:p>
            <w:pPr>
              <w:ind w:left="4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(513,230)</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(1,767)</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985,648</w:t>
            </w:r>
          </w:p>
        </w:tc>
        <w:tc>
          <w:tcPr>
            <w:tcW w:w="0" w:type="dxa"/>
            <w:vAlign w:val="bottom"/>
          </w:tcPr>
          <w:p>
            <w:pPr>
              <w:spacing w:after="0"/>
              <w:rPr>
                <w:sz w:val="1"/>
                <w:szCs w:val="1"/>
                <w:color w:val="auto"/>
              </w:rPr>
            </w:pPr>
          </w:p>
        </w:tc>
      </w:tr>
      <w:tr>
        <w:trPr>
          <w:trHeight w:val="30"/>
        </w:trPr>
        <w:tc>
          <w:tcPr>
            <w:tcW w:w="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-1050925</wp:posOffset>
            </wp:positionH>
            <wp:positionV relativeFrom="paragraph">
              <wp:posOffset>-3265170</wp:posOffset>
            </wp:positionV>
            <wp:extent cx="6866255"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66255" cy="12890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-2811145</wp:posOffset>
            </wp:positionV>
            <wp:extent cx="6866255" cy="2228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66255" cy="22288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-2167890</wp:posOffset>
            </wp:positionV>
            <wp:extent cx="6866255" cy="5143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66255" cy="514350"/>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-1431290</wp:posOffset>
            </wp:positionV>
            <wp:extent cx="6866255" cy="3257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66255" cy="3257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-976630</wp:posOffset>
            </wp:positionV>
            <wp:extent cx="6866255"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66255" cy="12890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-521970</wp:posOffset>
            </wp:positionV>
            <wp:extent cx="6866255" cy="2228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66255" cy="22288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-170815</wp:posOffset>
            </wp:positionV>
            <wp:extent cx="6866255"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66255"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660" w:space="20"/>
            <w:col w:w="9160"/>
          </w:cols>
          <w:pgMar w:left="520" w:top="1417" w:right="5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520" w:top="1417" w:right="539" w:bottom="1440" w:gutter="0" w:footer="0" w:header="0"/>
          <w:type w:val="continuous"/>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20" w:type="dxa"/>
            <w:vAlign w:val="bottom"/>
          </w:tcPr>
          <w:p>
            <w:pPr>
              <w:spacing w:after="0"/>
              <w:rPr>
                <w:sz w:val="14"/>
                <w:szCs w:val="14"/>
                <w:color w:val="auto"/>
              </w:rPr>
            </w:pPr>
          </w:p>
        </w:tc>
        <w:tc>
          <w:tcPr>
            <w:tcW w:w="900" w:type="dxa"/>
            <w:vAlign w:val="bottom"/>
            <w:gridSpan w:val="2"/>
          </w:tcPr>
          <w:p>
            <w:pPr>
              <w:ind w:left="340"/>
              <w:spacing w:after="0"/>
              <w:rPr>
                <w:sz w:val="20"/>
                <w:szCs w:val="20"/>
                <w:color w:val="auto"/>
              </w:rPr>
            </w:pPr>
            <w:r>
              <w:rPr>
                <w:rFonts w:ascii="Arial" w:cs="Arial" w:eastAsia="Arial" w:hAnsi="Arial"/>
                <w:sz w:val="13"/>
                <w:szCs w:val="13"/>
                <w:b w:val="1"/>
                <w:bCs w:val="1"/>
                <w:color w:val="auto"/>
              </w:rPr>
              <w:t>Series B</w:t>
            </w:r>
          </w:p>
        </w:tc>
        <w:tc>
          <w:tcPr>
            <w:tcW w:w="220" w:type="dxa"/>
            <w:vAlign w:val="bottom"/>
          </w:tcPr>
          <w:p>
            <w:pPr>
              <w:spacing w:after="0"/>
              <w:rPr>
                <w:sz w:val="14"/>
                <w:szCs w:val="14"/>
                <w:color w:val="auto"/>
              </w:rPr>
            </w:pPr>
          </w:p>
        </w:tc>
        <w:tc>
          <w:tcPr>
            <w:tcW w:w="880" w:type="dxa"/>
            <w:vAlign w:val="bottom"/>
            <w:gridSpan w:val="2"/>
          </w:tcPr>
          <w:p>
            <w:pPr>
              <w:ind w:left="320"/>
              <w:spacing w:after="0"/>
              <w:rPr>
                <w:sz w:val="20"/>
                <w:szCs w:val="20"/>
                <w:color w:val="auto"/>
              </w:rPr>
            </w:pPr>
            <w:r>
              <w:rPr>
                <w:rFonts w:ascii="Arial" w:cs="Arial" w:eastAsia="Arial" w:hAnsi="Arial"/>
                <w:sz w:val="13"/>
                <w:szCs w:val="13"/>
                <w:b w:val="1"/>
                <w:bCs w:val="1"/>
                <w:color w:val="auto"/>
              </w:rPr>
              <w:t>Series C</w:t>
            </w:r>
          </w:p>
        </w:tc>
        <w:tc>
          <w:tcPr>
            <w:tcW w:w="220" w:type="dxa"/>
            <w:vAlign w:val="bottom"/>
          </w:tcPr>
          <w:p>
            <w:pPr>
              <w:spacing w:after="0"/>
              <w:rPr>
                <w:sz w:val="14"/>
                <w:szCs w:val="14"/>
                <w:color w:val="auto"/>
              </w:rPr>
            </w:pPr>
          </w:p>
        </w:tc>
        <w:tc>
          <w:tcPr>
            <w:tcW w:w="900" w:type="dxa"/>
            <w:vAlign w:val="bottom"/>
            <w:gridSpan w:val="2"/>
          </w:tcPr>
          <w:p>
            <w:pPr>
              <w:ind w:left="320"/>
              <w:spacing w:after="0"/>
              <w:rPr>
                <w:sz w:val="20"/>
                <w:szCs w:val="20"/>
                <w:color w:val="auto"/>
              </w:rPr>
            </w:pPr>
            <w:r>
              <w:rPr>
                <w:rFonts w:ascii="Arial" w:cs="Arial" w:eastAsia="Arial" w:hAnsi="Arial"/>
                <w:sz w:val="13"/>
                <w:szCs w:val="13"/>
                <w:b w:val="1"/>
                <w:bCs w:val="1"/>
                <w:color w:val="auto"/>
              </w:rPr>
              <w:t>Series 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right w:val="single" w:sz="8" w:color="auto"/>
            </w:tcBorders>
            <w:vMerge w:val="restart"/>
          </w:tcPr>
          <w:p>
            <w:pPr>
              <w:jc w:val="center"/>
              <w:ind w:right="57"/>
              <w:spacing w:after="0"/>
              <w:rPr>
                <w:sz w:val="20"/>
                <w:szCs w:val="20"/>
                <w:color w:val="auto"/>
              </w:rPr>
            </w:pPr>
            <w:r>
              <w:rPr>
                <w:rFonts w:ascii="Arial" w:cs="Arial" w:eastAsia="Arial" w:hAnsi="Arial"/>
                <w:sz w:val="13"/>
                <w:szCs w:val="13"/>
                <w:b w:val="1"/>
                <w:bCs w:val="1"/>
                <w:color w:val="auto"/>
                <w:w w:val="89"/>
              </w:rPr>
              <w:t>Total</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4"/>
                <w:szCs w:val="14"/>
                <w:color w:val="auto"/>
              </w:rPr>
            </w:pPr>
          </w:p>
        </w:tc>
        <w:tc>
          <w:tcPr>
            <w:tcW w:w="680" w:type="dxa"/>
            <w:vAlign w:val="bottom"/>
            <w:vMerge w:val="restart"/>
          </w:tcPr>
          <w:p>
            <w:pPr>
              <w:jc w:val="center"/>
              <w:ind w:right="77"/>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900" w:type="dxa"/>
            <w:vAlign w:val="bottom"/>
            <w:gridSpan w:val="2"/>
            <w:vMerge w:val="restart"/>
          </w:tcPr>
          <w:p>
            <w:pPr>
              <w:jc w:val="center"/>
              <w:ind w:left="157"/>
              <w:spacing w:after="0"/>
              <w:rPr>
                <w:sz w:val="20"/>
                <w:szCs w:val="20"/>
                <w:color w:val="auto"/>
              </w:rPr>
            </w:pPr>
            <w:r>
              <w:rPr>
                <w:rFonts w:ascii="Arial" w:cs="Arial" w:eastAsia="Arial" w:hAnsi="Arial"/>
                <w:sz w:val="13"/>
                <w:szCs w:val="13"/>
                <w:b w:val="1"/>
                <w:bCs w:val="1"/>
                <w:color w:val="auto"/>
                <w:w w:val="89"/>
              </w:rPr>
              <w:t>Convertible</w:t>
            </w:r>
          </w:p>
        </w:tc>
        <w:tc>
          <w:tcPr>
            <w:tcW w:w="220" w:type="dxa"/>
            <w:vAlign w:val="bottom"/>
          </w:tcPr>
          <w:p>
            <w:pPr>
              <w:spacing w:after="0"/>
              <w:rPr>
                <w:sz w:val="5"/>
                <w:szCs w:val="5"/>
                <w:color w:val="auto"/>
              </w:rPr>
            </w:pPr>
          </w:p>
        </w:tc>
        <w:tc>
          <w:tcPr>
            <w:tcW w:w="880" w:type="dxa"/>
            <w:vAlign w:val="bottom"/>
            <w:gridSpan w:val="2"/>
            <w:vMerge w:val="restart"/>
          </w:tcPr>
          <w:p>
            <w:pPr>
              <w:jc w:val="center"/>
              <w:ind w:left="137"/>
              <w:spacing w:after="0"/>
              <w:rPr>
                <w:sz w:val="20"/>
                <w:szCs w:val="20"/>
                <w:color w:val="auto"/>
              </w:rPr>
            </w:pPr>
            <w:r>
              <w:rPr>
                <w:rFonts w:ascii="Arial" w:cs="Arial" w:eastAsia="Arial" w:hAnsi="Arial"/>
                <w:sz w:val="13"/>
                <w:szCs w:val="13"/>
                <w:b w:val="1"/>
                <w:bCs w:val="1"/>
                <w:color w:val="auto"/>
                <w:w w:val="89"/>
              </w:rPr>
              <w:t>Convertible</w:t>
            </w:r>
          </w:p>
        </w:tc>
        <w:tc>
          <w:tcPr>
            <w:tcW w:w="220" w:type="dxa"/>
            <w:vAlign w:val="bottom"/>
          </w:tcPr>
          <w:p>
            <w:pPr>
              <w:spacing w:after="0"/>
              <w:rPr>
                <w:sz w:val="5"/>
                <w:szCs w:val="5"/>
                <w:color w:val="auto"/>
              </w:rPr>
            </w:pPr>
          </w:p>
        </w:tc>
        <w:tc>
          <w:tcPr>
            <w:tcW w:w="900" w:type="dxa"/>
            <w:vAlign w:val="bottom"/>
            <w:gridSpan w:val="2"/>
            <w:vMerge w:val="restart"/>
          </w:tcPr>
          <w:p>
            <w:pPr>
              <w:jc w:val="center"/>
              <w:ind w:left="137"/>
              <w:spacing w:after="0"/>
              <w:rPr>
                <w:sz w:val="20"/>
                <w:szCs w:val="20"/>
                <w:color w:val="auto"/>
              </w:rPr>
            </w:pPr>
            <w:r>
              <w:rPr>
                <w:rFonts w:ascii="Arial" w:cs="Arial" w:eastAsia="Arial" w:hAnsi="Arial"/>
                <w:sz w:val="13"/>
                <w:szCs w:val="13"/>
                <w:b w:val="1"/>
                <w:bCs w:val="1"/>
                <w:color w:val="auto"/>
                <w:w w:val="86"/>
              </w:rPr>
              <w:t>Convertible</w:t>
            </w: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right w:val="single" w:sz="8" w:color="auto"/>
            </w:tcBorders>
            <w:vMerge w:val="continue"/>
          </w:tcPr>
          <w:p>
            <w:pPr>
              <w:spacing w:after="0"/>
              <w:rPr>
                <w:sz w:val="5"/>
                <w:szCs w:val="5"/>
                <w:color w:val="auto"/>
              </w:rPr>
            </w:pPr>
          </w:p>
        </w:tc>
        <w:tc>
          <w:tcPr>
            <w:tcW w:w="48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7"/>
              </w:rPr>
              <w:t>Additional</w:t>
            </w: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89"/>
              </w:rPr>
              <w:t>Convertible</w:t>
            </w:r>
          </w:p>
        </w:tc>
        <w:tc>
          <w:tcPr>
            <w:tcW w:w="4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97"/>
              </w:rPr>
              <w:t>Other</w:t>
            </w:r>
          </w:p>
        </w:tc>
        <w:tc>
          <w:tcPr>
            <w:tcW w:w="8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68"/>
        </w:trPr>
        <w:tc>
          <w:tcPr>
            <w:tcW w:w="1720" w:type="dxa"/>
            <w:vAlign w:val="bottom"/>
          </w:tcPr>
          <w:p>
            <w:pPr>
              <w:spacing w:after="0"/>
              <w:rPr>
                <w:sz w:val="5"/>
                <w:szCs w:val="5"/>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11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11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8"/>
              </w:rPr>
              <w:t>Preferred Stock</w:t>
            </w:r>
          </w:p>
        </w:tc>
        <w:tc>
          <w:tcPr>
            <w:tcW w:w="740" w:type="dxa"/>
            <w:vAlign w:val="bottom"/>
            <w:tcBorders>
              <w:right w:val="single" w:sz="8" w:color="auto"/>
            </w:tcBorders>
            <w:gridSpan w:val="2"/>
            <w:vMerge w:val="continue"/>
          </w:tcPr>
          <w:p>
            <w:pPr>
              <w:spacing w:after="0"/>
              <w:rPr>
                <w:sz w:val="5"/>
                <w:szCs w:val="5"/>
                <w:color w:val="auto"/>
              </w:rPr>
            </w:pPr>
          </w:p>
        </w:tc>
        <w:tc>
          <w:tcPr>
            <w:tcW w:w="11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86"/>
              </w:rPr>
              <w:t>Preferred Stock</w:t>
            </w:r>
          </w:p>
        </w:tc>
        <w:tc>
          <w:tcPr>
            <w:tcW w:w="1140" w:type="dxa"/>
            <w:vAlign w:val="bottom"/>
            <w:gridSpan w:val="3"/>
            <w:vMerge w:val="restart"/>
          </w:tcPr>
          <w:p>
            <w:pPr>
              <w:jc w:val="right"/>
              <w:ind w:right="97"/>
              <w:spacing w:after="0"/>
              <w:rPr>
                <w:sz w:val="20"/>
                <w:szCs w:val="20"/>
                <w:color w:val="auto"/>
              </w:rPr>
            </w:pPr>
            <w:r>
              <w:rPr>
                <w:rFonts w:ascii="Arial" w:cs="Arial" w:eastAsia="Arial" w:hAnsi="Arial"/>
                <w:sz w:val="13"/>
                <w:szCs w:val="13"/>
                <w:b w:val="1"/>
                <w:bCs w:val="1"/>
                <w:color w:val="auto"/>
              </w:rPr>
              <w:t>Common Stock</w:t>
            </w: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7"/>
        </w:trPr>
        <w:tc>
          <w:tcPr>
            <w:tcW w:w="1720" w:type="dxa"/>
            <w:vAlign w:val="bottom"/>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10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right w:val="single" w:sz="8" w:color="auto"/>
            </w:tcBorders>
            <w:vMerge w:val="restart"/>
          </w:tcPr>
          <w:p>
            <w:pPr>
              <w:jc w:val="center"/>
              <w:ind w:right="57"/>
              <w:spacing w:after="0" w:line="106" w:lineRule="exact"/>
              <w:rPr>
                <w:sz w:val="20"/>
                <w:szCs w:val="20"/>
                <w:color w:val="auto"/>
              </w:rPr>
            </w:pPr>
            <w:r>
              <w:rPr>
                <w:rFonts w:ascii="Arial" w:cs="Arial" w:eastAsia="Arial" w:hAnsi="Arial"/>
                <w:sz w:val="12"/>
                <w:szCs w:val="12"/>
                <w:b w:val="1"/>
                <w:bCs w:val="1"/>
                <w:color w:val="auto"/>
                <w:w w:val="97"/>
              </w:rPr>
              <w:t>Preferred</w:t>
            </w:r>
          </w:p>
        </w:tc>
        <w:tc>
          <w:tcPr>
            <w:tcW w:w="1100" w:type="dxa"/>
            <w:vAlign w:val="bottom"/>
            <w:gridSpan w:val="3"/>
            <w:vMerge w:val="continue"/>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680" w:type="dxa"/>
            <w:vAlign w:val="bottom"/>
            <w:vMerge w:val="restart"/>
          </w:tcPr>
          <w:p>
            <w:pPr>
              <w:jc w:val="right"/>
              <w:ind w:right="77"/>
              <w:spacing w:after="0" w:line="106" w:lineRule="exact"/>
              <w:rPr>
                <w:sz w:val="20"/>
                <w:szCs w:val="20"/>
                <w:color w:val="auto"/>
              </w:rPr>
            </w:pPr>
            <w:r>
              <w:rPr>
                <w:rFonts w:ascii="Arial" w:cs="Arial" w:eastAsia="Arial" w:hAnsi="Arial"/>
                <w:sz w:val="12"/>
                <w:szCs w:val="12"/>
                <w:b w:val="1"/>
                <w:bCs w:val="1"/>
                <w:color w:val="auto"/>
              </w:rPr>
              <w:t>Paid-In</w:t>
            </w:r>
          </w:p>
        </w:tc>
        <w:tc>
          <w:tcPr>
            <w:tcW w:w="780" w:type="dxa"/>
            <w:vAlign w:val="bottom"/>
            <w:gridSpan w:val="2"/>
            <w:vMerge w:val="restart"/>
          </w:tcPr>
          <w:p>
            <w:pPr>
              <w:ind w:left="40"/>
              <w:spacing w:after="0" w:line="106" w:lineRule="exact"/>
              <w:rPr>
                <w:sz w:val="20"/>
                <w:szCs w:val="20"/>
                <w:color w:val="auto"/>
              </w:rPr>
            </w:pPr>
            <w:r>
              <w:rPr>
                <w:rFonts w:ascii="Arial" w:cs="Arial" w:eastAsia="Arial" w:hAnsi="Arial"/>
                <w:sz w:val="12"/>
                <w:szCs w:val="12"/>
                <w:b w:val="1"/>
                <w:bCs w:val="1"/>
                <w:color w:val="auto"/>
                <w:w w:val="95"/>
              </w:rPr>
              <w:t>Accumulated</w:t>
            </w:r>
          </w:p>
        </w:tc>
        <w:tc>
          <w:tcPr>
            <w:tcW w:w="940" w:type="dxa"/>
            <w:vAlign w:val="bottom"/>
            <w:gridSpan w:val="2"/>
            <w:vMerge w:val="restart"/>
          </w:tcPr>
          <w:p>
            <w:pPr>
              <w:jc w:val="center"/>
              <w:spacing w:after="0" w:line="106" w:lineRule="exact"/>
              <w:rPr>
                <w:sz w:val="20"/>
                <w:szCs w:val="20"/>
                <w:color w:val="auto"/>
              </w:rPr>
            </w:pPr>
            <w:r>
              <w:rPr>
                <w:rFonts w:ascii="Arial" w:cs="Arial" w:eastAsia="Arial" w:hAnsi="Arial"/>
                <w:sz w:val="12"/>
                <w:szCs w:val="12"/>
                <w:b w:val="1"/>
                <w:bCs w:val="1"/>
                <w:color w:val="auto"/>
                <w:w w:val="91"/>
              </w:rPr>
              <w:t>Comprehensive</w:t>
            </w:r>
          </w:p>
        </w:tc>
        <w:tc>
          <w:tcPr>
            <w:tcW w:w="140" w:type="dxa"/>
            <w:vAlign w:val="bottom"/>
          </w:tcPr>
          <w:p>
            <w:pPr>
              <w:spacing w:after="0"/>
              <w:rPr>
                <w:sz w:val="8"/>
                <w:szCs w:val="8"/>
                <w:color w:val="auto"/>
              </w:rPr>
            </w:pPr>
          </w:p>
        </w:tc>
        <w:tc>
          <w:tcPr>
            <w:tcW w:w="680" w:type="dxa"/>
            <w:vAlign w:val="bottom"/>
            <w:vMerge w:val="restart"/>
          </w:tcPr>
          <w:p>
            <w:pPr>
              <w:jc w:val="center"/>
              <w:ind w:right="77"/>
              <w:spacing w:after="0" w:line="106"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right w:val="single" w:sz="8" w:color="auto"/>
            </w:tcBorders>
            <w:vMerge w:val="continue"/>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2"/>
              </w:rPr>
              <w:t>Shares</w:t>
            </w:r>
          </w:p>
        </w:tc>
        <w:tc>
          <w:tcPr>
            <w:tcW w:w="6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2"/>
              </w:rPr>
              <w:t>Shares</w:t>
            </w:r>
          </w:p>
        </w:tc>
        <w:tc>
          <w:tcPr>
            <w:tcW w:w="6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87"/>
              </w:rPr>
              <w:t>Shares</w:t>
            </w:r>
          </w:p>
        </w:tc>
        <w:tc>
          <w:tcPr>
            <w:tcW w:w="62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right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Stock</w:t>
            </w:r>
          </w:p>
        </w:tc>
        <w:tc>
          <w:tcPr>
            <w:tcW w:w="4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2"/>
              </w:rPr>
              <w:t>Shares</w:t>
            </w:r>
          </w:p>
        </w:tc>
        <w:tc>
          <w:tcPr>
            <w:tcW w:w="62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b w:val="1"/>
                <w:bCs w:val="1"/>
                <w:color w:val="auto"/>
              </w:rPr>
              <w:t>Amount</w:t>
            </w:r>
          </w:p>
        </w:tc>
        <w:tc>
          <w:tcPr>
            <w:tcW w:w="5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Shares</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Capital</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5"/>
              </w:rPr>
              <w:t>Loss</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256"/>
        </w:trPr>
        <w:tc>
          <w:tcPr>
            <w:tcW w:w="1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Borders>
              <w:right w:val="single" w:sz="8" w:color="auto"/>
            </w:tcBorders>
          </w:tcPr>
          <w:p>
            <w:pPr>
              <w:spacing w:after="0"/>
              <w:rPr>
                <w:sz w:val="22"/>
                <w:szCs w:val="22"/>
                <w:color w:val="auto"/>
              </w:rPr>
            </w:pPr>
          </w:p>
        </w:tc>
        <w:tc>
          <w:tcPr>
            <w:tcW w:w="4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1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Balance at January 1, 2022</w:t>
            </w:r>
          </w:p>
        </w:tc>
        <w:tc>
          <w:tcPr>
            <w:tcW w:w="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jc w:val="center"/>
              <w:ind w:right="197"/>
              <w:spacing w:after="0"/>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jc w:val="center"/>
              <w:ind w:right="197"/>
              <w:spacing w:after="0"/>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jc w:val="center"/>
              <w:ind w:right="197"/>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jc w:val="center"/>
              <w:ind w:right="57"/>
              <w:spacing w:after="0"/>
              <w:rPr>
                <w:sz w:val="20"/>
                <w:szCs w:val="20"/>
                <w:color w:val="auto"/>
              </w:rPr>
            </w:pPr>
            <w:r>
              <w:rPr>
                <w:rFonts w:ascii="Arial" w:cs="Arial" w:eastAsia="Arial" w:hAnsi="Arial"/>
                <w:sz w:val="13"/>
                <w:szCs w:val="13"/>
                <w:color w:val="auto"/>
                <w:w w:val="82"/>
              </w:rPr>
              <w:t>$</w:t>
            </w:r>
          </w:p>
        </w:tc>
        <w:tc>
          <w:tcPr>
            <w:tcW w:w="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195,384</w:t>
            </w:r>
          </w:p>
        </w:tc>
        <w:tc>
          <w:tcPr>
            <w:tcW w:w="2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7"/>
              </w:rPr>
              <w:t>$ 1,500,643</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(513,230)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(1,767)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985,648</w:t>
            </w:r>
          </w:p>
        </w:tc>
        <w:tc>
          <w:tcPr>
            <w:tcW w:w="0" w:type="dxa"/>
            <w:vAlign w:val="bottom"/>
          </w:tcPr>
          <w:p>
            <w:pPr>
              <w:spacing w:after="0"/>
              <w:rPr>
                <w:sz w:val="1"/>
                <w:szCs w:val="1"/>
                <w:color w:val="auto"/>
              </w:rPr>
            </w:pPr>
          </w:p>
        </w:tc>
      </w:tr>
      <w:tr>
        <w:trPr>
          <w:trHeight w:val="173"/>
        </w:trPr>
        <w:tc>
          <w:tcPr>
            <w:tcW w:w="1720" w:type="dxa"/>
            <w:vAlign w:val="bottom"/>
          </w:tcPr>
          <w:p>
            <w:pPr>
              <w:ind w:left="100"/>
              <w:spacing w:after="0"/>
              <w:rPr>
                <w:sz w:val="20"/>
                <w:szCs w:val="20"/>
                <w:color w:val="auto"/>
              </w:rPr>
            </w:pPr>
            <w:r>
              <w:rPr>
                <w:rFonts w:ascii="Arial" w:cs="Arial" w:eastAsia="Arial" w:hAnsi="Arial"/>
                <w:sz w:val="13"/>
                <w:szCs w:val="13"/>
                <w:color w:val="auto"/>
                <w:w w:val="92"/>
              </w:rPr>
              <w:t>Issuance of common stock for</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right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20" w:type="dxa"/>
            <w:vAlign w:val="bottom"/>
          </w:tcPr>
          <w:p>
            <w:pPr>
              <w:ind w:left="180"/>
              <w:spacing w:after="0"/>
              <w:rPr>
                <w:sz w:val="20"/>
                <w:szCs w:val="20"/>
                <w:color w:val="auto"/>
              </w:rPr>
            </w:pPr>
            <w:r>
              <w:rPr>
                <w:rFonts w:ascii="Arial" w:cs="Arial" w:eastAsia="Arial" w:hAnsi="Arial"/>
                <w:sz w:val="13"/>
                <w:szCs w:val="13"/>
                <w:color w:val="auto"/>
                <w:w w:val="99"/>
              </w:rPr>
              <w:t>Employee Stock Purchase</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right w:val="single" w:sz="8" w:color="auto"/>
            </w:tcBorders>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720" w:type="dxa"/>
            <w:vAlign w:val="bottom"/>
          </w:tcPr>
          <w:p>
            <w:pPr>
              <w:ind w:left="180"/>
              <w:spacing w:after="0"/>
              <w:rPr>
                <w:sz w:val="20"/>
                <w:szCs w:val="20"/>
                <w:color w:val="auto"/>
              </w:rPr>
            </w:pPr>
            <w:r>
              <w:rPr>
                <w:rFonts w:ascii="Arial" w:cs="Arial" w:eastAsia="Arial" w:hAnsi="Arial"/>
                <w:sz w:val="13"/>
                <w:szCs w:val="13"/>
                <w:color w:val="auto"/>
              </w:rPr>
              <w:t>Plan</w:t>
            </w:r>
          </w:p>
        </w:tc>
        <w:tc>
          <w:tcPr>
            <w:tcW w:w="500" w:type="dxa"/>
            <w:vAlign w:val="bottom"/>
          </w:tcPr>
          <w:p>
            <w:pPr>
              <w:ind w:left="3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ind w:left="3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480" w:type="dxa"/>
            <w:vAlign w:val="bottom"/>
          </w:tcPr>
          <w:p>
            <w:pPr>
              <w:ind w:left="3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40" w:type="dxa"/>
            <w:vAlign w:val="bottom"/>
            <w:tcBorders>
              <w:right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502</w:t>
            </w:r>
          </w:p>
        </w:tc>
        <w:tc>
          <w:tcPr>
            <w:tcW w:w="260" w:type="dxa"/>
            <w:vAlign w:val="bottom"/>
          </w:tcPr>
          <w:p>
            <w:pPr>
              <w:spacing w:after="0"/>
              <w:rPr>
                <w:sz w:val="13"/>
                <w:szCs w:val="13"/>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3,366</w:t>
            </w:r>
          </w:p>
        </w:tc>
        <w:tc>
          <w:tcPr>
            <w:tcW w:w="1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3,366</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99"/>
              </w:rPr>
              <w:t>Common stock issued upon</w:t>
            </w: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vesting of restricted stock</w:t>
            </w: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right w:val="single" w:sz="8" w:color="auto"/>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units</w:t>
            </w:r>
          </w:p>
        </w:tc>
        <w:tc>
          <w:tcPr>
            <w:tcW w:w="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right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162</w:t>
            </w:r>
          </w:p>
        </w:tc>
        <w:tc>
          <w:tcPr>
            <w:tcW w:w="2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720" w:type="dxa"/>
            <w:vAlign w:val="bottom"/>
          </w:tcPr>
          <w:p>
            <w:pPr>
              <w:ind w:left="100"/>
              <w:spacing w:after="0"/>
              <w:rPr>
                <w:sz w:val="20"/>
                <w:szCs w:val="20"/>
                <w:color w:val="auto"/>
              </w:rPr>
            </w:pPr>
            <w:r>
              <w:rPr>
                <w:rFonts w:ascii="Arial" w:cs="Arial" w:eastAsia="Arial" w:hAnsi="Arial"/>
                <w:sz w:val="13"/>
                <w:szCs w:val="13"/>
                <w:color w:val="auto"/>
              </w:rPr>
              <w:t>Stock-based compensation</w:t>
            </w:r>
          </w:p>
        </w:tc>
        <w:tc>
          <w:tcPr>
            <w:tcW w:w="500" w:type="dxa"/>
            <w:vAlign w:val="bottom"/>
          </w:tcPr>
          <w:p>
            <w:pPr>
              <w:ind w:left="3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480" w:type="dxa"/>
            <w:vAlign w:val="bottom"/>
          </w:tcPr>
          <w:p>
            <w:pPr>
              <w:ind w:left="3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220" w:type="dxa"/>
            <w:vAlign w:val="bottom"/>
          </w:tcPr>
          <w:p>
            <w:pPr>
              <w:ind w:left="40"/>
              <w:spacing w:after="0"/>
              <w:rPr>
                <w:sz w:val="20"/>
                <w:szCs w:val="20"/>
                <w:color w:val="auto"/>
              </w:rPr>
            </w:pPr>
            <w:r>
              <w:rPr>
                <w:rFonts w:ascii="Arial" w:cs="Arial" w:eastAsia="Arial" w:hAnsi="Arial"/>
                <w:sz w:val="13"/>
                <w:szCs w:val="13"/>
                <w:color w:val="auto"/>
              </w:rPr>
              <w:t>—</w:t>
            </w:r>
          </w:p>
        </w:tc>
        <w:tc>
          <w:tcPr>
            <w:tcW w:w="480" w:type="dxa"/>
            <w:vAlign w:val="bottom"/>
          </w:tcPr>
          <w:p>
            <w:pPr>
              <w:ind w:left="3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Borders>
              <w:right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480" w:type="dxa"/>
            <w:vAlign w:val="bottom"/>
          </w:tcPr>
          <w:p>
            <w:pPr>
              <w:ind w:left="3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60" w:type="dxa"/>
            <w:vAlign w:val="bottom"/>
          </w:tcPr>
          <w:p>
            <w:pPr>
              <w:ind w:left="1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26,818</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26,818</w:t>
            </w:r>
          </w:p>
        </w:tc>
        <w:tc>
          <w:tcPr>
            <w:tcW w:w="0" w:type="dxa"/>
            <w:vAlign w:val="bottom"/>
          </w:tcPr>
          <w:p>
            <w:pPr>
              <w:spacing w:after="0"/>
              <w:rPr>
                <w:sz w:val="1"/>
                <w:szCs w:val="1"/>
                <w:color w:val="auto"/>
              </w:rPr>
            </w:pPr>
          </w:p>
        </w:tc>
      </w:tr>
      <w:tr>
        <w:trPr>
          <w:trHeight w:val="29"/>
        </w:trPr>
        <w:tc>
          <w:tcPr>
            <w:tcW w:w="17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right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Stock option exercises</w:t>
            </w:r>
          </w:p>
        </w:tc>
        <w:tc>
          <w:tcPr>
            <w:tcW w:w="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26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1,819</w:t>
            </w:r>
          </w:p>
        </w:tc>
        <w:tc>
          <w:tcPr>
            <w:tcW w:w="14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1,819</w:t>
            </w:r>
          </w:p>
        </w:tc>
        <w:tc>
          <w:tcPr>
            <w:tcW w:w="0" w:type="dxa"/>
            <w:vAlign w:val="bottom"/>
          </w:tcPr>
          <w:p>
            <w:pPr>
              <w:spacing w:after="0"/>
              <w:rPr>
                <w:sz w:val="1"/>
                <w:szCs w:val="1"/>
                <w:color w:val="auto"/>
              </w:rPr>
            </w:pPr>
          </w:p>
        </w:tc>
      </w:tr>
      <w:tr>
        <w:trPr>
          <w:trHeight w:val="173"/>
        </w:trPr>
        <w:tc>
          <w:tcPr>
            <w:tcW w:w="1720" w:type="dxa"/>
            <w:vAlign w:val="bottom"/>
          </w:tcPr>
          <w:p>
            <w:pPr>
              <w:ind w:left="100"/>
              <w:spacing w:after="0"/>
              <w:rPr>
                <w:sz w:val="20"/>
                <w:szCs w:val="20"/>
                <w:color w:val="auto"/>
              </w:rPr>
            </w:pPr>
            <w:r>
              <w:rPr>
                <w:rFonts w:ascii="Arial" w:cs="Arial" w:eastAsia="Arial" w:hAnsi="Arial"/>
                <w:sz w:val="13"/>
                <w:szCs w:val="13"/>
                <w:color w:val="auto"/>
                <w:w w:val="93"/>
              </w:rPr>
              <w:t>Repurchase and retirement of</w:t>
            </w:r>
          </w:p>
        </w:tc>
        <w:tc>
          <w:tcPr>
            <w:tcW w:w="500" w:type="dxa"/>
            <w:vAlign w:val="bottom"/>
            <w:vMerge w:val="restart"/>
          </w:tcPr>
          <w:p>
            <w:pPr>
              <w:ind w:left="3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2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2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2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ind w:left="3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6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(4,952)</w:t>
            </w:r>
          </w:p>
        </w:tc>
        <w:tc>
          <w:tcPr>
            <w:tcW w:w="26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(42,994)</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(42,994)</w:t>
            </w:r>
          </w:p>
        </w:tc>
        <w:tc>
          <w:tcPr>
            <w:tcW w:w="0" w:type="dxa"/>
            <w:vAlign w:val="bottom"/>
          </w:tcPr>
          <w:p>
            <w:pPr>
              <w:spacing w:after="0"/>
              <w:rPr>
                <w:sz w:val="1"/>
                <w:szCs w:val="1"/>
                <w:color w:val="auto"/>
              </w:rPr>
            </w:pPr>
          </w:p>
        </w:tc>
      </w:tr>
      <w:tr>
        <w:trPr>
          <w:trHeight w:val="170"/>
        </w:trPr>
        <w:tc>
          <w:tcPr>
            <w:tcW w:w="1720" w:type="dxa"/>
            <w:vAlign w:val="bottom"/>
          </w:tcPr>
          <w:p>
            <w:pPr>
              <w:ind w:left="180"/>
              <w:spacing w:after="0"/>
              <w:rPr>
                <w:sz w:val="20"/>
                <w:szCs w:val="20"/>
                <w:color w:val="auto"/>
              </w:rPr>
            </w:pPr>
            <w:r>
              <w:rPr>
                <w:rFonts w:ascii="Arial" w:cs="Arial" w:eastAsia="Arial" w:hAnsi="Arial"/>
                <w:sz w:val="13"/>
                <w:szCs w:val="13"/>
                <w:color w:val="auto"/>
              </w:rPr>
              <w:t>common stock</w:t>
            </w:r>
          </w:p>
        </w:tc>
        <w:tc>
          <w:tcPr>
            <w:tcW w:w="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right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1720" w:type="dxa"/>
            <w:vAlign w:val="bottom"/>
            <w:shd w:val="clear" w:color="auto" w:fill="CCEEFF"/>
          </w:tcPr>
          <w:p>
            <w:pPr>
              <w:ind w:left="100"/>
              <w:spacing w:after="0"/>
              <w:rPr>
                <w:sz w:val="20"/>
                <w:szCs w:val="20"/>
                <w:color w:val="auto"/>
              </w:rPr>
            </w:pPr>
            <w:r>
              <w:rPr>
                <w:rFonts w:ascii="Arial" w:cs="Arial" w:eastAsia="Arial" w:hAnsi="Arial"/>
                <w:sz w:val="13"/>
                <w:szCs w:val="13"/>
                <w:color w:val="auto"/>
                <w:w w:val="89"/>
              </w:rPr>
              <w:t>Release of valuation allowance</w:t>
            </w: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tcBorders>
              <w:right w:val="single" w:sz="8" w:color="auto"/>
            </w:tcBorders>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7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related to prior equity</w:t>
            </w: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right w:val="single" w:sz="8" w:color="auto"/>
            </w:tcBorders>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7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3"/>
                <w:szCs w:val="13"/>
                <w:color w:val="auto"/>
              </w:rPr>
              <w:t>transactions</w:t>
            </w:r>
          </w:p>
        </w:tc>
        <w:tc>
          <w:tcPr>
            <w:tcW w:w="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right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14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283</w:t>
            </w:r>
          </w:p>
        </w:tc>
        <w:tc>
          <w:tcPr>
            <w:tcW w:w="0" w:type="dxa"/>
            <w:vAlign w:val="bottom"/>
          </w:tcPr>
          <w:p>
            <w:pPr>
              <w:spacing w:after="0"/>
              <w:rPr>
                <w:sz w:val="1"/>
                <w:szCs w:val="1"/>
                <w:color w:val="auto"/>
              </w:rPr>
            </w:pPr>
          </w:p>
        </w:tc>
      </w:tr>
      <w:tr>
        <w:trPr>
          <w:trHeight w:val="173"/>
        </w:trPr>
        <w:tc>
          <w:tcPr>
            <w:tcW w:w="1720" w:type="dxa"/>
            <w:vAlign w:val="bottom"/>
          </w:tcPr>
          <w:p>
            <w:pPr>
              <w:ind w:left="100"/>
              <w:spacing w:after="0"/>
              <w:rPr>
                <w:sz w:val="20"/>
                <w:szCs w:val="20"/>
                <w:color w:val="auto"/>
              </w:rPr>
            </w:pPr>
            <w:r>
              <w:rPr>
                <w:rFonts w:ascii="Arial" w:cs="Arial" w:eastAsia="Arial" w:hAnsi="Arial"/>
                <w:sz w:val="13"/>
                <w:szCs w:val="13"/>
                <w:color w:val="auto"/>
                <w:w w:val="99"/>
              </w:rPr>
              <w:t>Foreign currency translation</w:t>
            </w:r>
          </w:p>
        </w:tc>
        <w:tc>
          <w:tcPr>
            <w:tcW w:w="500" w:type="dxa"/>
            <w:vAlign w:val="bottom"/>
            <w:vMerge w:val="restart"/>
          </w:tcPr>
          <w:p>
            <w:pPr>
              <w:ind w:left="34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2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22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ind w:left="320"/>
              <w:spacing w:after="0"/>
              <w:rPr>
                <w:sz w:val="20"/>
                <w:szCs w:val="20"/>
                <w:color w:val="auto"/>
              </w:rPr>
            </w:pPr>
            <w:r>
              <w:rPr>
                <w:rFonts w:ascii="Arial" w:cs="Arial" w:eastAsia="Arial" w:hAnsi="Arial"/>
                <w:sz w:val="13"/>
                <w:szCs w:val="13"/>
                <w:color w:val="auto"/>
              </w:rPr>
              <w:t>—</w:t>
            </w:r>
          </w:p>
        </w:tc>
        <w:tc>
          <w:tcPr>
            <w:tcW w:w="420" w:type="dxa"/>
            <w:vAlign w:val="bottom"/>
          </w:tcPr>
          <w:p>
            <w:pPr>
              <w:spacing w:after="0"/>
              <w:rPr>
                <w:sz w:val="15"/>
                <w:szCs w:val="15"/>
                <w:color w:val="auto"/>
              </w:rPr>
            </w:pPr>
          </w:p>
        </w:tc>
        <w:tc>
          <w:tcPr>
            <w:tcW w:w="2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40" w:type="dxa"/>
            <w:vAlign w:val="bottom"/>
            <w:tcBorders>
              <w:right w:val="single" w:sz="8" w:color="auto"/>
            </w:tcBorders>
            <w:vMerge w:val="restart"/>
          </w:tcPr>
          <w:p>
            <w:pPr>
              <w:ind w:left="44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ind w:left="30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6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(8,431)</w:t>
            </w:r>
          </w:p>
        </w:tc>
        <w:tc>
          <w:tcPr>
            <w:tcW w:w="14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(8,431)</w:t>
            </w:r>
          </w:p>
        </w:tc>
        <w:tc>
          <w:tcPr>
            <w:tcW w:w="0" w:type="dxa"/>
            <w:vAlign w:val="bottom"/>
          </w:tcPr>
          <w:p>
            <w:pPr>
              <w:spacing w:after="0"/>
              <w:rPr>
                <w:sz w:val="1"/>
                <w:szCs w:val="1"/>
                <w:color w:val="auto"/>
              </w:rPr>
            </w:pPr>
          </w:p>
        </w:tc>
      </w:tr>
      <w:tr>
        <w:trPr>
          <w:trHeight w:val="170"/>
        </w:trPr>
        <w:tc>
          <w:tcPr>
            <w:tcW w:w="1720" w:type="dxa"/>
            <w:vAlign w:val="bottom"/>
          </w:tcPr>
          <w:p>
            <w:pPr>
              <w:ind w:left="180"/>
              <w:spacing w:after="0"/>
              <w:rPr>
                <w:sz w:val="20"/>
                <w:szCs w:val="20"/>
                <w:color w:val="auto"/>
              </w:rPr>
            </w:pPr>
            <w:r>
              <w:rPr>
                <w:rFonts w:ascii="Arial" w:cs="Arial" w:eastAsia="Arial" w:hAnsi="Arial"/>
                <w:sz w:val="13"/>
                <w:szCs w:val="13"/>
                <w:color w:val="auto"/>
              </w:rPr>
              <w:t>losses, net</w:t>
            </w:r>
          </w:p>
        </w:tc>
        <w:tc>
          <w:tcPr>
            <w:tcW w:w="5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right w:val="single" w:sz="8" w:color="auto"/>
            </w:tcBorders>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Net loss</w:t>
            </w:r>
          </w:p>
        </w:tc>
        <w:tc>
          <w:tcPr>
            <w:tcW w:w="5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right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4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(59,816)</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(59,816)</w:t>
            </w:r>
          </w:p>
        </w:tc>
        <w:tc>
          <w:tcPr>
            <w:tcW w:w="0" w:type="dxa"/>
            <w:vAlign w:val="bottom"/>
          </w:tcPr>
          <w:p>
            <w:pPr>
              <w:spacing w:after="0"/>
              <w:rPr>
                <w:sz w:val="1"/>
                <w:szCs w:val="1"/>
                <w:color w:val="auto"/>
              </w:rPr>
            </w:pPr>
          </w:p>
        </w:tc>
      </w:tr>
      <w:tr>
        <w:trPr>
          <w:trHeight w:val="195"/>
        </w:trPr>
        <w:tc>
          <w:tcPr>
            <w:tcW w:w="1720" w:type="dxa"/>
            <w:vAlign w:val="bottom"/>
          </w:tcPr>
          <w:p>
            <w:pPr>
              <w:ind w:left="20"/>
              <w:spacing w:after="0"/>
              <w:rPr>
                <w:sz w:val="20"/>
                <w:szCs w:val="20"/>
                <w:color w:val="auto"/>
              </w:rPr>
            </w:pPr>
            <w:r>
              <w:rPr>
                <w:rFonts w:ascii="Arial" w:cs="Arial" w:eastAsia="Arial" w:hAnsi="Arial"/>
                <w:sz w:val="13"/>
                <w:szCs w:val="13"/>
                <w:b w:val="1"/>
                <w:bCs w:val="1"/>
                <w:color w:val="auto"/>
                <w:w w:val="90"/>
              </w:rPr>
              <w:t>Balance at December 31, 2022</w:t>
            </w:r>
          </w:p>
        </w:tc>
        <w:tc>
          <w:tcPr>
            <w:tcW w:w="5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tcPr>
          <w:p>
            <w:pPr>
              <w:jc w:val="center"/>
              <w:ind w:right="19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400" w:type="dxa"/>
            <w:vAlign w:val="bottom"/>
            <w:tcBorders>
              <w:top w:val="single" w:sz="8" w:color="auto"/>
              <w:bottom w:val="single" w:sz="8" w:color="auto"/>
            </w:tcBorders>
          </w:tcPr>
          <w:p>
            <w:pPr>
              <w:jc w:val="center"/>
              <w:ind w:right="197"/>
              <w:spacing w:after="0"/>
              <w:rPr>
                <w:sz w:val="20"/>
                <w:szCs w:val="20"/>
                <w:color w:val="auto"/>
              </w:rPr>
            </w:pPr>
            <w:r>
              <w:rPr>
                <w:rFonts w:ascii="Arial" w:cs="Arial" w:eastAsia="Arial" w:hAnsi="Arial"/>
                <w:sz w:val="13"/>
                <w:szCs w:val="13"/>
                <w:color w:val="auto"/>
                <w:w w:val="82"/>
              </w:rPr>
              <w:t>$</w:t>
            </w:r>
          </w:p>
        </w:tc>
        <w:tc>
          <w:tcPr>
            <w:tcW w:w="2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3"/>
                <w:szCs w:val="13"/>
                <w:color w:val="auto"/>
              </w:rPr>
              <w:t>—</w:t>
            </w:r>
          </w:p>
        </w:tc>
        <w:tc>
          <w:tcPr>
            <w:tcW w:w="420" w:type="dxa"/>
            <w:vAlign w:val="bottom"/>
            <w:tcBorders>
              <w:top w:val="single" w:sz="8" w:color="auto"/>
              <w:bottom w:val="single" w:sz="8" w:color="auto"/>
            </w:tcBorders>
          </w:tcPr>
          <w:p>
            <w:pPr>
              <w:jc w:val="center"/>
              <w:ind w:right="197"/>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4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auto"/>
              <w:bottom w:val="single" w:sz="8" w:color="auto"/>
            </w:tcBorders>
          </w:tcPr>
          <w:p>
            <w:pPr>
              <w:jc w:val="center"/>
              <w:ind w:right="5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191,447</w:t>
            </w:r>
          </w:p>
        </w:tc>
        <w:tc>
          <w:tcPr>
            <w:tcW w:w="2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7"/>
              </w:rPr>
              <w:t>$ 1,489,935</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(573,046)</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(10,198)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906,693</w:t>
            </w:r>
          </w:p>
        </w:tc>
        <w:tc>
          <w:tcPr>
            <w:tcW w:w="0" w:type="dxa"/>
            <w:vAlign w:val="bottom"/>
          </w:tcPr>
          <w:p>
            <w:pPr>
              <w:spacing w:after="0"/>
              <w:rPr>
                <w:sz w:val="1"/>
                <w:szCs w:val="1"/>
                <w:color w:val="auto"/>
              </w:rPr>
            </w:pPr>
          </w:p>
        </w:tc>
      </w:tr>
      <w:tr>
        <w:trPr>
          <w:trHeight w:val="22"/>
        </w:trPr>
        <w:tc>
          <w:tcPr>
            <w:tcW w:w="1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70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provided by operating activities: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0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(59,816)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(81,966)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(59,954)</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110,801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101,437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76,844</w:t>
            </w:r>
          </w:p>
        </w:tc>
        <w:tc>
          <w:tcPr>
            <w:tcW w:w="0" w:type="dxa"/>
            <w:vAlign w:val="bottom"/>
          </w:tcPr>
          <w:p>
            <w:pPr>
              <w:spacing w:after="0"/>
              <w:rPr>
                <w:sz w:val="1"/>
                <w:szCs w:val="1"/>
                <w:color w:val="auto"/>
              </w:rPr>
            </w:pPr>
          </w:p>
        </w:tc>
      </w:tr>
      <w:tr>
        <w:trPr>
          <w:trHeight w:val="243"/>
        </w:trPr>
        <w:tc>
          <w:tcPr>
            <w:tcW w:w="700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26,818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22,095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10,721</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Deferred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0" w:type="dxa"/>
            <w:vAlign w:val="bottom"/>
          </w:tcPr>
          <w:p>
            <w:pPr>
              <w:spacing w:after="0"/>
              <w:rPr>
                <w:sz w:val="1"/>
                <w:szCs w:val="1"/>
                <w:color w:val="auto"/>
              </w:rPr>
            </w:pPr>
          </w:p>
        </w:tc>
      </w:tr>
      <w:tr>
        <w:trPr>
          <w:trHeight w:val="243"/>
        </w:trPr>
        <w:tc>
          <w:tcPr>
            <w:tcW w:w="7000" w:type="dxa"/>
            <w:vAlign w:val="bottom"/>
          </w:tcPr>
          <w:p>
            <w:pPr>
              <w:ind w:left="240"/>
              <w:spacing w:after="0"/>
              <w:rPr>
                <w:sz w:val="20"/>
                <w:szCs w:val="20"/>
                <w:color w:val="auto"/>
              </w:rPr>
            </w:pPr>
            <w:r>
              <w:rPr>
                <w:rFonts w:ascii="Arial" w:cs="Arial" w:eastAsia="Arial" w:hAnsi="Arial"/>
                <w:sz w:val="18"/>
                <w:szCs w:val="18"/>
                <w:color w:val="auto"/>
              </w:rPr>
              <w:t>Amortization of deferred financing costs and non-cash interest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2,093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4,843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6,393</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Bad debt expense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1,715</w:t>
            </w:r>
          </w:p>
        </w:tc>
        <w:tc>
          <w:tcPr>
            <w:tcW w:w="0" w:type="dxa"/>
            <w:vAlign w:val="bottom"/>
          </w:tcPr>
          <w:p>
            <w:pPr>
              <w:spacing w:after="0"/>
              <w:rPr>
                <w:sz w:val="1"/>
                <w:szCs w:val="1"/>
                <w:color w:val="auto"/>
              </w:rPr>
            </w:pPr>
          </w:p>
        </w:tc>
      </w:tr>
      <w:tr>
        <w:trPr>
          <w:trHeight w:val="243"/>
        </w:trPr>
        <w:tc>
          <w:tcPr>
            <w:tcW w:w="7000" w:type="dxa"/>
            <w:vAlign w:val="bottom"/>
          </w:tcPr>
          <w:p>
            <w:pPr>
              <w:ind w:left="240"/>
              <w:spacing w:after="0"/>
              <w:rPr>
                <w:sz w:val="20"/>
                <w:szCs w:val="20"/>
                <w:color w:val="auto"/>
              </w:rPr>
            </w:pPr>
            <w:r>
              <w:rPr>
                <w:rFonts w:ascii="Arial" w:cs="Arial" w:eastAsia="Arial" w:hAnsi="Arial"/>
                <w:sz w:val="18"/>
                <w:szCs w:val="18"/>
                <w:color w:val="auto"/>
              </w:rPr>
              <w:t>Loss on debt extinguishment</w:t>
            </w: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28,714</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Other non-cash items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0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(13,206)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(13,342)</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43"/>
        </w:trPr>
        <w:tc>
          <w:tcPr>
            <w:tcW w:w="700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(3,823)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(8,009)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4,952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(4,168)</w:t>
            </w:r>
          </w:p>
        </w:tc>
        <w:tc>
          <w:tcPr>
            <w:tcW w:w="0" w:type="dxa"/>
            <w:vAlign w:val="bottom"/>
          </w:tcPr>
          <w:p>
            <w:pPr>
              <w:spacing w:after="0"/>
              <w:rPr>
                <w:sz w:val="1"/>
                <w:szCs w:val="1"/>
                <w:color w:val="auto"/>
              </w:rPr>
            </w:pPr>
          </w:p>
        </w:tc>
      </w:tr>
      <w:tr>
        <w:trPr>
          <w:trHeight w:val="243"/>
        </w:trPr>
        <w:tc>
          <w:tcPr>
            <w:tcW w:w="700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(1,868)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(3,961)</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Accrued expenses and other</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16,744</w:t>
            </w:r>
          </w:p>
        </w:tc>
        <w:tc>
          <w:tcPr>
            <w:tcW w:w="0" w:type="dxa"/>
            <w:vAlign w:val="bottom"/>
          </w:tcPr>
          <w:p>
            <w:pPr>
              <w:spacing w:after="0"/>
              <w:rPr>
                <w:sz w:val="1"/>
                <w:szCs w:val="1"/>
                <w:color w:val="auto"/>
              </w:rPr>
            </w:pPr>
          </w:p>
        </w:tc>
      </w:tr>
      <w:tr>
        <w:trPr>
          <w:trHeight w:val="243"/>
        </w:trPr>
        <w:tc>
          <w:tcPr>
            <w:tcW w:w="70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8,646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1,957</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37"/>
        </w:trPr>
        <w:tc>
          <w:tcPr>
            <w:tcW w:w="7000" w:type="dxa"/>
            <w:vAlign w:val="bottom"/>
          </w:tcPr>
          <w:p>
            <w:pPr>
              <w:ind w:left="46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64,802</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37,482</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57,539</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20"/>
              <w:spacing w:after="0"/>
              <w:rPr>
                <w:sz w:val="20"/>
                <w:szCs w:val="20"/>
                <w:color w:val="auto"/>
              </w:rPr>
            </w:pPr>
            <w:r>
              <w:rPr>
                <w:rFonts w:ascii="Arial" w:cs="Arial" w:eastAsia="Arial" w:hAnsi="Arial"/>
                <w:sz w:val="18"/>
                <w:szCs w:val="18"/>
                <w:b w:val="1"/>
                <w:bCs w:val="1"/>
                <w:color w:val="auto"/>
              </w:rPr>
              <w:t>Cash flows used in investing activities: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Purchases of property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(4,525)</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Capitalization of software costs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(15,514)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(11,692)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Payment of contingent consideration</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Acquisition of companies, net of cash acquired</w:t>
            </w: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(364,873)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(403,231)</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(18,080)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(379,668)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(418,308)</w:t>
            </w: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09"/>
              <w:spacing w:after="0"/>
              <w:rPr>
                <w:sz w:val="20"/>
                <w:szCs w:val="20"/>
                <w:color w:val="auto"/>
              </w:rPr>
            </w:pPr>
            <w:r>
              <w:rPr>
                <w:rFonts w:ascii="Arial" w:cs="Arial" w:eastAsia="Arial" w:hAnsi="Arial"/>
                <w:sz w:val="18"/>
                <w:szCs w:val="18"/>
                <w:b w:val="1"/>
                <w:bCs w:val="1"/>
                <w:color w:val="auto"/>
              </w:rPr>
              <w:t>2020</w:t>
            </w: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4"/>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Payments on debt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(1,028,457)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(55,891)</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Proceeds from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850,966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314,668</w:t>
            </w: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Deferred financing costs</w:t>
            </w: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(8,135)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(7,303)</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Proceeds from preferred stock issuance, net</w:t>
            </w: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109,782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150,170</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7"/>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Proceeds from common stock issuance, net</w:t>
            </w:r>
          </w:p>
        </w:tc>
        <w:tc>
          <w:tcPr>
            <w:tcW w:w="3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415,708</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w:t>
            </w: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Proceeds from common stock issuance for Employee Stock Purchase Plan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Repurchase and retirement of common stock</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(42,994)</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000" w:type="dxa"/>
            <w:vAlign w:val="bottom"/>
          </w:tcPr>
          <w:p>
            <w:pPr>
              <w:ind w:left="2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(47,309)</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341,183</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401,850</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foreign currency exchange rate changes on cash</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7000" w:type="dxa"/>
            <w:vAlign w:val="bottom"/>
          </w:tcPr>
          <w:p>
            <w:pPr>
              <w:ind w:left="360"/>
              <w:spacing w:after="0"/>
              <w:rPr>
                <w:sz w:val="20"/>
                <w:szCs w:val="20"/>
                <w:color w:val="auto"/>
              </w:rPr>
            </w:pPr>
            <w:r>
              <w:rPr>
                <w:rFonts w:ascii="Arial" w:cs="Arial" w:eastAsia="Arial" w:hAnsi="Arial"/>
                <w:sz w:val="18"/>
                <w:szCs w:val="18"/>
                <w:b w:val="1"/>
                <w:bCs w:val="1"/>
                <w:color w:val="auto"/>
              </w:rPr>
              <w:t>Net increase (decrease) in cash and cash equivalents and restricted cash</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(1,735)</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(779)</w:t>
            </w:r>
          </w:p>
        </w:tc>
        <w:tc>
          <w:tcPr>
            <w:tcW w:w="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40,994</w:t>
            </w:r>
          </w:p>
        </w:tc>
      </w:tr>
      <w:tr>
        <w:trPr>
          <w:trHeight w:val="27"/>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7000" w:type="dxa"/>
            <w:vAlign w:val="bottom"/>
          </w:tcPr>
          <w:p>
            <w:pPr>
              <w:ind w:left="140"/>
              <w:spacing w:after="0"/>
              <w:rPr>
                <w:sz w:val="20"/>
                <w:szCs w:val="20"/>
                <w:color w:val="auto"/>
              </w:rPr>
            </w:pPr>
            <w:r>
              <w:rPr>
                <w:rFonts w:ascii="Arial" w:cs="Arial" w:eastAsia="Arial" w:hAnsi="Arial"/>
                <w:sz w:val="18"/>
                <w:szCs w:val="18"/>
                <w:color w:val="auto"/>
              </w:rPr>
              <w:t>Beginning of year</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97,559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98,338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57,344</w:t>
            </w:r>
          </w:p>
        </w:tc>
      </w:tr>
      <w:tr>
        <w:trPr>
          <w:trHeight w:val="27"/>
        </w:trPr>
        <w:tc>
          <w:tcPr>
            <w:tcW w:w="70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88"/>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End of year</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95,824</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97,559</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98,338</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40" w:type="dxa"/>
            <w:vAlign w:val="bottom"/>
            <w:gridSpan w:val="6"/>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7"/>
        </w:trPr>
        <w:tc>
          <w:tcPr>
            <w:tcW w:w="70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4"/>
        </w:trPr>
        <w:tc>
          <w:tcPr>
            <w:tcW w:w="7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70"/>
        </w:trPr>
        <w:tc>
          <w:tcPr>
            <w:tcW w:w="700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30,077</w:t>
            </w:r>
          </w:p>
        </w:tc>
        <w:tc>
          <w:tcPr>
            <w:tcW w:w="8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30,847</w:t>
            </w:r>
          </w:p>
        </w:tc>
        <w:tc>
          <w:tcPr>
            <w:tcW w:w="80" w:type="dxa"/>
            <w:vAlign w:val="bottom"/>
          </w:tcPr>
          <w:p>
            <w:pPr>
              <w:spacing w:after="0"/>
              <w:rPr>
                <w:sz w:val="23"/>
                <w:szCs w:val="23"/>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35,219</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89"/>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paid for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0"/>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70"/>
        </w:trPr>
        <w:tc>
          <w:tcPr>
            <w:tcW w:w="7000" w:type="dxa"/>
            <w:vAlign w:val="bottom"/>
          </w:tcPr>
          <w:p>
            <w:pPr>
              <w:ind w:left="140"/>
              <w:spacing w:after="0"/>
              <w:rPr>
                <w:sz w:val="20"/>
                <w:szCs w:val="20"/>
                <w:color w:val="auto"/>
              </w:rPr>
            </w:pPr>
            <w:r>
              <w:rPr>
                <w:rFonts w:ascii="Arial" w:cs="Arial" w:eastAsia="Arial" w:hAnsi="Arial"/>
                <w:sz w:val="18"/>
                <w:szCs w:val="18"/>
                <w:color w:val="auto"/>
              </w:rPr>
              <w:t>Rollover equity in consideration of net assets acquired</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1,319</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7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Fair value of earnout in consideration of net assets acquired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r>
      <w:tr>
        <w:trPr>
          <w:trHeight w:val="20"/>
        </w:trPr>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4"/>
        </w:trPr>
        <w:tc>
          <w:tcPr>
            <w:tcW w:w="7000" w:type="dxa"/>
            <w:vAlign w:val="bottom"/>
          </w:tcPr>
          <w:p>
            <w:pPr>
              <w:ind w:left="140"/>
              <w:spacing w:after="0"/>
              <w:rPr>
                <w:sz w:val="20"/>
                <w:szCs w:val="20"/>
                <w:color w:val="auto"/>
              </w:rPr>
            </w:pPr>
            <w:r>
              <w:rPr>
                <w:rFonts w:ascii="Arial" w:cs="Arial" w:eastAsia="Arial" w:hAnsi="Arial"/>
                <w:sz w:val="18"/>
                <w:szCs w:val="18"/>
                <w:color w:val="auto"/>
              </w:rPr>
              <w:t>Accretion of Series B preferred stock to redemption value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15,105</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67,811</w:t>
            </w:r>
          </w:p>
        </w:tc>
      </w:tr>
      <w:tr>
        <w:trPr>
          <w:trHeight w:val="20"/>
        </w:trPr>
        <w:tc>
          <w:tcPr>
            <w:tcW w:w="70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the Business</w:t>
      </w:r>
    </w:p>
    <w:p>
      <w:pPr>
        <w:spacing w:after="0" w:line="2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EverCommerce Inc. and subsidiaries (the “Company” or “EverCommerce”) is a leading provider of integrated software-as-a-service (“SaaS”) solutions or services for service-based small- and medium-sized businesses (“service SMBs”). Our platform spans across the full lifecycle of interactions between consumers and service professionals with vertical-specific applications. Today, the Company serves more than 685,000 customers across three core verticals: Home Services; Health Services; and Fitness &amp; Wellness Services. Within the core verticals, customers operate within numerous micro-verticals, ranging from home service professionals, such as construction contractors and home maintenance technicians, to physician practices and therapists in the Health Services industry, to personal trainers and salon owners in the Fitness &amp; Wellness sectors. The platform provides vertically-tailored SaaS solutions that address service SMBs’ increasingly nuanced demands, as well as highly complementary solutions that complete end-to-end offerings, allowing service SMBs and EverCommerce to succeed in the market, and provide end consumers more convenient service experiences. The Company is headquartered in Denver, Colorado, and has operations across the United States, Canada, Jordan, United Kingdom, Australia and New Zealand.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Public Offering</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6, 2021, the Company completed its Initial Public Offering (“IPO”), in which the Company issued and sold 19.1 million shares of its common stock at a public offering price of $17.00 per share. After underwriter discounts and commissions, net proceeds from the IPO were $303.9 million. Additionally, the Company incurred other IPO related fees of $6.9 million. On July 29, 2021, the IPO underwriters fully exercised their over-allotment option, resulting in the sale of an additional 2.8 million shares at the IPO price of $17.00 per share and after underwriter discounts, net proceeds were $43.9 million.</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IPO, the Company’s outstanding convertible preferred stock converted into shares of common stock on a one-for-one basis (see Note 11). Upon conversion of the convertible preferred stock, the Company reclassified the carrying value of the convertible preferred stock to common stock and additional paid-in capital. Immediately prior to the closing of the IPO, the Company filed an amended and restated certificate of incorporation on July 6, 2021 with the Secretary of State of the State of Delaware to authorize the issuance of up to 2,050,000,000 shares, par value $0.00001 per share, consisting of 2,000,000,000 shares of common stock and 50,000,000 shares of preferred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consolidated financial statements (collectively, the “financial statements”) include the operations of EverCommerce and all wholly owned subsidiaries and have been prepared in accordance with accounting principles generally accepted in the United States of America (“U.S. GAAP”), as detailed in the Financial Accounting Standards Board (“FASB”) Accounting Standards Codification (“ASC”), and pursuant to the accounting and disclosure rules and regulations of the Securities and Exchange Commission (the “SEC”). All material intercompany transactions have been eliminated upon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of Risk</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maintains cash accounts at domestic and foreign financial institutions. At times and for cash maintained at domestic institutions, certain account balances may exceed Federal Deposit Insurance Corporation (“FDIC”) insurance coverage. The Company has not experienced any losses on such accounts, and management believes that the Company’s risk of loss is remote.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Chief Operating Decision Maker (“CODM”), its Chief Executive Officer (“CEO”), reviews the financial information presented on a consolidated basis for purposes of allocating resources and evaluating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performance. Accordingly, the Company has determined that it operates in a single reportable segment. Since the Company operates in one segment, all required financial segment information can be found in the financial statements. See Notes 4 and 18 for disaggregated information regarding the Company's revenues and long-lived assets by geography,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certain reported amounts of assets and liabilities and disclosure of contingent assets and liabilities at the date of the financial statements and the reported amounts of revenue and expenses during the reporting period. Estimates are subject to uncertainties due to the levels of subjectivity and judgment necessary to account for highly uncertain matters or the susceptibility of such matters to change and affect items such as valuing identified intangible assets and acquired goodwill and establishing estimated useful lives for intangible assets in connection with business combinations, performing impairment assessments of intangible assets and goodwill, determining the appropriate valuation allowance for deferred tax assets and value of any uncertain tax positions, recognizing stock-based compensation expense and estimating consideration subject to constraint on revenue recognition.</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an ongoing basis, management evaluates these estimates, judgments and assumptions. Estimates are based on historical and anticipated results and trends, and on various other assumptions the Company believes are reasonable under the circumstances, including assumptions as to future events. Changes in estimates are recorded in the period in which they become known. Actual results could differ from those estimates, and any such differences may be material to the Company’s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results of a business acquired in a business combination are included in the Company’s financial statements from the date of acquisition. The Company allocates purchase price to the identifiable assets and liabilities of the acquired business at their acquisition date fair values. The excess of the purchase price over the amount allocated to the identifiable assets and liabilities, if any, is recorded as goodwill. Based on the nature of the businesses that the Company acquires, goodwill arising from acquisitions typically consists of synergies with previously acquired businesses and economies of scale resulting from centralizing shared service functions.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Determining the fair value of assets acquired and liabilities assumed requires management to make significant judgments and estimates, including the selection of valuation methodologies, estimates of future revenue and cash flows, discount rates and selection of comparable companies.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Acquisition-related transaction costs are expensed in the period in which the costs are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highly liquid investments with an original maturity of three months or less when acquired to be cash equivalents.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Restricted cash consists of funds that are contractually restricted as to usage or withdrawal. Restricted cash relates to cash collected from our customers’ clients that will be remitted to our customers subsequent to period-end, generally within a time period no longer than one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net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Trade accounts receivable are recorded at the invoiced amount and do not bear interest. The Company maintains an allowance for doubtful accounts for estimated losses inherent in its accounts receivable portfolio. In establishing the required allowance, management considers historical losses adjusted to take into account current market conditions and the customers’ financial condition, the amount of receivables in dispute and customer paying patterns. Balances that remain outstanding after the Company has used reasonable collection efforts are written off through a charge to the valuation allowance and a credit to accounts receivable.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Property and equipment are recorded at cost, net of accumulated depreciation. Property and equipment acquired in purchase accounting are recorded at fair value at the date of acquisition. Expenditures for maintenance and repairs are charged to expense as incurred. Depreciation is computed using the straight-line method over the following estimated useful lives.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5960" w:type="dxa"/>
            <w:vAlign w:val="bottom"/>
          </w:tcPr>
          <w:p>
            <w:pPr>
              <w:ind w:left="20"/>
              <w:spacing w:after="0"/>
              <w:rPr>
                <w:sz w:val="20"/>
                <w:szCs w:val="20"/>
                <w:color w:val="auto"/>
              </w:rPr>
            </w:pPr>
            <w:r>
              <w:rPr>
                <w:rFonts w:ascii="Arial" w:cs="Arial" w:eastAsia="Arial" w:hAnsi="Arial"/>
                <w:sz w:val="18"/>
                <w:szCs w:val="18"/>
                <w:b w:val="1"/>
                <w:bCs w:val="1"/>
                <w:color w:val="auto"/>
              </w:rPr>
              <w:t>Estimated Useful Life</w:t>
            </w:r>
          </w:p>
        </w:tc>
      </w:tr>
      <w:tr>
        <w:trPr>
          <w:trHeight w:val="27"/>
        </w:trPr>
        <w:tc>
          <w:tcPr>
            <w:tcW w:w="5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960" w:type="dxa"/>
            <w:vAlign w:val="bottom"/>
            <w:tcBorders>
              <w:bottom w:val="single" w:sz="8" w:color="auto"/>
            </w:tcBorders>
          </w:tcPr>
          <w:p>
            <w:pPr>
              <w:spacing w:after="0"/>
              <w:rPr>
                <w:sz w:val="2"/>
                <w:szCs w:val="2"/>
                <w:color w:val="auto"/>
              </w:rPr>
            </w:pPr>
          </w:p>
        </w:tc>
      </w:tr>
      <w:tr>
        <w:trPr>
          <w:trHeight w:val="34"/>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 years</w:t>
            </w:r>
          </w:p>
        </w:tc>
      </w:tr>
      <w:tr>
        <w:trPr>
          <w:trHeight w:val="243"/>
        </w:trPr>
        <w:tc>
          <w:tcPr>
            <w:tcW w:w="5280" w:type="dxa"/>
            <w:vAlign w:val="bottom"/>
            <w:gridSpan w:val="2"/>
          </w:tcPr>
          <w:p>
            <w:pPr>
              <w:ind w:left="20"/>
              <w:spacing w:after="0"/>
              <w:rPr>
                <w:sz w:val="20"/>
                <w:szCs w:val="20"/>
                <w:color w:val="auto"/>
              </w:rPr>
            </w:pPr>
            <w:r>
              <w:rPr>
                <w:rFonts w:ascii="Arial" w:cs="Arial" w:eastAsia="Arial" w:hAnsi="Arial"/>
                <w:sz w:val="18"/>
                <w:szCs w:val="18"/>
                <w:color w:val="auto"/>
              </w:rPr>
              <w:t>Furniture and fixtures</w:t>
            </w:r>
          </w:p>
        </w:tc>
        <w:tc>
          <w:tcPr>
            <w:tcW w:w="5960" w:type="dxa"/>
            <w:vAlign w:val="bottom"/>
          </w:tcPr>
          <w:p>
            <w:pPr>
              <w:ind w:left="20"/>
              <w:spacing w:after="0"/>
              <w:rPr>
                <w:sz w:val="20"/>
                <w:szCs w:val="20"/>
                <w:color w:val="auto"/>
              </w:rPr>
            </w:pPr>
            <w:r>
              <w:rPr>
                <w:rFonts w:ascii="Arial" w:cs="Arial" w:eastAsia="Arial" w:hAnsi="Arial"/>
                <w:sz w:val="18"/>
                <w:szCs w:val="18"/>
                <w:color w:val="auto"/>
              </w:rPr>
              <w:t>5 years</w:t>
            </w:r>
          </w:p>
        </w:tc>
      </w:tr>
      <w:tr>
        <w:trPr>
          <w:trHeight w:val="27"/>
        </w:trPr>
        <w:tc>
          <w:tcPr>
            <w:tcW w:w="5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960" w:type="dxa"/>
            <w:vAlign w:val="bottom"/>
          </w:tcPr>
          <w:p>
            <w:pPr>
              <w:spacing w:after="0"/>
              <w:rPr>
                <w:sz w:val="2"/>
                <w:szCs w:val="2"/>
                <w:color w:val="auto"/>
              </w:rPr>
            </w:pPr>
          </w:p>
        </w:tc>
      </w:tr>
      <w:tr>
        <w:trPr>
          <w:trHeight w:val="243"/>
        </w:trPr>
        <w:tc>
          <w:tcPr>
            <w:tcW w:w="5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Lesser of estimated useful life or remaining lease term</w:t>
            </w:r>
          </w:p>
        </w:tc>
      </w:tr>
      <w:tr>
        <w:trPr>
          <w:trHeight w:val="27"/>
        </w:trPr>
        <w:tc>
          <w:tcPr>
            <w:tcW w:w="5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5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disposition, the cost of disposed assets and the related accumulated depreciation are eliminated from the accounts and any resulting gain or loss is credited or charged to earnings/loss.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reviews its long-lived assets, such as amortizing intangible assets, internally developed software and property and equipment, for impairment whenever events or changes in circumstances indicate that the carrying amount of an asset may not be recoverable. Recoverability of the asset is measured by comparison of its carrying amount to undiscounted future net cash flows the asset is expected to generate. If such assets are considered to be impaired, the impairment recognized is measured as the amount by which the carrying amount of the asset exceeds its estimated fair value. Estimates of expected future cash flows represent management’s best estimate based on currently available information and reasonable and supportable assumptions. Any impairment recognized is permanent and may not be restored. The Company did not identify any indicators of impairment for the years ended December 31, 2022, 2021 and 2020, other than the abandonment of certain features of its capitalized software as more fully described in Note 8.</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Capitalized Software, net</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accordance with ASC Subtopic 350-40, </w:t>
      </w:r>
      <w:r>
        <w:rPr>
          <w:rFonts w:ascii="Arial" w:cs="Arial" w:eastAsia="Arial" w:hAnsi="Arial"/>
          <w:sz w:val="18"/>
          <w:szCs w:val="18"/>
          <w:i w:val="1"/>
          <w:iCs w:val="1"/>
          <w:color w:val="auto"/>
        </w:rPr>
        <w:t>Internal Use Software</w:t>
      </w:r>
      <w:r>
        <w:rPr>
          <w:rFonts w:ascii="Arial" w:cs="Arial" w:eastAsia="Arial" w:hAnsi="Arial"/>
          <w:sz w:val="18"/>
          <w:szCs w:val="18"/>
          <w:color w:val="auto"/>
        </w:rPr>
        <w:t>, the Company capitalizes certain costs related to software developed for internal use for which it has no plans to market externally. Internal use software includes the software used for the Company’s SaaS offerings. The Company expenses the costs of developing computer software until the software has reached the application development stage and capitalizes all costs incurred from that time until the software has been placed in service, at which time amortization of the capitalized costs begins. Determination of when the software has reached the application development stage is based upon completion of conceptual designs, evaluation of alternative designs and performance requirements. Costs of major enhancements to internal use software are capitalized while routine maintenance of existing software is charged to product development expense as incurred.</w:t>
      </w:r>
    </w:p>
    <w:p>
      <w:pPr>
        <w:spacing w:after="0" w:line="19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In accordance with ASC Topic 985, </w:t>
      </w:r>
      <w:r>
        <w:rPr>
          <w:rFonts w:ascii="Arial" w:cs="Arial" w:eastAsia="Arial" w:hAnsi="Arial"/>
          <w:sz w:val="16"/>
          <w:szCs w:val="16"/>
          <w:i w:val="1"/>
          <w:iCs w:val="1"/>
          <w:color w:val="auto"/>
        </w:rPr>
        <w:t>Software</w:t>
      </w:r>
      <w:r>
        <w:rPr>
          <w:rFonts w:ascii="Arial" w:cs="Arial" w:eastAsia="Arial" w:hAnsi="Arial"/>
          <w:sz w:val="16"/>
          <w:szCs w:val="16"/>
          <w:color w:val="auto"/>
        </w:rPr>
        <w:t>, the Company also capitalizes certain costs related to software developed for external use for which it plans to sell to customers, i.e. on-premise software to be installed on customer computers at the customer site. Costs incurred prior to reaching technological feasibility are charged to product development expense as incurred. Once technological feasibility is reached, additional development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incurred are capitalized. Technological feasibility is demonstrated by the completion of the product design and when all high-risk development issues have been resolved. Capitalization ceases when the product is available for general release to the customers.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amortizes both internal use and external software costs, using the straight-line method, over its estimated useful life of five years.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Intangible assets primarily consist of customer relationships which include government contracts, developed technology, trademarks and trade names and non-compete agreements, which are recorded at acquisition date fair value, less accumulated amortization. The Company determines the appropriate useful life of intangible assets by performing an analysis of expected cash flows of the acquired assets. Developed technology, trademarks and trade names and non-compete agreements acquired through acquisitions are amortized over their estimated useful lives using the straight-line method and customer relationship intangibles are amortized over their estimated useful lives using present value of future cash flows, which approximates the pattern in which the economic benefits are expected to be consumed.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Goodwill represents the amount by which the purchase price exceeds the fair value of identifiable tangible and intangible assets and liabilities acquired in a business combination. The Company accounts for its goodwill under ASC Topic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xml:space="preserve"> (“ASC 350”). Goodwill acquired in a business combination and determined to have an indefinite useful life is not amortized, but instead is tested for impairment at least annually during the fourth quarter or whenever events or changes in circumstances indicate that the carrying value might not be fully recoverable. For goodwill, impairment is assessed at the reporting unit level. A reporting unit is defined as an operating segment or a component of an operating segment to the extent discrete financial information is available that is reviewed by segment management.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For the annual goodwill impairment assessment, the Company has the option of assessing qualitative factors to determine whether it is more likely than not that the carrying amount of a reporting unit exceeds its fair value, or performing a quantitative test. Qualitative factors considered in the assessment include industry and market considerations, the competitive environment, overall financial performance, changing cost factors such as labor costs and other factors specific to a reporting unit such as change in management or key personnel. If the Company elects to perform the qualitative assessment and concludes that it is more likely than not that the fair value of the reporting unit is more than its related carrying amount, then goodwill is not considered impaired and the quantitative impairment test is not necessary. If the Company’s qualitative assessment concludes that it is more likely than not that the fair value of the reporting unit is less than its carrying amount, the Company will perform a quantitative test, which compares the estimated fair value of the reporting unit to its carrying amount. If the estimated fair value of the reporting unit exceeds the carrying amount of the net assets assigned to that reporting unit, goodwill is not impaired. However, if the estimated fair value of the reporting unit is lower than the carrying amount of the net assets assigned to the reporting unit, an impairment charge is recognized equal to the excess of the carrying amount over the estimated fair value. Besides goodwill, the Company has no other intangible assets with indefinite lives.</w:t>
      </w:r>
    </w:p>
    <w:p>
      <w:pPr>
        <w:spacing w:after="0" w:line="18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Company performed annual qualitative goodwill impairment assessments in 2022, 2021 and 2020 and concluded that it was more likely than not that the fair value of the reporting units were more than their related carrying amounts and as such did not identify any goodwill impairment during the years ended December 31, 2022, 2021 and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243" w:lineRule="exact"/>
        <w:rPr>
          <w:sz w:val="20"/>
          <w:szCs w:val="20"/>
          <w:color w:val="auto"/>
        </w:rPr>
      </w:pPr>
    </w:p>
    <w:p>
      <w:pPr>
        <w:jc w:val="both"/>
        <w:ind w:right="20"/>
        <w:spacing w:after="0" w:line="294" w:lineRule="auto"/>
        <w:rPr>
          <w:sz w:val="20"/>
          <w:szCs w:val="20"/>
          <w:color w:val="auto"/>
        </w:rPr>
      </w:pPr>
      <w:r>
        <w:rPr>
          <w:rFonts w:ascii="Arial" w:cs="Arial" w:eastAsia="Arial" w:hAnsi="Arial"/>
          <w:sz w:val="16"/>
          <w:szCs w:val="16"/>
          <w:color w:val="auto"/>
        </w:rPr>
        <w:t xml:space="preserve">The Company adopted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 as of January 1, 2022 and recognized right-of-use (“ROU”) lease assets and lease liabilities on the balance sheet representing the rights and obligations created by those leases and disclosed key information about leasing arrangements. Lease expense is recognized on a straight-line basis and recorded to general and administrative in the statement of operations and comprehensive loss.</w:t>
      </w:r>
    </w:p>
    <w:p>
      <w:pPr>
        <w:spacing w:after="0" w:line="174"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Company determines if an arrangement is or contains a lease at inception, which is the date on which the terms of the contract are agreed to, and the agreement creates enforceable rights and obligations. The Company also considers whether its service arrangements include the right to control the use of an asset. The Company used its incremental borrowing rate to determine the present value of lease payments, as the Company’s leases do not have a readily determinable implicit discount rate. The incremental borrowing rate is the rate of interest the Company would have to pay to borrow on a collateralized basis over a similar term an amount in a similar economic environment. Judgement is applied in assessing factors such as Company-specific credit risk, lease term, nature and quality of the underlying collateral, currency, and economic environment in determining the incremental borrowing rate to apply to each lease.</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does not recognize ROU assets and lease liabilities for leases with a term of twelve months or less. For all other leases, the Company recognizes ROU assets and lease liabilities based on the present value of lease payments over the lease term at the commencement date of the lease. The ROU assets also include any initial direct costs incurred and lease payments made at or before the commencement date and are reduced by any lease incentives.</w:t>
      </w:r>
    </w:p>
    <w:p>
      <w:pPr>
        <w:spacing w:after="0" w:line="21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Company’s leases may include a non-lease component representing additional services transferred to the Company, such as common area maintenance for real estate. The Company made an accounting policy election to not separate non-lease components from lease components for its real estate leases; rather the Company will account for each lease component and the non-lease components associated with that lease component as a single lease component. However, the non-lease components are usually variable in nature and recorded in variable lease expense in the period incurred.</w:t>
      </w:r>
    </w:p>
    <w:p>
      <w:pPr>
        <w:spacing w:after="0" w:line="18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Future lease payments may include fixed rent escalation clauses or payments that depend on an index (such as the consumer price index) measured using the index or applicable rate at lease commencement. Subsequent changes in index and other periodic market-rate adjustments to base rent are recorded in variable lease expense in the period incurred. In addition, certain leases contain termination options, where the rights to terminate are held by either the Company, the lessor, or both parties. These options to extend or terminate a lease are included in the lease terms when it is reasonably certain that the Company will exercise that option. The Company’s leases generally do not contain any material restrictive covenants or residual value guarantees.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leases classified as finance leases.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and Credit Facility Costs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Deferred financing costs and discounts on long-term debt are capitalized and netted with long-term debt and amortized over the term of the related debt, using the effective interest method. Costs incurred in connection with the establishment of revolving credit facilities are capitalized and amortized over the term of the related facility period, using the straight-line method. Amortization of debt issuance costs, noncash discounts and other credit facility costs are included in interest expense on the consolidated statements of operations and comprehensive loss.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B and C Convertible Preferred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accounted for its Series A Convertible Preferred Stock (“Series A”), Series B Convertible Preferred Stock (“Series B”) and Series C Convertible Preferred Stock (“Series C”) shares subject to possible redemption in accordance with the guidance in ASC Topic 480, </w:t>
      </w:r>
      <w:r>
        <w:rPr>
          <w:rFonts w:ascii="Arial" w:cs="Arial" w:eastAsia="Arial" w:hAnsi="Arial"/>
          <w:sz w:val="18"/>
          <w:szCs w:val="18"/>
          <w:i w:val="1"/>
          <w:iCs w:val="1"/>
          <w:color w:val="auto"/>
        </w:rPr>
        <w:t>Distinguishing</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 from Equity</w:t>
      </w:r>
      <w:r>
        <w:rPr>
          <w:rFonts w:ascii="Arial" w:cs="Arial" w:eastAsia="Arial" w:hAnsi="Arial"/>
          <w:sz w:val="18"/>
          <w:szCs w:val="18"/>
          <w:color w:val="auto"/>
        </w:rPr>
        <w:t>. Series A shares, Series B shares and Series C shares were conditionally redeemable preferred stock shares (with redemption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that were either within the control of the holder or subject to redemption upon the occurrence of uncertain events not solely within the Company’s control) that were classified as Convertible Preferred Stock separate from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equity (deficit) section of the Company’s consolidated balance sheets. The Series A shares and Series C shares were redeemable upon the occurrence of uncertain events not solely within the Company’s control and these uncertain events were deemed not probable. Therefore, Series A shares and Series C shares were presented at fair value at the time of issuance and were not subsequently re-measured. The Company’s Series B shares featured certain redemption rights that were considered to be outside of the Company’s control and these redemption rights were deemed probable of occurrence through March 15, 2021. Accordingly, Series B shares were presented at redemption value through that date.</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IPO, all of the Company’s then outstanding convertible preferred stock converted into shares of common stock on a one-for-one basis. Upon conversion of the convertible preferred stock, the Company reclassified the carrying value of the convertible preferred stock to common stock and additional paid-in capital.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recognizes revenue in accordance with ASU No.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(“ASC 606”). In accordance with ASC 606, the Company performs the following steps in determining the appropriate amount of revenue to be recognized as it fulfills its obligations under each of its contracts with customers: (i) identification of the contract with a customer; (ii) determination of whether the promised goods or services are performance obligations; (iii) measurement of the transaction price, including the constraint on variable consideration; (iv) allocation of the transaction price to the performance obligations; and (v) recognition of revenue when, or as each performance obligation is satisfied. At contract inception, once the contract is determined to be within the scope of ASC 606, the Company assesses the goods or services promised within each contract to determine if they are distinct and represent a performance obligation. The Company then allocates the transaction price to the respective performance obligations, and recognizes revenue when (or as) the performance obligations are satisfied. The amount of revenue recognized reflects the consideration to which the Company expects to be entitled to receive in exchange for these goods or services.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Revenue is generated from the following 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and Transaction Fees: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Subscription revenue primarily consists of the sale of SaaS offerings or the sale of software licenses. Through the SaaS offerings and related support services, customers are granted access to a hosted software application over the contract period without a contractual right to possession of the software. Alternatively, through the sale of software licenses the customer is provided with a right to use software that provides functionality to the customer on a stand-alone basis, and related support services, which include telephone/technical support, when-and-if available software updates and, in certain instances, hosting services. The software licenses are both perpetual and term. Under term license arrangements, the customer is provided the right to use the software for a defined period ranging from one month to five years. Under perpetual license arrangements, the customer is provided the right to use the software for an indefinite period. Subscription revenue related contracts can be both short and long-term, with stated contract terms that range from one month to five years. Contracts may contain termination for convenience provisions that allow the Company, customer or both parties the ability to terminate for convenience, either at any time or upon providing a specified notice period, without a penalty. The contract term for accounting purposes is determined to be the period in which parties to the contract have present enforceable rights and obligations, therefore the contract term under ASC 606 may be shorter than the stated term.</w:t>
      </w:r>
    </w:p>
    <w:p>
      <w:pPr>
        <w:spacing w:after="0" w:line="182" w:lineRule="exact"/>
        <w:rPr>
          <w:sz w:val="20"/>
          <w:szCs w:val="20"/>
          <w:color w:val="auto"/>
        </w:rPr>
      </w:pPr>
    </w:p>
    <w:p>
      <w:pPr>
        <w:jc w:val="both"/>
        <w:ind w:left="660" w:hanging="328"/>
        <w:spacing w:after="0" w:line="293"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SaaS and related support services</w:t>
      </w:r>
      <w:r>
        <w:rPr>
          <w:rFonts w:ascii="Arial" w:cs="Arial" w:eastAsia="Arial" w:hAnsi="Arial"/>
          <w:sz w:val="16"/>
          <w:szCs w:val="16"/>
          <w:color w:val="auto"/>
        </w:rPr>
        <w:t>: Hosted software applications are primarily comprised of marketing, business management and customer</w:t>
      </w:r>
      <w:r>
        <w:rPr>
          <w:rFonts w:ascii="Arial" w:cs="Arial" w:eastAsia="Arial" w:hAnsi="Arial"/>
          <w:sz w:val="16"/>
          <w:szCs w:val="16"/>
          <w:i w:val="1"/>
          <w:iCs w:val="1"/>
          <w:color w:val="auto"/>
        </w:rPr>
        <w:t xml:space="preserve"> </w:t>
      </w:r>
      <w:r>
        <w:rPr>
          <w:rFonts w:ascii="Arial" w:cs="Arial" w:eastAsia="Arial" w:hAnsi="Arial"/>
          <w:sz w:val="16"/>
          <w:szCs w:val="16"/>
          <w:color w:val="auto"/>
        </w:rPr>
        <w:t>retention solutions for which the Company develops functionality, provides when-and-if available updates and enhancements, hosts, manages and provides telephone and technical support by entering into subscription agreements with customers for a stated period of access. Revenues from the sale of hosted software applications and related support services are generally recognized ratably over the contractual period that the services are delivered, beginning on the date the service is made available to customers. Revenue is recognized ratably because the customer simultaneously receives and consumes the benefits of the services throughout the contract period. Contracts are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fixed price and may be invoiced on a monthly, quarterly or annual basis, with standard payment terms ranging from 30 to 60 days. The timing of revenue recognition may differ from the timing of invoicing to customers. The Company records deferred revenue on the consolidated balance sheets when revenues are recognized subsequent to cash collection from the customer.</w:t>
      </w:r>
    </w:p>
    <w:p>
      <w:pPr>
        <w:spacing w:after="0" w:line="184" w:lineRule="exact"/>
        <w:rPr>
          <w:sz w:val="20"/>
          <w:szCs w:val="20"/>
          <w:color w:val="auto"/>
        </w:rPr>
      </w:pPr>
    </w:p>
    <w:p>
      <w:pPr>
        <w:jc w:val="both"/>
        <w:ind w:left="660" w:hanging="328"/>
        <w:spacing w:after="0" w:line="286"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License and related support services: </w:t>
      </w:r>
      <w:r>
        <w:rPr>
          <w:rFonts w:ascii="Arial" w:cs="Arial" w:eastAsia="Arial" w:hAnsi="Arial"/>
          <w:sz w:val="16"/>
          <w:szCs w:val="16"/>
          <w:color w:val="auto"/>
        </w:rPr>
        <w:t>License revenue is generated from the sale of on-premise perpetual or term licenses, which are primarily</w:t>
      </w:r>
      <w:r>
        <w:rPr>
          <w:rFonts w:ascii="Arial" w:cs="Arial" w:eastAsia="Arial" w:hAnsi="Arial"/>
          <w:sz w:val="16"/>
          <w:szCs w:val="16"/>
          <w:i w:val="1"/>
          <w:iCs w:val="1"/>
          <w:color w:val="auto"/>
        </w:rPr>
        <w:t xml:space="preserve"> </w:t>
      </w:r>
      <w:r>
        <w:rPr>
          <w:rFonts w:ascii="Arial" w:cs="Arial" w:eastAsia="Arial" w:hAnsi="Arial"/>
          <w:sz w:val="16"/>
          <w:szCs w:val="16"/>
          <w:color w:val="auto"/>
        </w:rPr>
        <w:t>business management related software applications. The majority of the Company’s license arrangements include license support contracts. Revenues from the sale of distinct on-premise licenses are generally recognized at the point in time when the software is made available to the customer to download or use. Revenues from the sale of license related support services, which primarily relate to providing telephone and technical support, unspecified software product upgrades and maintenance releases and patches during the term of the support period, are generally recognized ratably over the contractual period that the services are delivered. Within these arrangements, the Company is obligated to make the support services available continuously throughout the contract and the customer simultaneously receives and consumes the benefit of making these services available throughout the contract period. Contracts are generally fixed price and may be invoiced on a monthly, quarterly or annual basis, with standard payment terms ranging from 30 to 60 days. The timing of revenue recognition may differ from the timing of invoicing customers due to the existence of these invoicing practices as well as the requirement to recognize revenue on a relative stand-alone selling price basis. The Company records a contract asset on the consolidated balance sheets when revenue is recognized prior to invoicing and the right to payment is not solely subject to the passage of time. The Company records an unbilled receivable on the consolidated balance sheets when revenue is recognized prior to invoicing and the right to payment is solely subject to the passage of time. The Company recognizes deferred revenue on the consolidated balance sheets when revenues are recognized subsequent to cash collection from the customer.</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Transaction fees relate to payment processing and group purchasing program administration services. Payment processing services enable customers to accept payments via credit card, electronic check and other similar methods through facilitation of payment information within the cloud-based applications. Group purchasing program administration services relate to facilitation of group purchasing programs for members through which the Company aggregates member purchasing power to negotiate pricing discounts with suppliers. The Company has determined that the nature of the payment processing and administration services is a stand-ready obligation whereby the Company stands ready to either arrange for the processing of transactions or stands ready to provide members with access to the group purchasing program on a continuous basis throughout the contract term.</w:t>
      </w:r>
    </w:p>
    <w:p>
      <w:pPr>
        <w:spacing w:after="0" w:line="164" w:lineRule="exact"/>
        <w:rPr>
          <w:sz w:val="20"/>
          <w:szCs w:val="20"/>
          <w:color w:val="auto"/>
        </w:rPr>
      </w:pPr>
    </w:p>
    <w:p>
      <w:pPr>
        <w:jc w:val="both"/>
        <w:ind w:left="660" w:hanging="328"/>
        <w:spacing w:after="0" w:line="288" w:lineRule="auto"/>
        <w:tabs>
          <w:tab w:leader="none" w:pos="655" w:val="left"/>
        </w:tabs>
        <w:numPr>
          <w:ilvl w:val="0"/>
          <w:numId w:val="42"/>
        </w:numPr>
        <w:rPr>
          <w:rFonts w:ascii="Arial" w:cs="Arial" w:eastAsia="Arial" w:hAnsi="Arial"/>
          <w:sz w:val="16"/>
          <w:szCs w:val="16"/>
          <w:color w:val="auto"/>
        </w:rPr>
      </w:pPr>
      <w:r>
        <w:rPr>
          <w:rFonts w:ascii="Arial" w:cs="Arial" w:eastAsia="Arial" w:hAnsi="Arial"/>
          <w:sz w:val="16"/>
          <w:szCs w:val="16"/>
          <w:i w:val="1"/>
          <w:iCs w:val="1"/>
          <w:color w:val="auto"/>
        </w:rPr>
        <w:t xml:space="preserve">Payment processing services: </w:t>
      </w:r>
      <w:r>
        <w:rPr>
          <w:rFonts w:ascii="Arial" w:cs="Arial" w:eastAsia="Arial" w:hAnsi="Arial"/>
          <w:sz w:val="16"/>
          <w:szCs w:val="16"/>
          <w:color w:val="auto"/>
        </w:rPr>
        <w:t>In fulfillment of payment processing services, the Company partners with third-party merchants and processors who</w:t>
      </w:r>
      <w:r>
        <w:rPr>
          <w:rFonts w:ascii="Arial" w:cs="Arial" w:eastAsia="Arial" w:hAnsi="Arial"/>
          <w:sz w:val="16"/>
          <w:szCs w:val="16"/>
          <w:i w:val="1"/>
          <w:iCs w:val="1"/>
          <w:color w:val="auto"/>
        </w:rPr>
        <w:t xml:space="preserve"> </w:t>
      </w:r>
      <w:r>
        <w:rPr>
          <w:rFonts w:ascii="Arial" w:cs="Arial" w:eastAsia="Arial" w:hAnsi="Arial"/>
          <w:sz w:val="16"/>
          <w:szCs w:val="16"/>
          <w:color w:val="auto"/>
        </w:rPr>
        <w:t>assist in the fulfillment of the Company’s obligations to customers. The Company has concluded that it does not possess the ability to control the underlying services provided by third parties in the fulfillment of its obligations to customers and therefore recognizes revenue net of interchange fees retained by the card issuing financial institutions and fees charged by payment networks. Payment processing revenue is recurring and volume based, resulting in the total consideration within these arrangements being variable. The Company applies the variable consideration allocation exception and therefore is not required to estimate variable consideration or a related constraint, as it ascribes the transaction consideration earned to the distinct increment of time for which the service was provided. As a result, the Company measures revenue from transaction services on a daily basis based on an accumulation of the services that have been provided during each respective day. Payment for transaction services is received in arrears, typically within one month of when the services have been provided. Transaction services contracts with customers are generally for a term of one month and renew automatically each month.</w:t>
      </w:r>
    </w:p>
    <w:p>
      <w:pPr>
        <w:spacing w:after="0" w:line="168" w:lineRule="exact"/>
        <w:rPr>
          <w:rFonts w:ascii="Arial" w:cs="Arial" w:eastAsia="Arial" w:hAnsi="Arial"/>
          <w:sz w:val="16"/>
          <w:szCs w:val="16"/>
          <w:color w:val="auto"/>
        </w:rPr>
      </w:pPr>
    </w:p>
    <w:p>
      <w:pPr>
        <w:jc w:val="both"/>
        <w:ind w:left="660" w:hanging="328"/>
        <w:spacing w:after="0" w:line="279" w:lineRule="auto"/>
        <w:tabs>
          <w:tab w:leader="none" w:pos="655" w:val="left"/>
        </w:tabs>
        <w:numPr>
          <w:ilvl w:val="0"/>
          <w:numId w:val="42"/>
        </w:numPr>
        <w:rPr>
          <w:rFonts w:ascii="Arial" w:cs="Arial" w:eastAsia="Arial" w:hAnsi="Arial"/>
          <w:sz w:val="17"/>
          <w:szCs w:val="17"/>
          <w:color w:val="auto"/>
        </w:rPr>
      </w:pPr>
      <w:r>
        <w:rPr>
          <w:rFonts w:ascii="Arial" w:cs="Arial" w:eastAsia="Arial" w:hAnsi="Arial"/>
          <w:sz w:val="17"/>
          <w:szCs w:val="17"/>
          <w:i w:val="1"/>
          <w:iCs w:val="1"/>
          <w:color w:val="auto"/>
        </w:rPr>
        <w:t xml:space="preserve">Purchasing program administration services: </w:t>
      </w:r>
      <w:r>
        <w:rPr>
          <w:rFonts w:ascii="Arial" w:cs="Arial" w:eastAsia="Arial" w:hAnsi="Arial"/>
          <w:sz w:val="17"/>
          <w:szCs w:val="17"/>
          <w:color w:val="auto"/>
        </w:rPr>
        <w:t>The Company receives rebates from contracted suppliers in exchange for program administration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Rebates earned are based on a defined percentage of the purchase price of goods and services sold to members under the contract the Company has negotiated with its suppliers. The amount of revenue recognized from these administration services is greater than the consideration received from customers given payment for these services are received in arrears, typically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60"/>
        <w:spacing w:after="0" w:line="263" w:lineRule="auto"/>
        <w:rPr>
          <w:sz w:val="20"/>
          <w:szCs w:val="20"/>
          <w:color w:val="auto"/>
        </w:rPr>
      </w:pPr>
      <w:r>
        <w:rPr>
          <w:rFonts w:ascii="Arial" w:cs="Arial" w:eastAsia="Arial" w:hAnsi="Arial"/>
          <w:sz w:val="18"/>
          <w:szCs w:val="18"/>
          <w:color w:val="auto"/>
        </w:rPr>
        <w:t>within a quarter from when the underlying services were provided. The Company recognizes a contract asset on the consolidated balance sheets until payment has been received. Administration services contracts with customers are generally for an annual or monthly term and renew automatically upon lapse of the current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 Technology Solutions: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Marketing technology solutions consist of digital advertising management and consumer connection services. These advertising management services include content creation, search engine optimization and paid media management services. The nature of the performance obligation within advertising management contracts is to stand-ready and provide management services on a continuous basis over the contract term. As a result, revenue associated with advertising management services is recognized on a ratable basis over the service period as the customer simultaneously receives and consumes the benefits of the management services evenly throughout the contract period. The Company typically earns a fixed recurring fee in exchange for advertising management services; however, in certain instances, the transaction consideration to which the Company is entitled may be variable. The Company applies the variable consideration allocation exception to these arrangements. Advertising management services are typically invoiced on a monthly basis either in arrears or in advance. Certain arrangements may be invoiced on a quarterly or annual basis. Within such arrangements, the Company either recognizes deferred revenue or a customer deposit on the consolidated balance sheets depending on whether the amounts invoiced in advance of revenue being recognized are classified as non-refundable or refundable.</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Consumer connection services relate to the sourcing and delivery of service requests from consumers to home service providers. Revenue for consumer connection services may be recognized at either a point-in-time or on an over-time basis as each connection is delivered. Revenue is derived from fees paid by service professionals for consumer matches. Fees associated with each consumer match generated may be either fixed price or variable. The variable consideration is allocated to the connection from which it was derived; however, given the inherent variable nature of this consideration, revenue is constrained to the Company’s estimation of transaction consideration. Payment for consumer connection services is received in arrears, typically within one month of when the services have been provided. The Company records a contract asset or unbilled receivable for this difference on the consolidated balance sheets. Marketing technology solutions service related contracts are typically short-term with stated contract terms that are less than one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Other revenues generally consist of fees associated with the sale of distinct professional services and hardware. Professional service offerings are typically sold as part of an arrangement for products or services included within subscription or marketing revenue. Professional services associated with subscription revenue generally relate to standard implementation, configuration, installation or training services applied to both SaaS and on-premise deployment models. Marketing revenue related professional service fees are derived from website design, creation or enhancement services. Professional service revenue is recognized over time as the services are performed, as the customer simultaneously receives and consumes the benefit of these services. Professional service contracts are offered at either a fixed or a variable price and may be invoiced in advance or arrears of the services being provided. Hardware revenue consists of equipment that supports or enables the Company’s products or services within subscription and transaction fees offerings. Revenue associated with performance obligations for hardware is recognized at a point-in-time, as dictated by the point at which the customer has the ability to direct the use of and obtain substantially all the benefit from the asset.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a contract asset on the consolidated balance sheets when services have been provided and the right to payment is not solely subject to the passage of time, and an unbilled receivable when services have been provided and the right to payment is solely subject to the passage of time. These arrangements may also result in deferred revenue on the consolidated balance sheets when revenues are recognized subsequent to cash collection. Standard payment terms for these arrangements range from 30 to 60 days. Contract terms for other revenue arrangements are generally short-term, with stated contract terms that are less than one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 and Standalone Selling Price: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contracts at times include the sale of multiple promised goods or services that have been determined to be distinct. The transaction price for contracts with multiple performance obligations is allocated based on the relative stand-alone selling price of each performance obligation within the contract.</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Judgment can be involved when determining the stand-alone selling price of products and services. For the majority of the Company’s SaaS, on-premise license and professional services, the Company establishes stand-alone selling price based on observable selling prices to similar classes of customers. If the stand-alone selling price is not observable through past transactions, the Company estimates the stand-alone selling price taking into consideration available information such as market conditions and internally approved pricing guidelines related to the performance obligation. As permitted under ASC 606, at times the Company has established the stand-alone selling price of performance obligations as a range and uses this range to determine whether there is a discount that needs to be allocated based on the relative stand-alone selling price of the various performance obligations.</w:t>
      </w:r>
    </w:p>
    <w:p>
      <w:pPr>
        <w:spacing w:after="0" w:line="16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contract inception, the Company performs a review of each performance obligation’s selling price against the established stand-alone selling price range. If any performance obligations are priced outside of the established stand-alone selling price range, the Company reallocates the total transaction price to each performance obligation based on the relative stand-alone selling price for each performance obligation. The established range is reassessed on a periodic basis when facts and circumstances surrounding these established ranges change.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Company’s contracts may include standard warranty or service level provisions that state promised goods and services will perform and operate in all material respects as defined in the respective agreements. The Company has determined that these represent assurance-type warranties and, therefore, are outside the scope of ASC 606. These warranties will continue to be accounted for under the provisions of ASC Topic 460-10,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To date, the Company has not incurred any material costs as a result of such commitments.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Variable Consideration: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Revenue is recorded at the net sales price, which is the transaction price, and includes estimates of variable consideration. The amount of variable consideration that is included in the transaction price may be constrained, and is included in the net sales price only to the extent that it is probable that a significant reversal in the amount of cumulative revenue will not occur when the uncertainty is resolved.</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transaction consideration within the Company’s contracts may be entirely variable or contain a variable component. When permitted, the Company applies the variable consideration allocation exception. This exception is generally met for transaction fees, marketing technology solutions and professional services charged on a time-and-materials basis. When the variable consideration allocation exception is not permitted, the Company continues to assess the underlying judgments and estimates used to determine the variable consideration as uncertainties are resolved or new information arises. Reassessment of variable consideration occurs until the underlying uncertainty is resolved.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Material Rights: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contracts with customers may include renewal or other options at stated prices. Determining whether these options provide the customer with a material right and therefore need to be accounted for as separate performance obligations requires judgment. The price of each option must be assessed to determine whether it is reflective of the stand-alone selling price or is reflective of a discount that the customer only received as a result of its prior purchase (a material right). Certain term license and marketing service arrangements contain a material right related to the customer’s ability to renew at an incremental discount. Transaction consideration allocated to the material right is recognized over the expected renewal period, which begins at the end of the initial contractual term and is generally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financing component: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amount of consideration is not adjusted for a significant financing component if the time between payment and the transfer of the related good or service is expected to be one year or less under the practical expedient in ASC 606-10-32-18. The Company’s revenue arrangements are typically accounted for under such expedient as payments are within one year of transfer of the performance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considerations: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elected a policy to exclude from the transaction price all sales taxes assessed by governmental authorities and as a result, revenue is presented net of tax.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Cost of revenues consists of expenses related to delivering our services and products and providing support to our customers and includes employee costs and related overhead, customer credit card processing fees, targeted mail costs, third party fulfillment costs and software hosting expenses.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expenses the costs of advertising as incurred. Advertising costs are incurred primarily for internet-based advertising. Included in sales and marketing expenses on the consolidated statements of operations and comprehensive loss are charges for advertising of $21.4 million, $19.3 million and $8.7 million for the years ended December 31, 2022, 2021 and 2020,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Company follows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(“ASC 718”), with respect to stock-based compensation. Stock-based compensation, including grants of stock options and restricted stock units, are valued at fair value on the date of grant and are generally expensed on a straight-line basis over the applicable service period.</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uses the Black-Scholes option-pricing model and a binomial lattice model to estimate the fair value of options granted with time-based vesting and market-based vesting terms, respectively. The following inputs to the Black-Scholes option-pricing model are considered in estimating the fair value: the fair value of the common stock, expected volatility, expected term, risk-free interest rate and expected dividends. The Company does not have a sufficient third-party history of market prices of its common stock, and as such volatility is estimated, using historical volatilities of comparable public entities for the valuation of its stock options. At the point when the Company has sufficient and meaningful trading history of its stock, as is the case for the Company’s 2021 Employee Stock Purchase Plan (the “ESPP”) (refer to Note 12), it will calculate volatility based on its own trading history. The expected term represents the estimated average period of time that the option will remain outstanding. Since the Company does not have sufficient historical data for the exercise of stock options, the expected term is based on the “simplified” method that measures the expected term as the average of the vesting period and the contractual term. Once the Company has sufficient historical data for the exercise of its options it will use Company-specific data. The risk-free interest rate assumption is based on observed interest rates appropriate for the terms of the awards. The dividend yield assumption is based on history and the expectation of paying no dividends.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Forfeitures are estimated at the time of grant and revised, if necessary, in subsequent periods if actual forfeitures differ from those estimates. Stock-based compensation expense, when recognized in the financial statements, is based on awards that are ultimately expected to vest.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 C corporation for federal income tax purposes. Deferred taxes are provided on a liability method whereby deferred tax assets are recognized for deductible temporary differences and operating loss and tax credit carryforwards, and deferred tax liabilities are recognized for taxable temporary differences. Temporary differences are the differences between the reported amounts of assets and liabilities and their tax bases. Deferred tax assets are reduced by a valuation allowance when, in the opinion of management, it is more likely than not that some portion or all of the deferred tax assets will not be realized. Deferred tax assets and liabilities are adjusted for the effects of changes in tax laws and rates on the date of enactment. The Company's total provision for taxes includes income taxes on the Company's corporate subsidiaries.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Company records uncertain tax positions in accordance with ASC Topic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(“ASC 740”), on the basis of a two-step process in which</w:t>
      </w:r>
    </w:p>
    <w:p>
      <w:pPr>
        <w:spacing w:after="0" w:line="35" w:lineRule="exact"/>
        <w:rPr>
          <w:sz w:val="20"/>
          <w:szCs w:val="20"/>
          <w:color w:val="auto"/>
        </w:rPr>
      </w:pPr>
    </w:p>
    <w:p>
      <w:pPr>
        <w:jc w:val="both"/>
        <w:ind w:firstLine="8"/>
        <w:spacing w:after="0" w:line="238" w:lineRule="auto"/>
        <w:tabs>
          <w:tab w:leader="none" w:pos="222" w:val="left"/>
        </w:tabs>
        <w:numPr>
          <w:ilvl w:val="0"/>
          <w:numId w:val="43"/>
        </w:numPr>
        <w:rPr>
          <w:rFonts w:ascii="Arial" w:cs="Arial" w:eastAsia="Arial" w:hAnsi="Arial"/>
          <w:sz w:val="18"/>
          <w:szCs w:val="18"/>
          <w:color w:val="auto"/>
        </w:rPr>
      </w:pPr>
      <w:r>
        <w:rPr>
          <w:rFonts w:ascii="Arial" w:cs="Arial" w:eastAsia="Arial" w:hAnsi="Arial"/>
          <w:sz w:val="18"/>
          <w:szCs w:val="18"/>
          <w:color w:val="auto"/>
        </w:rPr>
        <w:t>it is determined whether it is more likely than not that the tax positions will be sustained on the basis of the technical merits of the position and (ii) for those tax positions that meet the more-likely-than-not recognition threshold, the Company recognizes the largest amount of tax benefit that is more than 50% likely to be realized upon ultimate settlement with the related tax authority. When applicable, interest and penalties relating to any such uncertain tax positions are recorded as part of income tax expense.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Comprehensive loss includes net loss as well as other changes in stockholders’ equity (deficit) that result from transactions and economic events other than those with stockholders. The Company includes cumulative foreign currency translation adjustments in comprehensive loss as described below.</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computes net loss per share attributable to its common stockholders using the two-class method required for participating securities, which determines net loss per common share and participating securities according to dividends declared or accumulated and participation rights in undistributed earnings. The two-class method requires income available to common stockholders for the period to be allocated between common stock and participating securities based upon their respective rights to receive dividends as if all income for the period had been distributed. The Company’s convertible preferred stock contractually entitled the holders of such shares to participate in dividends, but did not contractually require the holders of such shares to participate in the Company’s losses. As such, net losses for the periods presented were not allocated to these securities. In connection with the IPO, all of the Company’s then outstanding convertible preferred stock converted into shares of common stock on a one-for-one basis. Diluted net loss per common share attributable to common stockholders is the same as basic net loss per common share attributable to common stockholders, because potentially dilutive common shares are not assumed to have been issued if their effect is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financial results of certain of the Company’s foreign subsidiaries are translated into U.S. dollars upon consolidation. Assets and liabilities of foreign subsidiaries that operate primarily in a functional currency other than the U.S. dollar are translated using the current exchange rate in effect at the consolidated balance sheet date (the Spot Rate). Revenues and expenses are translated using the average exchange rate in effect during the period in which they are recognized. The gains and losses from foreign currency translation of these subsidiaries’ financial statements are recorded directly as a separate component of stockholders’ deficit and represent the majority of the balance within accumulated other comprehensive income on the consolidated balance sheets. The functional currencies of the Company’s significant foreign operations include the Canadian dollar, Great British Pound, Australian dollar and New Zealand dollar.</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For the Company’s foreign subsidiaries that operate primarily in the U.S. dollar, foreign currency denominated monetary assets and liabilities are remeasured into U.S. dollars at the Spot Rate in effect at the consolidated balance sheet date. Non-monetary assets and liabilities are remeasured using historical exchange rates. Income and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elements are remeasured using average exchange rates in effect during the period in which the elements are recognized within the consolidated statements of operations and comprehensive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an emerging growth company (“EGC”), the Jumpstart Our Business Startups Act (“JOBS Act”) allows the Company to delay adoption of new or revised accounting pronouncements applicable to public companies until such pronouncements are applicable to private companies. The Company has elected to use the extended transition period under the JOBS Act until the earlier of the date that it is (i) no longer an EGC or (ii) affirmatively and irrevocably opts out of the extended transition period provided in the JOBS Act. As a result, the financial statements may not be comparable to companies that comply with the new or revised accounting pronouncements as of public company effective dates. The adoption dates are discussed below to reflect this election within the Recently Issued Accounting Pronouncements section.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issued and adopted</w:t>
      </w:r>
    </w:p>
    <w:p>
      <w:pPr>
        <w:spacing w:after="0" w:line="239"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 Topic 842”) to improve financial reporting about leasing transactions. This ASU amends and supersedes existing lease accounting guidance and is intended to increase transparency and comparability among organizations by recognizing right-of-use (“ROU”) lease assets and lease liabilities on the balance sheet representing the rights and obligations created by those leases, and requiring disclosure of key information about leasing arrangements.</w:t>
      </w:r>
    </w:p>
    <w:p>
      <w:pPr>
        <w:spacing w:after="0" w:line="21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The Company adopted the new lease standard as of January 1, 2022 using the optional transition method to the modified retrospective approach which eliminates the requirement to restate the prior period financial statements. Under this transition provision, results for annual reporting periods beginning on January 1, 2022 are presented under Topic 842, while prior period amounts continue to be reported and disclosed in accordance with the Company’s legacy guidance under ASC Topic 840,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21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number of practical expedients and policy elections are available under the new guidance. The Company elected the "package of practical expedients" permitted under the transition guidance, which among other things, did not require reassessment of whether contracts entered into prior to January 1, 2022 are or contain leases, and has carried forward its initial determination of the historical lease classification for existing leases. The Company has not elected to adopt the “hindsight” practical expedient, and therefore will measure the ROU asset and lease liability using the remaining portion of the lease term at adoption on January 1, 2022.</w:t>
      </w:r>
    </w:p>
    <w:p>
      <w:pPr>
        <w:spacing w:after="0" w:line="21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Adoption of Topic 842 resulted in the recording of ROU assets and lease liabilities related to the Company’s operating leases of approximately $28.3 million and $34.8 million, respectively, on January 1, 2022. In addition, upon transition, we eliminated deferred rent liabilities of $7.5 million, prepaid rent of $0.4 million and other non-current assets of $0.6 million. The adoption of the new lease standard did not materially impact our consolidated statement of operations and comprehensive loss or consolidated statement of cash flows and did not result in a cumulative-effect adjustment to the opening balance of retained earnings.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(Topic 326); </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requires the measurement and recognition of expected credit losses for financial assets held at amortized cost, which</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the Company’s accounts receivable and contract assets. This updated standard will be effective for annual reporting periods beginning after December 15, 2022. The Company has completed evaluating the impact the adoption of this standard will have on its financial statements and has concluded the impact will not be material to the consolidated financial statements.</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In October 2021, the FASB issued ASU No. 2021-08, </w:t>
      </w:r>
      <w:r>
        <w:rPr>
          <w:rFonts w:ascii="Arial" w:cs="Arial" w:eastAsia="Arial" w:hAnsi="Arial"/>
          <w:sz w:val="18"/>
          <w:szCs w:val="18"/>
          <w:i w:val="1"/>
          <w:iCs w:val="1"/>
          <w:color w:val="auto"/>
        </w:rPr>
        <w:t>Accounting for Contract Assets and Contract Liabilities from Contracts with Customers</w:t>
      </w:r>
      <w:r>
        <w:rPr>
          <w:rFonts w:ascii="Arial" w:cs="Arial" w:eastAsia="Arial" w:hAnsi="Arial"/>
          <w:sz w:val="18"/>
          <w:szCs w:val="18"/>
          <w:color w:val="auto"/>
        </w:rPr>
        <w:t xml:space="preserve"> (Topic 606) (“ASU 2021-08”), which amends the guidance in ASC 805 to require that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acquirer recognize and measure contract assets and contract liabilities acquired in a business combination in accordance with Topic 606. The FASB’s objective in issuing the ASU is to improve the accounting for acquired revenue contracts with customers in a business combination by addressing diversity and inconsistency related to both the recognition of an acquired contract liability and payments terms’ effects on subsequent revenue recognized by the acquirer. This updated standard is effective for annual reporting periods beginning after December 15, 2022. The impact of adoption is unknown as it will be based on any potential acquisitions consummated in the year of adoption.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During 2021, the Company completed five business acquisitions in conjunction with the execution of its long-term plans and objectives in building a service commerce platform supporting the success of SMBs. All of the acquisitions qualified as business combinations under ASC Topic 805,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w:t>
      </w:r>
      <w:r>
        <w:rPr>
          <w:rFonts w:ascii="Arial" w:cs="Arial" w:eastAsia="Arial" w:hAnsi="Arial"/>
          <w:sz w:val="18"/>
          <w:szCs w:val="18"/>
          <w:color w:val="auto"/>
        </w:rPr>
        <w:t>(“ASC 805”). Accordingly, the Company recorded all assets acquired and liabilities assumed at their acquisition date fair values, with any</w:t>
      </w:r>
      <w:r>
        <w:rPr>
          <w:rFonts w:ascii="Arial" w:cs="Arial" w:eastAsia="Arial" w:hAnsi="Arial"/>
          <w:sz w:val="18"/>
          <w:szCs w:val="18"/>
          <w:i w:val="1"/>
          <w:iCs w:val="1"/>
          <w:color w:val="auto"/>
        </w:rPr>
        <w:t xml:space="preserve"> </w:t>
      </w:r>
      <w:r>
        <w:rPr>
          <w:rFonts w:ascii="Arial" w:cs="Arial" w:eastAsia="Arial" w:hAnsi="Arial"/>
          <w:sz w:val="18"/>
          <w:szCs w:val="18"/>
          <w:color w:val="auto"/>
        </w:rPr>
        <w:t>excess consideration recognized as goodwill. Goodwill primarily represents the value associated with the assembled workforce, and expected synergies subsumed into goodwill.</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Assets acquired and liabilities assumed in connection with each acquisition have been recorded at their fair values. Fair values were determined by management using the assistance of third-party valuation specialists. The valuation methods used to determine the fair value of intangible assets included the income approach—relief from royalty method for developed technology and trade name, the income approach—excess earnings method for customer relationships and the comparative business valuation method for non-compete agreements. A number of assumptions and estimates were involved in the application of these valuation methods, including revenue forecasts, expected competition, costs of revenues, obsolescence, tax rates, capital spending, discount rates and working capital changes. Cash flow forecasts were generally based on pre-acquisition forecasts coupled with estimated revenues and cost synergies available to a market participant.</w:t>
      </w:r>
    </w:p>
    <w:p>
      <w:pPr>
        <w:spacing w:after="0" w:line="1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consolidated statements of operations and comprehensive loss include $8.4 million of acquisition related transaction costs in general and administrative for acquisitions consummated in 2021. For the year ended December 31, 2021 the Company recognized revenue of $21.6 million related to acquisitions consummated in 2021.</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Each acquisition allows for an adjustment to the purchase price to be made subsequent to the transaction closing date based on the actual amount of working capital and cash delivered to the Company. The consideration paid and purchase price allocations disclosed reflect the effects of these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estimated fair values of consideration transferred, assets acquired and liabilities assumed for each acquisition in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Briostack</w:t>
            </w:r>
          </w:p>
        </w:tc>
        <w:tc>
          <w:tcPr>
            <w:tcW w:w="20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PulseM</w:t>
            </w:r>
          </w:p>
        </w:tc>
        <w:tc>
          <w:tcPr>
            <w:tcW w:w="180" w:type="dxa"/>
            <w:vAlign w:val="bottom"/>
          </w:tcPr>
          <w:p>
            <w:pPr>
              <w:spacing w:after="0"/>
              <w:rPr>
                <w:sz w:val="20"/>
                <w:szCs w:val="20"/>
                <w:color w:val="auto"/>
              </w:rPr>
            </w:pPr>
          </w:p>
        </w:tc>
        <w:tc>
          <w:tcPr>
            <w:tcW w:w="1040" w:type="dxa"/>
            <w:vAlign w:val="bottom"/>
            <w:gridSpan w:val="2"/>
          </w:tcPr>
          <w:p>
            <w:pPr>
              <w:ind w:left="60"/>
              <w:spacing w:after="0"/>
              <w:rPr>
                <w:sz w:val="20"/>
                <w:szCs w:val="20"/>
                <w:color w:val="auto"/>
              </w:rPr>
            </w:pPr>
            <w:r>
              <w:rPr>
                <w:rFonts w:ascii="Arial" w:cs="Arial" w:eastAsia="Arial" w:hAnsi="Arial"/>
                <w:sz w:val="18"/>
                <w:szCs w:val="18"/>
                <w:color w:val="auto"/>
              </w:rPr>
              <w:t>MDTech</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Timely</w:t>
            </w:r>
          </w:p>
        </w:tc>
        <w:tc>
          <w:tcPr>
            <w:tcW w:w="16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color w:val="auto"/>
              </w:rPr>
              <w:t>DrChrono</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Total</w:t>
            </w:r>
          </w:p>
        </w:tc>
      </w:tr>
      <w:tr>
        <w:trPr>
          <w:trHeight w:val="27"/>
        </w:trPr>
        <w:tc>
          <w:tcPr>
            <w:tcW w:w="39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80" w:type="dxa"/>
            <w:vAlign w:val="bottom"/>
            <w:gridSpan w:val="5"/>
          </w:tcPr>
          <w:p>
            <w:pPr>
              <w:ind w:left="50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81"/>
        </w:trPr>
        <w:tc>
          <w:tcPr>
            <w:tcW w:w="3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34,441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181,919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366,361</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Rollover equity</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726</w:t>
            </w:r>
          </w:p>
        </w:tc>
      </w:tr>
      <w:tr>
        <w:trPr>
          <w:trHeight w:val="27"/>
        </w:trPr>
        <w:tc>
          <w:tcPr>
            <w:tcW w:w="3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88"/>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99,820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181,919</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367,087</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0"/>
        </w:trPr>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1,417</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receivable, trade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3,965</w:t>
            </w: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Other receivables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222</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665</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Contract assets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1,172</w:t>
            </w: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3,115</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3,362</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222</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20,874</w:t>
            </w: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Intangible—customer relationships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5,830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53,970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105,946</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Intangible—trade name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5,514</w:t>
            </w: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Intangible—non-compete agreements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28,274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126,947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255,723</w:t>
            </w: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Deferred tax asset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3,400</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(2,086)</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(2,784)</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expenses and other</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(4,309)</w:t>
            </w:r>
          </w:p>
        </w:tc>
      </w:tr>
      <w:tr>
        <w:trPr>
          <w:trHeight w:val="243"/>
        </w:trPr>
        <w:tc>
          <w:tcPr>
            <w:tcW w:w="3980" w:type="dxa"/>
            <w:vAlign w:val="bottom"/>
          </w:tcPr>
          <w:p>
            <w:pPr>
              <w:ind w:left="140"/>
              <w:spacing w:after="0"/>
              <w:rPr>
                <w:sz w:val="20"/>
                <w:szCs w:val="20"/>
                <w:color w:val="auto"/>
              </w:rPr>
            </w:pPr>
            <w:r>
              <w:rPr>
                <w:rFonts w:ascii="Arial" w:cs="Arial" w:eastAsia="Arial" w:hAnsi="Arial"/>
                <w:sz w:val="18"/>
                <w:szCs w:val="18"/>
                <w:color w:val="auto"/>
              </w:rPr>
              <w:t>Deferred tax liability</w:t>
            </w:r>
          </w:p>
        </w:tc>
        <w:tc>
          <w:tcPr>
            <w:tcW w:w="160" w:type="dxa"/>
            <w:vAlign w:val="bottom"/>
          </w:tcPr>
          <w:p>
            <w:pPr>
              <w:spacing w:after="0"/>
              <w:rPr>
                <w:sz w:val="21"/>
                <w:szCs w:val="21"/>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(10,740)</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(24,741)</w:t>
            </w:r>
          </w:p>
        </w:tc>
      </w:tr>
      <w:tr>
        <w:trPr>
          <w:trHeight w:val="27"/>
        </w:trPr>
        <w:tc>
          <w:tcPr>
            <w:tcW w:w="3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3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(773)</w:t>
            </w:r>
          </w:p>
        </w:tc>
      </w:tr>
      <w:tr>
        <w:trPr>
          <w:trHeight w:val="264"/>
        </w:trPr>
        <w:tc>
          <w:tcPr>
            <w:tcW w:w="3980" w:type="dxa"/>
            <w:vAlign w:val="bottom"/>
          </w:tcPr>
          <w:p>
            <w:pPr>
              <w:ind w:left="240"/>
              <w:spacing w:after="0"/>
              <w:rPr>
                <w:sz w:val="20"/>
                <w:szCs w:val="20"/>
                <w:color w:val="auto"/>
              </w:rPr>
            </w:pPr>
            <w:r>
              <w:rPr>
                <w:rFonts w:ascii="Arial" w:cs="Arial" w:eastAsia="Arial" w:hAnsi="Arial"/>
                <w:sz w:val="18"/>
                <w:szCs w:val="18"/>
                <w:color w:val="auto"/>
              </w:rPr>
              <w:t>Total net assets acquired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35,167</w:t>
            </w: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34,430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15,751</w:t>
            </w:r>
          </w:p>
        </w:tc>
        <w:tc>
          <w:tcPr>
            <w:tcW w:w="8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181,919</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367,087</w:t>
            </w:r>
          </w:p>
        </w:tc>
      </w:tr>
      <w:tr>
        <w:trPr>
          <w:trHeight w:val="20"/>
        </w:trPr>
        <w:tc>
          <w:tcPr>
            <w:tcW w:w="3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Briostack</w:t>
      </w:r>
    </w:p>
    <w:p>
      <w:pPr>
        <w:spacing w:after="0" w:line="18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On January 19, 2021, the Company acquired 100% of the interest of Briostack LLC dba Briostack (“Briostack”), a provider of operational management software to pest control businesses, for $35.2 million. Under the terms of the purchase agreement, certain members of Briostack received 45,454 shares of common stock rollover equity. The Company assessed the fair value of the shares at $0.7 million by applying a market approach. The fair value of the rollover equity is reflected in the total consideration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PulseM</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17, 2021, the Company acquired 100% of the interest of Speetra, Inc. dba PulseM (“PulseM”), a provider of enterprise-level reputation management software for small businesses, for $34.4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MDTech</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July 8, 2021, the Company acquired 100% of the interest of PM Ventures, LLC dba MDTech (“MDTech”), a provider of electronic charge capture solutions to physicians via its SaaS-based MD Coder application and suite of</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04" w:name="page105"/>
    <w:bookmarkEnd w:id="104"/>
    <w:p>
      <w:pPr>
        <w:jc w:val="center"/>
        <w:ind w:right="-19"/>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add-ons, for $15.8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Timely</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July 8, 2021, the Company acquired 100% of the interest of Timely Ltd. (“Timely”), a booking and Business Management Software company, for $99.8 million. Timely is based in New Zealand and has operations in the United Kingdom and Australia, as well.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DrChrono</w:t>
      </w:r>
    </w:p>
    <w:p>
      <w:pPr>
        <w:spacing w:after="0" w:line="17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November 18, 2021, the Company acquired 100% of the interest of DrChrono Inc. (“DrChrono”), an electronic health record and practice management provider, for $181.9 million.</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 respect to total goodwill recognized for the business acquisitions consummated during the year ended December 31, 2021, the Company expects that $36.1 million of goodwill will be deductible for income tax purposes.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Acquisitions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2020, the Company completed nine business acquisitions in conjunction with the execution of its long-term plans and objectives in building a service commerce platform supporting the success of SMBs. All of the acquisitions qualified as business combinations under ASC 805. Accordingly, the Company recorded all assets acquired and liabilities assumed at their acquisition date fair values, with any excess consideration recognized as goodwill. Goodwill primarily represents the value associated with the assembled workforce, and expected synergies subsumed into goodwill.</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Assets acquired and liabilities assumed in connection with each acquisition have been recorded at their fair values. Fair values were determined by management using the assistance of third-party valuation specialists. The valuation methods used to determine the fair value of intangible assets included the income approach—relief from royalty method for developed technology and trade name, the income approach— excess earnings method for customer relationships including government contracts and the comparative business valuation method for non-compete agreements. A Monte Carlo simulation was used as the valuation method to determine the fair value of earnout liabilities. A number of assumptions and estimates were involved in the application of these valuation methods, including revenue forecasts, expected competition, costs of revenues, obsolescence, tax rates, capital spending, discount rates and working capital changes. Cash flow forecasts were generally based on pre-acquisition forecasts coupled with estimated revenues and cost synergies available to a market participant.</w:t>
      </w:r>
    </w:p>
    <w:p>
      <w:pPr>
        <w:spacing w:after="0" w:line="14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consolidated statements of operations and comprehensive loss include $15.5 million of acquisition related transaction costs within general and administrative for acquisitions consummated in 2020. For the year ended December 31, 2020 the Company recognized revenue of $62.3 million related to acquisitions consummated in 2020.</w:t>
      </w:r>
    </w:p>
    <w:p>
      <w:pPr>
        <w:spacing w:after="0" w:line="155" w:lineRule="exact"/>
        <w:rPr>
          <w:sz w:val="20"/>
          <w:szCs w:val="20"/>
          <w:color w:val="auto"/>
        </w:rPr>
      </w:pPr>
    </w:p>
    <w:p>
      <w:pPr>
        <w:jc w:val="both"/>
        <w:spacing w:after="0" w:line="324" w:lineRule="auto"/>
        <w:rPr>
          <w:sz w:val="20"/>
          <w:szCs w:val="20"/>
          <w:color w:val="auto"/>
        </w:rPr>
      </w:pPr>
      <w:r>
        <w:rPr>
          <w:rFonts w:ascii="Arial" w:cs="Arial" w:eastAsia="Arial" w:hAnsi="Arial"/>
          <w:sz w:val="16"/>
          <w:szCs w:val="16"/>
          <w:color w:val="auto"/>
        </w:rPr>
        <w:t>Each acquisition allows for an adjustment to the purchase price to be made subsequent to the transaction closing date based on the actual amount of working capital and cash delivered to the Company. The consideration paid and purchase price allocations disclosed reflect the effects of these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estimated fair values of consideration transferred, assets acquired and liabilities assumed for each acquisition in 2020:</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Remodeling</w:t>
            </w:r>
          </w:p>
        </w:tc>
        <w:tc>
          <w:tcPr>
            <w:tcW w:w="300" w:type="dxa"/>
            <w:vAlign w:val="bottom"/>
          </w:tcPr>
          <w:p>
            <w:pPr>
              <w:spacing w:after="0"/>
              <w:rPr>
                <w:sz w:val="20"/>
                <w:szCs w:val="20"/>
                <w:color w:val="auto"/>
              </w:rPr>
            </w:pPr>
          </w:p>
        </w:tc>
        <w:tc>
          <w:tcPr>
            <w:tcW w:w="1220" w:type="dxa"/>
            <w:vAlign w:val="bottom"/>
            <w:gridSpan w:val="2"/>
          </w:tcPr>
          <w:p>
            <w:pPr>
              <w:ind w:left="200"/>
              <w:spacing w:after="0"/>
              <w:rPr>
                <w:sz w:val="20"/>
                <w:szCs w:val="20"/>
                <w:color w:val="auto"/>
              </w:rPr>
            </w:pPr>
            <w:r>
              <w:rPr>
                <w:rFonts w:ascii="Arial" w:cs="Arial" w:eastAsia="Arial" w:hAnsi="Arial"/>
                <w:sz w:val="18"/>
                <w:szCs w:val="18"/>
                <w:color w:val="auto"/>
              </w:rPr>
              <w:t>Qiigo</w:t>
            </w: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color w:val="auto"/>
              </w:rPr>
              <w:t>AlertMD</w:t>
            </w:r>
          </w:p>
        </w:tc>
        <w:tc>
          <w:tcPr>
            <w:tcW w:w="14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color w:val="auto"/>
                <w:w w:val="93"/>
              </w:rPr>
              <w:t>Invoice Simple</w:t>
            </w:r>
          </w:p>
        </w:tc>
      </w:tr>
      <w:tr>
        <w:trPr>
          <w:trHeight w:val="27"/>
        </w:trPr>
        <w:tc>
          <w:tcPr>
            <w:tcW w:w="5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60" w:type="dxa"/>
            <w:vAlign w:val="bottom"/>
            <w:gridSpan w:val="5"/>
          </w:tcPr>
          <w:p>
            <w:pPr>
              <w:ind w:left="660"/>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81"/>
        </w:trPr>
        <w:tc>
          <w:tcPr>
            <w:tcW w:w="5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25,909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32,507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Rollover equity</w:t>
            </w:r>
          </w:p>
        </w:tc>
        <w:tc>
          <w:tcPr>
            <w:tcW w:w="1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earnout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200" w:type="dxa"/>
            <w:vAlign w:val="bottom"/>
          </w:tcPr>
          <w:p>
            <w:pPr>
              <w:ind w:left="140"/>
              <w:spacing w:after="0"/>
              <w:rPr>
                <w:sz w:val="20"/>
                <w:szCs w:val="20"/>
                <w:color w:val="auto"/>
              </w:rPr>
            </w:pPr>
            <w:r>
              <w:rPr>
                <w:rFonts w:ascii="Arial" w:cs="Arial" w:eastAsia="Arial" w:hAnsi="Arial"/>
                <w:sz w:val="18"/>
                <w:szCs w:val="18"/>
                <w:color w:val="auto"/>
              </w:rPr>
              <w:t>Total consideration</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28,364</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22,183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21,853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Accounts receivable, trade</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Contract assets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Intangible—developed technology</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2,120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1,530</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Intangible—customer relationships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17,970</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Intangible—trade name</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Intangible—non-compete agreements</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12,843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18,474</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asset, net</w:t>
            </w: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(498)</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Accrued expenses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Customer deposits</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(1,229)</w:t>
            </w:r>
          </w:p>
        </w:tc>
      </w:tr>
      <w:tr>
        <w:trPr>
          <w:trHeight w:val="27"/>
        </w:trPr>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liability, net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(5,360)</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89"/>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28,364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22,183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21,853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Brighter Vision</w:t>
            </w:r>
          </w:p>
        </w:tc>
        <w:tc>
          <w:tcPr>
            <w:tcW w:w="30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Socius</w:t>
            </w:r>
          </w:p>
        </w:tc>
        <w:tc>
          <w:tcPr>
            <w:tcW w:w="14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color w:val="auto"/>
              </w:rPr>
              <w:t>Service Fusion</w:t>
            </w:r>
          </w:p>
        </w:tc>
        <w:tc>
          <w:tcPr>
            <w:tcW w:w="200" w:type="dxa"/>
            <w:vAlign w:val="bottom"/>
          </w:tcPr>
          <w:p>
            <w:pPr>
              <w:spacing w:after="0"/>
              <w:rPr>
                <w:sz w:val="20"/>
                <w:szCs w:val="20"/>
                <w:color w:val="auto"/>
              </w:rPr>
            </w:pPr>
          </w:p>
        </w:tc>
        <w:tc>
          <w:tcPr>
            <w:tcW w:w="1240" w:type="dxa"/>
            <w:vAlign w:val="bottom"/>
          </w:tcPr>
          <w:p>
            <w:pPr>
              <w:jc w:val="right"/>
              <w:ind w:right="210"/>
              <w:spacing w:after="0"/>
              <w:rPr>
                <w:sz w:val="20"/>
                <w:szCs w:val="20"/>
                <w:color w:val="auto"/>
              </w:rPr>
            </w:pPr>
            <w:r>
              <w:rPr>
                <w:rFonts w:ascii="Arial" w:cs="Arial" w:eastAsia="Arial" w:hAnsi="Arial"/>
                <w:sz w:val="18"/>
                <w:szCs w:val="18"/>
                <w:color w:val="auto"/>
              </w:rPr>
              <w:t>My PT Hub</w:t>
            </w:r>
          </w:p>
        </w:tc>
      </w:tr>
      <w:tr>
        <w:trPr>
          <w:trHeight w:val="27"/>
        </w:trPr>
        <w:tc>
          <w:tcPr>
            <w:tcW w:w="5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5"/>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780" w:type="dxa"/>
            <w:vAlign w:val="bottom"/>
            <w:gridSpan w:val="5"/>
          </w:tcPr>
          <w:p>
            <w:pPr>
              <w:ind w:left="680"/>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81"/>
        </w:trPr>
        <w:tc>
          <w:tcPr>
            <w:tcW w:w="5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40" w:type="dxa"/>
            <w:vAlign w:val="bottom"/>
          </w:tcPr>
          <w:p>
            <w:pPr>
              <w:spacing w:after="0"/>
              <w:rPr>
                <w:sz w:val="7"/>
                <w:szCs w:val="7"/>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122,333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10,681</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Rollover equity</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earnout</w:t>
            </w:r>
          </w:p>
        </w:tc>
        <w:tc>
          <w:tcPr>
            <w:tcW w:w="1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1,016</w:t>
            </w:r>
          </w:p>
        </w:tc>
      </w:tr>
      <w:tr>
        <w:trPr>
          <w:trHeight w:val="263"/>
        </w:trPr>
        <w:tc>
          <w:tcPr>
            <w:tcW w:w="5200" w:type="dxa"/>
            <w:vAlign w:val="bottom"/>
          </w:tcPr>
          <w:p>
            <w:pPr>
              <w:ind w:left="140"/>
              <w:spacing w:after="0"/>
              <w:rPr>
                <w:sz w:val="20"/>
                <w:szCs w:val="20"/>
                <w:color w:val="auto"/>
              </w:rPr>
            </w:pPr>
            <w:r>
              <w:rPr>
                <w:rFonts w:ascii="Arial" w:cs="Arial" w:eastAsia="Arial" w:hAnsi="Arial"/>
                <w:sz w:val="18"/>
                <w:szCs w:val="18"/>
                <w:color w:val="auto"/>
              </w:rPr>
              <w:t>Total consideration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17,477</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122,333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83"/>
        </w:trPr>
        <w:tc>
          <w:tcPr>
            <w:tcW w:w="5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Accounts receivable, trade</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Intangible—developed technology</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Intangible—customer relationships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1,918</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Intangible—trade name</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Intangible—non-compete agreements</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9,110</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Accrued expenses and other</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7"/>
        </w:trPr>
        <w:tc>
          <w:tcPr>
            <w:tcW w:w="5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liability, net</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r>
      <w:tr>
        <w:trPr>
          <w:trHeight w:val="243"/>
        </w:trPr>
        <w:tc>
          <w:tcPr>
            <w:tcW w:w="5200" w:type="dxa"/>
            <w:vAlign w:val="bottom"/>
          </w:tcPr>
          <w:p>
            <w:pPr>
              <w:ind w:left="14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88"/>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net assets acquired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17,477</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122,333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Updox</w:t>
            </w: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Other</w:t>
            </w: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Total</w:t>
            </w:r>
          </w:p>
        </w:tc>
      </w:tr>
      <w:tr>
        <w:trPr>
          <w:trHeight w:val="27"/>
        </w:trPr>
        <w:tc>
          <w:tcPr>
            <w:tcW w:w="67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1"/>
              </w:rPr>
              <w:t>(in thousands)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81"/>
        </w:trPr>
        <w:tc>
          <w:tcPr>
            <w:tcW w:w="67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142,527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410,479</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Rollover equity</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1,319</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earnout</w:t>
            </w:r>
          </w:p>
        </w:tc>
        <w:tc>
          <w:tcPr>
            <w:tcW w:w="3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w:t>
            </w:r>
          </w:p>
        </w:tc>
      </w:tr>
      <w:tr>
        <w:trPr>
          <w:trHeight w:val="263"/>
        </w:trPr>
        <w:tc>
          <w:tcPr>
            <w:tcW w:w="6720" w:type="dxa"/>
            <w:vAlign w:val="bottom"/>
          </w:tcPr>
          <w:p>
            <w:pPr>
              <w:ind w:left="140"/>
              <w:spacing w:after="0"/>
              <w:rPr>
                <w:sz w:val="20"/>
                <w:szCs w:val="20"/>
                <w:color w:val="auto"/>
              </w:rPr>
            </w:pPr>
            <w:r>
              <w:rPr>
                <w:rFonts w:ascii="Arial" w:cs="Arial" w:eastAsia="Arial" w:hAnsi="Arial"/>
                <w:sz w:val="18"/>
                <w:szCs w:val="18"/>
                <w:color w:val="auto"/>
              </w:rPr>
              <w:t>Total consideration</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415,269</w:t>
            </w: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69"/>
        </w:trPr>
        <w:tc>
          <w:tcPr>
            <w:tcW w:w="67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7,248</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Accounts receivable, trade</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6,856</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receivables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Contract assets</w:t>
            </w: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334</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Property and equipment</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2,441</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Intangible—developed technology</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20,557</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Intangible—customer relationships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145,820</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Intangible—trade name</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6,672</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Intangible—non-compete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240,755</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tax asset, net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(3,926)</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Accrued expenses and other</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(4,468)</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Customer deposits</w:t>
            </w: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43"/>
        </w:trPr>
        <w:tc>
          <w:tcPr>
            <w:tcW w:w="6720" w:type="dxa"/>
            <w:vAlign w:val="bottom"/>
          </w:tcPr>
          <w:p>
            <w:pPr>
              <w:ind w:left="140"/>
              <w:spacing w:after="0"/>
              <w:rPr>
                <w:sz w:val="20"/>
                <w:szCs w:val="20"/>
                <w:color w:val="auto"/>
              </w:rPr>
            </w:pPr>
            <w:r>
              <w:rPr>
                <w:rFonts w:ascii="Arial" w:cs="Arial" w:eastAsia="Arial" w:hAnsi="Arial"/>
                <w:sz w:val="18"/>
                <w:szCs w:val="18"/>
                <w:color w:val="auto"/>
              </w:rPr>
              <w:t>Deferred tax liability, net</w:t>
            </w:r>
          </w:p>
        </w:tc>
        <w:tc>
          <w:tcPr>
            <w:tcW w:w="30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(9,344)</w:t>
            </w:r>
          </w:p>
        </w:tc>
      </w:tr>
      <w:tr>
        <w:trPr>
          <w:trHeight w:val="27"/>
        </w:trPr>
        <w:tc>
          <w:tcPr>
            <w:tcW w:w="6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w:t>
            </w:r>
          </w:p>
        </w:tc>
      </w:tr>
      <w:tr>
        <w:trPr>
          <w:trHeight w:val="264"/>
        </w:trPr>
        <w:tc>
          <w:tcPr>
            <w:tcW w:w="6720" w:type="dxa"/>
            <w:vAlign w:val="bottom"/>
          </w:tcPr>
          <w:p>
            <w:pPr>
              <w:ind w:left="240"/>
              <w:spacing w:after="0"/>
              <w:rPr>
                <w:sz w:val="20"/>
                <w:szCs w:val="20"/>
                <w:color w:val="auto"/>
              </w:rPr>
            </w:pPr>
            <w:r>
              <w:rPr>
                <w:rFonts w:ascii="Arial" w:cs="Arial" w:eastAsia="Arial" w:hAnsi="Arial"/>
                <w:sz w:val="18"/>
                <w:szCs w:val="18"/>
                <w:color w:val="auto"/>
              </w:rPr>
              <w:t>Total net assets acquired</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143,100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415,269</w:t>
            </w:r>
          </w:p>
        </w:tc>
      </w:tr>
      <w:tr>
        <w:trPr>
          <w:trHeight w:val="20"/>
        </w:trPr>
        <w:tc>
          <w:tcPr>
            <w:tcW w:w="6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Remodeling</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6, 2020, the Company acquired 100% of the interest of Azar, LLC and Alnashmi for Digital Marketing, LLC (“Remodeling”), an online platform that connects homeowners with home improvement companies, for $28.4 million.</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the terms of the purchase agreement, the Company was required to pay the seller an earnout based on achieving $6.6 million and $5.0 million of total revenue during calendar years ended 2021 and 2020, respectively. The earnout amount would have been $2.0 million per year, if the target was met; no consideration would have been paid if the target was not met. At the acquisition date, the Company determined the fair value of the earnout to be $2.5 million and included the amount in the total consideration above. The 2020 earnout target was met and the earnout of $2.0 million was paid in 2021. At December 31, 2021, the Company concluded that the 2021 earnout target was not met and released the remaining liability with a corresponding gain of $0.5 million recorded in general and administrative on the consolidated statements of operations and comprehensive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Qiigo</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16, 2020, the Company acquired 100% of the interest of Qiigo, LLC (“Qiigo”), a local marketing agent that builds brand unity and helps national brands and their franchises boost their qualified leads, for $22.2 million.</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Under the terms of the purchase agreement, certain members of Qiigo received 127,249 shares of common stock rollover equity. The Company assessed the fair value of the shares at $0.6 million by applying a market approach. The fair value of the rollover equity is reflected in the total consideration above.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AlertMD</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24, 2020, the Company acquired certain assets and liabilities of Rulester, LLC dba AlertMD, LLC and ChargeMD, LLC (“AlertMD”), a provider of SaaS-based back-office, patient care coordination and front-office solutions, for $21.9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Invoice Simple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April 17, 2020, the Company acquired 100% of the interest of Zenvoice Inc. dba Invoice Simple (“Invoice Simple”), a provider of invoicing and estimation software platform for independent contracts, freelancers and business owners, for $32.5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Brighter Vision</w:t>
      </w:r>
    </w:p>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August 21, 2020, the Company acquired 100% of the interest of Brighter Vision Web Solutions, Inc. (“Brighter Vision”), a provider of offerings of custom-built websites and marketing solutions to therapists in the behavioral health sector, for $17.5 million. Under the terms of the purchase agreement, certain members of Brighter Vision received 21,892 shares of common stock rollover equity. The Company assessed the fair value of the shares at $0.1 million by applying a market approach. The fair value of the rollover equity is reflected in the total consideration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Socius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16, 2020, the Company acquired 100% of the interest of Socius Marketing, Inc. (“Socius”), a provider of full service internet marketing that specializes in content design, website development and search engine optimization, for $15.7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Fusion</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17, 2020, the Company acquired 100% of the interest of FSM Technologies, LLC (“Service Fusion”), a provider of an end-to-end field service management SaaS platform, for $122.3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My PT Hub</w:t>
      </w:r>
    </w:p>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18, 2020, the Company acquired 100% of the interest of Fitii, Limited and Fitii LLC (collectively “My PT Hub”), a provider of software that enables gym and health club customers to improve monthly collections, generate new business, enhance member engagement, increase retention and automate business processes, for $11.7 million.</w:t>
      </w:r>
    </w:p>
    <w:p>
      <w:pPr>
        <w:spacing w:after="0" w:line="18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terms of the purchase agreement, the Company was required to pay the seller an earnout based on achieving $4.6 million of total revenue during calendar year end 2021. The earnout amount would have been $1.0 million, if the target was met; no consideration would have been paid if the target was not met. At the acquisition date, the Company determined the fair value of the earnout to be $1.0 million and included the amount in the total consideration above. At December 31, 2021, the Company concluded that the earnout target was not met and released the remaining liability with a corresponding gain of $1.0 million recorded in general and administrative on the consolidated statements of operations and comprehensive loss.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Updox</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December 16, 2020, the Company acquired 100% of the interest of Updox, LLC (“Updox”), a provider of a healthcare customer relationship management solution, for $143.1 million. Under the terms of the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agreement, certain members of Updox received 72,896 shares of common stock rollover equity. The Company assessed the fair value of the shares at $0.6 million by applying a market approach. The fair value of the rollover equity is reflected in the total consideration above.</w:t>
      </w:r>
    </w:p>
    <w:p>
      <w:pPr>
        <w:spacing w:after="0" w:line="17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With respect to total goodwill recognized for the business acquisitions consummated during the year ended December 31, 2020, the Company expects that $167.1 million of goodwill with be deductible for income tax purposes.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 of Acquisitions (unaudited)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table presents unaudited pro forma consolidated results of operations for the years ended December 31, 2021 and 2020 as if the aforementioned 2021 and 2020 acquisitions had occurred as of January 1, 2020. The pro forma information includes the business combination accounting effects resulting from these acquisitions, including interest expense of $17.1 million and $48.3 million for the years ended December 31, 2021 and 2020, respectively, to account for funds borrowed earlier, issuance of our common shares at earlier dates which impacts the calculation of basic and diluted net loss per share, removal of transaction costs of $8.4 million and $15.6 million for the years ended December 31, 2021 and 2020, respectively, and additional amortization of $9.6 million and $24.1 million for the years ended December 31, 2021 and 2020, respectively, resulting from the amortization of intangible assets beginning as of January 1, 2020. We prepared the pro forma financial information for the combined entities for comparative purposes only, and the information is not indicative of what actual results would have been if the acquisitions had occurred at the beginning of the periods presented, nor is the information intended to represent or be indicative of future results of operations.</w:t>
      </w:r>
    </w:p>
    <w:p>
      <w:pPr>
        <w:spacing w:after="0" w:line="231" w:lineRule="exact"/>
        <w:rPr>
          <w:sz w:val="20"/>
          <w:szCs w:val="20"/>
          <w:color w:val="auto"/>
        </w:rPr>
      </w:pPr>
    </w:p>
    <w:p>
      <w:pPr>
        <w:ind w:left="856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34290</wp:posOffset>
            </wp:positionV>
            <wp:extent cx="21685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132320" cy="1885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Adjustments to net loss (see Note 13)</w:t>
      </w:r>
    </w:p>
    <w:p>
      <w:pPr>
        <w:spacing w:after="0" w:line="104"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loss attributable to common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0287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1400" w:type="dxa"/>
            <w:vAlign w:val="bottom"/>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6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34"/>
        </w:trPr>
        <w:tc>
          <w:tcPr>
            <w:tcW w:w="260" w:type="dxa"/>
            <w:vAlign w:val="bottom"/>
          </w:tcPr>
          <w:p>
            <w:pPr>
              <w:spacing w:after="0"/>
              <w:rPr>
                <w:sz w:val="20"/>
                <w:szCs w:val="20"/>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Pro Forma</w:t>
            </w:r>
          </w:p>
        </w:tc>
        <w:tc>
          <w:tcPr>
            <w:tcW w:w="400" w:type="dxa"/>
            <w:vAlign w:val="bottom"/>
          </w:tcPr>
          <w:p>
            <w:pPr>
              <w:spacing w:after="0"/>
              <w:rPr>
                <w:sz w:val="20"/>
                <w:szCs w:val="20"/>
                <w:color w:val="auto"/>
              </w:rPr>
            </w:pPr>
          </w:p>
        </w:tc>
        <w:tc>
          <w:tcPr>
            <w:tcW w:w="1260" w:type="dxa"/>
            <w:vAlign w:val="bottom"/>
          </w:tcPr>
          <w:p>
            <w:pPr>
              <w:jc w:val="right"/>
              <w:ind w:right="310"/>
              <w:spacing w:after="0"/>
              <w:rPr>
                <w:sz w:val="20"/>
                <w:szCs w:val="20"/>
                <w:color w:val="auto"/>
              </w:rPr>
            </w:pPr>
            <w:r>
              <w:rPr>
                <w:rFonts w:ascii="Arial" w:cs="Arial" w:eastAsia="Arial" w:hAnsi="Arial"/>
                <w:sz w:val="18"/>
                <w:szCs w:val="18"/>
                <w:b w:val="1"/>
                <w:bCs w:val="1"/>
                <w:color w:val="auto"/>
                <w:w w:val="93"/>
              </w:rPr>
              <w:t>Pro Forma</w:t>
            </w:r>
          </w:p>
        </w:tc>
      </w:tr>
      <w:tr>
        <w:trPr>
          <w:trHeight w:val="27"/>
        </w:trPr>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1900" w:type="dxa"/>
            <w:vAlign w:val="bottom"/>
            <w:gridSpan w:val="3"/>
          </w:tcPr>
          <w:p>
            <w:pPr>
              <w:jc w:val="center"/>
              <w:ind w:left="930"/>
              <w:spacing w:after="0"/>
              <w:rPr>
                <w:sz w:val="20"/>
                <w:szCs w:val="20"/>
                <w:color w:val="auto"/>
              </w:rPr>
            </w:pPr>
            <w:r>
              <w:rPr>
                <w:rFonts w:ascii="Arial" w:cs="Arial" w:eastAsia="Arial" w:hAnsi="Arial"/>
                <w:sz w:val="18"/>
                <w:szCs w:val="18"/>
                <w:i w:val="1"/>
                <w:iCs w:val="1"/>
                <w:color w:val="auto"/>
                <w:w w:val="92"/>
              </w:rPr>
              <w:t>(unaudited)</w:t>
            </w:r>
          </w:p>
        </w:tc>
        <w:tc>
          <w:tcPr>
            <w:tcW w:w="1260" w:type="dxa"/>
            <w:vAlign w:val="bottom"/>
          </w:tcPr>
          <w:p>
            <w:pPr>
              <w:spacing w:after="0"/>
              <w:rPr>
                <w:sz w:val="20"/>
                <w:szCs w:val="20"/>
                <w:color w:val="auto"/>
              </w:rPr>
            </w:pPr>
          </w:p>
        </w:tc>
      </w:tr>
      <w:tr>
        <w:trPr>
          <w:trHeight w:val="256"/>
        </w:trPr>
        <w:tc>
          <w:tcPr>
            <w:tcW w:w="260" w:type="dxa"/>
            <w:vAlign w:val="bottom"/>
          </w:tcPr>
          <w:p>
            <w:pPr>
              <w:spacing w:after="0"/>
              <w:rPr>
                <w:sz w:val="22"/>
                <w:szCs w:val="22"/>
                <w:color w:val="auto"/>
              </w:rPr>
            </w:pPr>
          </w:p>
        </w:tc>
        <w:tc>
          <w:tcPr>
            <w:tcW w:w="3160" w:type="dxa"/>
            <w:vAlign w:val="bottom"/>
            <w:gridSpan w:val="4"/>
          </w:tcPr>
          <w:p>
            <w:pPr>
              <w:jc w:val="center"/>
              <w:ind w:right="210"/>
              <w:spacing w:after="0"/>
              <w:rPr>
                <w:sz w:val="20"/>
                <w:szCs w:val="20"/>
                <w:color w:val="auto"/>
              </w:rPr>
            </w:pPr>
            <w:r>
              <w:rPr>
                <w:rFonts w:ascii="Arial" w:cs="Arial" w:eastAsia="Arial" w:hAnsi="Arial"/>
                <w:sz w:val="18"/>
                <w:szCs w:val="18"/>
                <w:i w:val="1"/>
                <w:iCs w:val="1"/>
                <w:color w:val="auto"/>
                <w:w w:val="90"/>
              </w:rPr>
              <w:t>(in thousands, except per</w:t>
            </w:r>
          </w:p>
        </w:tc>
      </w:tr>
      <w:tr>
        <w:trPr>
          <w:trHeight w:val="230"/>
        </w:trPr>
        <w:tc>
          <w:tcPr>
            <w:tcW w:w="260" w:type="dxa"/>
            <w:vAlign w:val="bottom"/>
          </w:tcPr>
          <w:p>
            <w:pPr>
              <w:spacing w:after="0"/>
              <w:rPr>
                <w:sz w:val="20"/>
                <w:szCs w:val="20"/>
                <w:color w:val="auto"/>
              </w:rPr>
            </w:pPr>
          </w:p>
        </w:tc>
        <w:tc>
          <w:tcPr>
            <w:tcW w:w="3160" w:type="dxa"/>
            <w:vAlign w:val="bottom"/>
            <w:gridSpan w:val="4"/>
          </w:tcPr>
          <w:p>
            <w:pPr>
              <w:jc w:val="center"/>
              <w:ind w:right="170"/>
              <w:spacing w:after="0"/>
              <w:rPr>
                <w:sz w:val="20"/>
                <w:szCs w:val="20"/>
                <w:color w:val="auto"/>
              </w:rPr>
            </w:pPr>
            <w:r>
              <w:rPr>
                <w:rFonts w:ascii="Arial" w:cs="Arial" w:eastAsia="Arial" w:hAnsi="Arial"/>
                <w:sz w:val="18"/>
                <w:szCs w:val="18"/>
                <w:i w:val="1"/>
                <w:iCs w:val="1"/>
                <w:color w:val="auto"/>
                <w:w w:val="87"/>
              </w:rPr>
              <w:t>share amounts)</w:t>
            </w:r>
          </w:p>
        </w:tc>
      </w:tr>
      <w:tr>
        <w:trPr>
          <w:trHeight w:val="324"/>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536,936</w:t>
            </w:r>
          </w:p>
        </w:tc>
        <w:tc>
          <w:tcPr>
            <w:tcW w:w="10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442,095</w:t>
            </w:r>
          </w:p>
        </w:tc>
      </w:tr>
      <w:tr>
        <w:trPr>
          <w:trHeight w:val="27"/>
        </w:trPr>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(104,218)</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(138,275)</w:t>
            </w:r>
          </w:p>
        </w:tc>
      </w:tr>
      <w:tr>
        <w:trPr>
          <w:trHeight w:val="270"/>
        </w:trPr>
        <w:tc>
          <w:tcPr>
            <w:tcW w:w="2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(15,105)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(67,811)</w:t>
            </w:r>
          </w:p>
        </w:tc>
      </w:tr>
      <w:tr>
        <w:trPr>
          <w:trHeight w:val="27"/>
        </w:trPr>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(119,323)</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(206,086)</w:t>
            </w:r>
          </w:p>
        </w:tc>
      </w:tr>
      <w:tr>
        <w:trPr>
          <w:trHeight w:val="27"/>
        </w:trPr>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
        </w:trPr>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100" w:space="720"/>
            <w:col w:w="3420"/>
          </w:cols>
          <w:pgMar w:left="320" w:top="351" w:right="339" w:bottom="1440" w:gutter="0" w:footer="0" w:header="0"/>
          <w:type w:val="continuous"/>
        </w:sectPr>
      </w:pPr>
    </w:p>
    <w:p>
      <w:pPr>
        <w:ind w:left="20"/>
        <w:spacing w:after="0"/>
        <w:tabs>
          <w:tab w:leader="none" w:pos="7820" w:val="left"/>
          <w:tab w:leader="none" w:pos="9000" w:val="left"/>
          <w:tab w:leader="none" w:pos="9580" w:val="left"/>
          <w:tab w:leader="none" w:pos="10760" w:val="left"/>
        </w:tabs>
        <w:rPr>
          <w:sz w:val="20"/>
          <w:szCs w:val="20"/>
          <w:color w:val="auto"/>
        </w:rPr>
      </w:pPr>
      <w:r>
        <w:rPr>
          <w:rFonts w:ascii="Arial" w:cs="Arial" w:eastAsia="Arial" w:hAnsi="Arial"/>
          <w:sz w:val="18"/>
          <w:szCs w:val="18"/>
          <w:color w:val="auto"/>
        </w:rPr>
        <w:t>Basic and diluted net loss per share attributable to common stockholders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(1.01)</w:t>
        <w:tab/>
        <w:t>$</w:t>
      </w:r>
      <w:r>
        <w:rPr>
          <w:sz w:val="20"/>
          <w:szCs w:val="20"/>
          <w:color w:val="auto"/>
        </w:rPr>
        <w:tab/>
      </w:r>
      <w:r>
        <w:rPr>
          <w:rFonts w:ascii="Arial" w:cs="Arial" w:eastAsia="Arial" w:hAnsi="Arial"/>
          <w:sz w:val="16"/>
          <w:szCs w:val="16"/>
          <w:color w:val="auto"/>
        </w:rPr>
        <w:t>(4.94)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31750</wp:posOffset>
            </wp:positionV>
            <wp:extent cx="2168525" cy="342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16852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a disaggregation of our revenue from contracts with customers by revenue recognition pattern and geographical market:</w:t>
      </w:r>
    </w:p>
    <w:p>
      <w:pPr>
        <w:spacing w:after="0" w:line="287" w:lineRule="exact"/>
        <w:rPr>
          <w:sz w:val="20"/>
          <w:szCs w:val="20"/>
          <w:color w:val="auto"/>
        </w:rPr>
      </w:pPr>
    </w:p>
    <w:p>
      <w:pPr>
        <w:jc w:val="center"/>
        <w:ind w:left="6680"/>
        <w:spacing w:after="0"/>
        <w:rPr>
          <w:sz w:val="20"/>
          <w:szCs w:val="20"/>
          <w:color w:val="auto"/>
        </w:rPr>
      </w:pPr>
      <w:r>
        <w:rPr>
          <w:rFonts w:ascii="Arial" w:cs="Arial" w:eastAsia="Arial" w:hAnsi="Arial"/>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34290</wp:posOffset>
            </wp:positionV>
            <wp:extent cx="28803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57" w:lineRule="exact"/>
        <w:rPr>
          <w:sz w:val="20"/>
          <w:szCs w:val="20"/>
          <w:color w:val="auto"/>
        </w:rPr>
      </w:pPr>
    </w:p>
    <w:p>
      <w:pPr>
        <w:ind w:left="7260"/>
        <w:spacing w:after="0"/>
        <w:tabs>
          <w:tab w:leader="none" w:pos="8780" w:val="left"/>
          <w:tab w:leader="none" w:pos="1032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r>
        <w:rPr>
          <w:sz w:val="20"/>
          <w:szCs w:val="20"/>
          <w:color w:val="auto"/>
        </w:rPr>
        <w:tab/>
      </w:r>
      <w:r>
        <w:rPr>
          <w:rFonts w:ascii="Arial" w:cs="Arial" w:eastAsia="Arial" w:hAnsi="Arial"/>
          <w:sz w:val="16"/>
          <w:szCs w:val="16"/>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34290</wp:posOffset>
            </wp:positionV>
            <wp:extent cx="28803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61" w:lineRule="exact"/>
        <w:rPr>
          <w:sz w:val="20"/>
          <w:szCs w:val="20"/>
          <w:color w:val="auto"/>
        </w:rPr>
      </w:pPr>
    </w:p>
    <w:p>
      <w:pPr>
        <w:ind w:left="846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 pattern of recognition (timing of transfer of services):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6660" w:type="dxa"/>
            <w:vAlign w:val="bottom"/>
          </w:tcPr>
          <w:p>
            <w:pPr>
              <w:ind w:left="140"/>
              <w:spacing w:after="0"/>
              <w:rPr>
                <w:sz w:val="20"/>
                <w:szCs w:val="20"/>
                <w:color w:val="auto"/>
              </w:rPr>
            </w:pPr>
            <w:r>
              <w:rPr>
                <w:rFonts w:ascii="Arial" w:cs="Arial" w:eastAsia="Arial" w:hAnsi="Arial"/>
                <w:sz w:val="18"/>
                <w:szCs w:val="18"/>
                <w:color w:val="auto"/>
              </w:rPr>
              <w:t>Point in time</w:t>
            </w:r>
          </w:p>
        </w:tc>
        <w:tc>
          <w:tcPr>
            <w:tcW w:w="500" w:type="dxa"/>
            <w:vAlign w:val="bottom"/>
            <w:gridSpan w:val="2"/>
          </w:tcPr>
          <w:p>
            <w:pPr>
              <w:ind w:left="60"/>
              <w:spacing w:after="0"/>
              <w:rPr>
                <w:sz w:val="20"/>
                <w:szCs w:val="20"/>
                <w:color w:val="auto"/>
              </w:rPr>
            </w:pPr>
            <w:r>
              <w:rPr>
                <w:rFonts w:ascii="Arial" w:cs="Arial" w:eastAsia="Arial" w:hAnsi="Arial"/>
                <w:sz w:val="20"/>
                <w:szCs w:val="20"/>
                <w:color w:val="auto"/>
              </w:rPr>
              <w:t>$</w:t>
            </w:r>
          </w:p>
        </w:tc>
        <w:tc>
          <w:tcPr>
            <w:tcW w:w="1000" w:type="dxa"/>
            <w:vAlign w:val="bottom"/>
          </w:tcPr>
          <w:p>
            <w:pPr>
              <w:jc w:val="right"/>
              <w:spacing w:after="0"/>
              <w:rPr>
                <w:sz w:val="20"/>
                <w:szCs w:val="20"/>
                <w:color w:val="auto"/>
              </w:rPr>
            </w:pPr>
            <w:r>
              <w:rPr>
                <w:rFonts w:ascii="Arial" w:cs="Arial" w:eastAsia="Arial" w:hAnsi="Arial"/>
                <w:sz w:val="20"/>
                <w:szCs w:val="20"/>
                <w:color w:val="auto"/>
              </w:rPr>
              <w:t>56,056</w:t>
            </w:r>
          </w:p>
        </w:tc>
        <w:tc>
          <w:tcPr>
            <w:tcW w:w="100" w:type="dxa"/>
            <w:vAlign w:val="bottom"/>
          </w:tcPr>
          <w:p>
            <w:pPr>
              <w:spacing w:after="0"/>
              <w:rPr>
                <w:sz w:val="22"/>
                <w:szCs w:val="22"/>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49,338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45,589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Over time</w:t>
            </w: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564,690</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440,801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291,936</w:t>
            </w:r>
          </w:p>
        </w:tc>
        <w:tc>
          <w:tcPr>
            <w:tcW w:w="0" w:type="dxa"/>
            <w:vAlign w:val="bottom"/>
          </w:tcPr>
          <w:p>
            <w:pPr>
              <w:spacing w:after="0"/>
              <w:rPr>
                <w:sz w:val="1"/>
                <w:szCs w:val="1"/>
                <w:color w:val="auto"/>
              </w:rPr>
            </w:pPr>
          </w:p>
        </w:tc>
      </w:tr>
      <w:tr>
        <w:trPr>
          <w:trHeight w:val="263"/>
        </w:trPr>
        <w:tc>
          <w:tcPr>
            <w:tcW w:w="6660" w:type="dxa"/>
            <w:vAlign w:val="bottom"/>
          </w:tcPr>
          <w:p>
            <w:pPr>
              <w:ind w:left="2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620,746</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490,139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337,525</w:t>
            </w:r>
          </w:p>
        </w:tc>
        <w:tc>
          <w:tcPr>
            <w:tcW w:w="0" w:type="dxa"/>
            <w:vAlign w:val="bottom"/>
          </w:tcPr>
          <w:p>
            <w:pPr>
              <w:spacing w:after="0"/>
              <w:rPr>
                <w:sz w:val="1"/>
                <w:szCs w:val="1"/>
                <w:color w:val="auto"/>
              </w:rPr>
            </w:pPr>
          </w:p>
        </w:tc>
      </w:tr>
      <w:tr>
        <w:trPr>
          <w:trHeight w:val="20"/>
        </w:trPr>
        <w:tc>
          <w:tcPr>
            <w:tcW w:w="66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By Geographical Market:</w:t>
            </w:r>
          </w:p>
        </w:tc>
        <w:tc>
          <w:tcPr>
            <w:tcW w:w="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660" w:type="dxa"/>
            <w:vAlign w:val="bottom"/>
          </w:tcPr>
          <w:p>
            <w:pPr>
              <w:ind w:left="140"/>
              <w:spacing w:after="0"/>
              <w:rPr>
                <w:sz w:val="20"/>
                <w:szCs w:val="20"/>
                <w:color w:val="auto"/>
              </w:rPr>
            </w:pPr>
            <w:r>
              <w:rPr>
                <w:rFonts w:ascii="Arial" w:cs="Arial" w:eastAsia="Arial" w:hAnsi="Arial"/>
                <w:sz w:val="18"/>
                <w:szCs w:val="18"/>
                <w:color w:val="auto"/>
              </w:rPr>
              <w:t>United States</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567,041</w:t>
            </w:r>
          </w:p>
        </w:tc>
        <w:tc>
          <w:tcPr>
            <w:tcW w:w="100" w:type="dxa"/>
            <w:vAlign w:val="bottom"/>
          </w:tcPr>
          <w:p>
            <w:pPr>
              <w:spacing w:after="0"/>
              <w:rPr>
                <w:sz w:val="21"/>
                <w:szCs w:val="21"/>
                <w:color w:val="auto"/>
              </w:rPr>
            </w:pPr>
          </w:p>
        </w:tc>
        <w:tc>
          <w:tcPr>
            <w:tcW w:w="660" w:type="dxa"/>
            <w:vAlign w:val="bottom"/>
          </w:tcPr>
          <w:p>
            <w:pPr>
              <w:jc w:val="right"/>
              <w:ind w:right="47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447,232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310,472</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International</w:t>
            </w:r>
          </w:p>
        </w:tc>
        <w:tc>
          <w:tcPr>
            <w:tcW w:w="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53,705</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42,907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27,053</w:t>
            </w:r>
          </w:p>
        </w:tc>
        <w:tc>
          <w:tcPr>
            <w:tcW w:w="0" w:type="dxa"/>
            <w:vAlign w:val="bottom"/>
          </w:tcPr>
          <w:p>
            <w:pPr>
              <w:spacing w:after="0"/>
              <w:rPr>
                <w:sz w:val="1"/>
                <w:szCs w:val="1"/>
                <w:color w:val="auto"/>
              </w:rPr>
            </w:pPr>
          </w:p>
        </w:tc>
      </w:tr>
      <w:tr>
        <w:trPr>
          <w:trHeight w:val="263"/>
        </w:trPr>
        <w:tc>
          <w:tcPr>
            <w:tcW w:w="6660" w:type="dxa"/>
            <w:vAlign w:val="bottom"/>
          </w:tcPr>
          <w:p>
            <w:pPr>
              <w:ind w:left="2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620,746</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490,139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337,525</w:t>
            </w:r>
          </w:p>
        </w:tc>
        <w:tc>
          <w:tcPr>
            <w:tcW w:w="0" w:type="dxa"/>
            <w:vAlign w:val="bottom"/>
          </w:tcPr>
          <w:p>
            <w:pPr>
              <w:spacing w:after="0"/>
              <w:rPr>
                <w:sz w:val="1"/>
                <w:szCs w:val="1"/>
                <w:color w:val="auto"/>
              </w:rPr>
            </w:pPr>
          </w:p>
        </w:tc>
      </w:tr>
      <w:tr>
        <w:trPr>
          <w:trHeight w:val="21"/>
        </w:trPr>
        <w:tc>
          <w:tcPr>
            <w:tcW w:w="6660" w:type="dxa"/>
            <w:vAlign w:val="bottom"/>
            <w:vMerge w:val="restart"/>
          </w:tcPr>
          <w:p>
            <w:pPr>
              <w:spacing w:after="0"/>
              <w:rPr>
                <w:sz w:val="20"/>
                <w:szCs w:val="20"/>
                <w:color w:val="auto"/>
              </w:rPr>
            </w:pPr>
            <w:r>
              <w:rPr>
                <w:rFonts w:ascii="Arial" w:cs="Arial" w:eastAsia="Arial" w:hAnsi="Arial"/>
                <w:sz w:val="18"/>
                <w:szCs w:val="18"/>
                <w:b w:val="1"/>
                <w:bCs w:val="1"/>
                <w:color w:val="auto"/>
              </w:rPr>
              <w:t>Contract Balances</w:t>
            </w: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66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60" w:type="dxa"/>
            <w:vAlign w:val="bottom"/>
          </w:tcPr>
          <w:p>
            <w:pPr>
              <w:spacing w:after="0"/>
              <w:rPr>
                <w:sz w:val="20"/>
                <w:szCs w:val="20"/>
                <w:color w:val="auto"/>
              </w:rPr>
            </w:pPr>
            <w:r>
              <w:rPr>
                <w:rFonts w:ascii="Arial" w:cs="Arial" w:eastAsia="Arial" w:hAnsi="Arial"/>
                <w:sz w:val="18"/>
                <w:szCs w:val="18"/>
                <w:color w:val="auto"/>
                <w:w w:val="92"/>
              </w:rPr>
              <w:t>Supplemental balance sheet information related to contracts from customers is as follows:</w:t>
            </w: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6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gridSpan w:val="3"/>
          </w:tcPr>
          <w:p>
            <w:pPr>
              <w:ind w:left="16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09"/>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jc w:val="right"/>
              <w:ind w:right="850"/>
              <w:spacing w:after="0"/>
              <w:rPr>
                <w:sz w:val="20"/>
                <w:szCs w:val="20"/>
                <w:color w:val="auto"/>
              </w:rPr>
            </w:pPr>
            <w:r>
              <w:rPr>
                <w:rFonts w:ascii="Arial" w:cs="Arial" w:eastAsia="Arial" w:hAnsi="Arial"/>
                <w:sz w:val="18"/>
                <w:szCs w:val="18"/>
                <w:b w:val="1"/>
                <w:bCs w:val="1"/>
                <w:color w:val="auto"/>
                <w:w w:val="89"/>
              </w:rPr>
              <w:t>2021</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3"/>
          </w:tcPr>
          <w:p>
            <w:pPr>
              <w:ind w:left="180"/>
              <w:spacing w:after="0"/>
              <w:rPr>
                <w:sz w:val="20"/>
                <w:szCs w:val="20"/>
                <w:color w:val="auto"/>
              </w:rPr>
            </w:pP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6660" w:type="dxa"/>
            <w:vAlign w:val="bottom"/>
          </w:tcPr>
          <w:p>
            <w:pPr>
              <w:spacing w:after="0"/>
              <w:rPr>
                <w:sz w:val="7"/>
                <w:szCs w:val="7"/>
                <w:color w:val="auto"/>
              </w:rPr>
            </w:pPr>
          </w:p>
        </w:tc>
        <w:tc>
          <w:tcPr>
            <w:tcW w:w="500" w:type="dxa"/>
            <w:vAlign w:val="bottom"/>
            <w:gridSpan w:val="2"/>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receivables</w:t>
            </w:r>
          </w:p>
        </w:tc>
        <w:tc>
          <w:tcPr>
            <w:tcW w:w="5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48,032</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40,514</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Contract assets</w:t>
            </w:r>
          </w:p>
        </w:tc>
        <w:tc>
          <w:tcPr>
            <w:tcW w:w="500" w:type="dxa"/>
            <w:vAlign w:val="bottom"/>
            <w:gridSpan w:val="2"/>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12,971</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11,039</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500" w:type="dxa"/>
            <w:vAlign w:val="bottom"/>
            <w:tcBorders>
              <w:bottom w:val="single" w:sz="8" w:color="CCEEFF"/>
            </w:tcBorders>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22,885</w:t>
            </w:r>
          </w:p>
        </w:tc>
        <w:tc>
          <w:tcPr>
            <w:tcW w:w="78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22,992</w:t>
            </w:r>
          </w:p>
        </w:tc>
        <w:tc>
          <w:tcPr>
            <w:tcW w:w="0" w:type="dxa"/>
            <w:vAlign w:val="bottom"/>
          </w:tcPr>
          <w:p>
            <w:pPr>
              <w:spacing w:after="0"/>
              <w:rPr>
                <w:sz w:val="1"/>
                <w:szCs w:val="1"/>
                <w:color w:val="auto"/>
              </w:rPr>
            </w:pP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Customer deposits</w:t>
            </w:r>
          </w:p>
        </w:tc>
        <w:tc>
          <w:tcPr>
            <w:tcW w:w="500" w:type="dxa"/>
            <w:vAlign w:val="bottom"/>
            <w:gridSpan w:val="2"/>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11,360</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9,828</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deferred revenue</w:t>
            </w:r>
          </w:p>
        </w:tc>
        <w:tc>
          <w:tcPr>
            <w:tcW w:w="5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w:t>
            </w:r>
          </w:p>
        </w:tc>
        <w:tc>
          <w:tcPr>
            <w:tcW w:w="7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2,803</w:t>
            </w:r>
          </w:p>
        </w:tc>
        <w:tc>
          <w:tcPr>
            <w:tcW w:w="0" w:type="dxa"/>
            <w:vAlign w:val="bottom"/>
          </w:tcPr>
          <w:p>
            <w:pPr>
              <w:spacing w:after="0"/>
              <w:rPr>
                <w:sz w:val="1"/>
                <w:szCs w:val="1"/>
                <w:color w:val="auto"/>
              </w:rPr>
            </w:pPr>
          </w:p>
        </w:tc>
      </w:tr>
      <w:tr>
        <w:trPr>
          <w:trHeight w:val="27"/>
        </w:trPr>
        <w:tc>
          <w:tcPr>
            <w:tcW w:w="66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Accounts receivable, net: </w:t>
      </w:r>
      <w:r>
        <w:rPr>
          <w:rFonts w:ascii="Arial" w:cs="Arial" w:eastAsia="Arial" w:hAnsi="Arial"/>
          <w:sz w:val="18"/>
          <w:szCs w:val="18"/>
          <w:color w:val="auto"/>
        </w:rPr>
        <w:t>Accounts receivable represent rights to consideration in exchange for products or services that have been transferred by us, when</w:t>
      </w:r>
      <w:r>
        <w:rPr>
          <w:rFonts w:ascii="Arial" w:cs="Arial" w:eastAsia="Arial" w:hAnsi="Arial"/>
          <w:sz w:val="18"/>
          <w:szCs w:val="18"/>
          <w:i w:val="1"/>
          <w:iCs w:val="1"/>
          <w:color w:val="auto"/>
        </w:rPr>
        <w:t xml:space="preserve"> </w:t>
      </w:r>
      <w:r>
        <w:rPr>
          <w:rFonts w:ascii="Arial" w:cs="Arial" w:eastAsia="Arial" w:hAnsi="Arial"/>
          <w:sz w:val="18"/>
          <w:szCs w:val="18"/>
          <w:color w:val="auto"/>
        </w:rPr>
        <w:t>payment is unconditional and only the passage of time is required before payment is due.</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Contract assets: </w:t>
      </w:r>
      <w:r>
        <w:rPr>
          <w:rFonts w:ascii="Arial" w:cs="Arial" w:eastAsia="Arial" w:hAnsi="Arial"/>
          <w:sz w:val="16"/>
          <w:szCs w:val="16"/>
          <w:color w:val="auto"/>
        </w:rPr>
        <w:t>Contract assets represent rights to consideration in exchange for products or services that have been transferred (i.e.,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or portion of the performance obligation has been satisfied), but payment is conditional on something other than the passage of time. These amounts typically relate to contracts that include on-premise licenses and professional services where the right to payment is not present until completion of the contract or achievement of specified milestones and the fair value of products or services transferred exceed this constraint.</w:t>
      </w:r>
    </w:p>
    <w:p>
      <w:pPr>
        <w:spacing w:after="0" w:line="157" w:lineRule="exact"/>
        <w:rPr>
          <w:sz w:val="20"/>
          <w:szCs w:val="20"/>
          <w:color w:val="auto"/>
        </w:rPr>
      </w:pPr>
    </w:p>
    <w:p>
      <w:pPr>
        <w:jc w:val="both"/>
        <w:spacing w:after="0" w:line="294" w:lineRule="auto"/>
        <w:rPr>
          <w:sz w:val="20"/>
          <w:szCs w:val="20"/>
          <w:color w:val="auto"/>
        </w:rPr>
      </w:pPr>
      <w:r>
        <w:rPr>
          <w:rFonts w:ascii="Arial" w:cs="Arial" w:eastAsia="Arial" w:hAnsi="Arial"/>
          <w:sz w:val="16"/>
          <w:szCs w:val="16"/>
          <w:i w:val="1"/>
          <w:iCs w:val="1"/>
          <w:color w:val="auto"/>
        </w:rPr>
        <w:t>Contract liabilities</w:t>
      </w:r>
      <w:r>
        <w:rPr>
          <w:rFonts w:ascii="Arial" w:cs="Arial" w:eastAsia="Arial" w:hAnsi="Arial"/>
          <w:sz w:val="16"/>
          <w:szCs w:val="16"/>
          <w:color w:val="auto"/>
        </w:rPr>
        <w:t>: Contract liabilities represent our obligation to transfer products or services to a customer for which consideration has been received in</w:t>
      </w:r>
      <w:r>
        <w:rPr>
          <w:rFonts w:ascii="Arial" w:cs="Arial" w:eastAsia="Arial" w:hAnsi="Arial"/>
          <w:sz w:val="16"/>
          <w:szCs w:val="16"/>
          <w:i w:val="1"/>
          <w:iCs w:val="1"/>
          <w:color w:val="auto"/>
        </w:rPr>
        <w:t xml:space="preserve"> </w:t>
      </w:r>
      <w:r>
        <w:rPr>
          <w:rFonts w:ascii="Arial" w:cs="Arial" w:eastAsia="Arial" w:hAnsi="Arial"/>
          <w:sz w:val="16"/>
          <w:szCs w:val="16"/>
          <w:color w:val="auto"/>
        </w:rPr>
        <w:t>advance of the satisfaction of performance obligations. Short-term contract liabilities are included within deferred revenue on the consolidated balance sheets. Long-term contract liabilities are included within other non-current liabilities on the consolidated balance sheets. Revenue recognized from the</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contract liability balance at December 31, 2021 was $23.0 million for the year ended December 31, 2022. Revenue recognized from the contract liability balance at December 31, 2020 was $13.6 million for the year ended December 31, 2021.</w:t>
      </w:r>
    </w:p>
    <w:p>
      <w:pPr>
        <w:spacing w:after="0" w:line="1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Customer deposits</w:t>
      </w:r>
      <w:r>
        <w:rPr>
          <w:rFonts w:ascii="Arial" w:cs="Arial" w:eastAsia="Arial" w:hAnsi="Arial"/>
          <w:sz w:val="18"/>
          <w:szCs w:val="18"/>
          <w:color w:val="auto"/>
        </w:rPr>
        <w:t>: Customer deposits relate to payments received in advance for contracts, which allow the customer to terminate a contract and receive a</w:t>
      </w:r>
      <w:r>
        <w:rPr>
          <w:rFonts w:ascii="Arial" w:cs="Arial" w:eastAsia="Arial" w:hAnsi="Arial"/>
          <w:sz w:val="18"/>
          <w:szCs w:val="18"/>
          <w:i w:val="1"/>
          <w:iCs w:val="1"/>
          <w:color w:val="auto"/>
        </w:rPr>
        <w:t xml:space="preserve"> </w:t>
      </w:r>
      <w:r>
        <w:rPr>
          <w:rFonts w:ascii="Arial" w:cs="Arial" w:eastAsia="Arial" w:hAnsi="Arial"/>
          <w:sz w:val="18"/>
          <w:szCs w:val="18"/>
          <w:color w:val="auto"/>
        </w:rPr>
        <w:t>pro rata refund for the unused portion of payments received to date. In these arrangements, we have concluded there are no enforceable rights and obligations during the period in which the option to cancel is exercisable by the customer and therefore the consideration received is recorded as a customer deposit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Remaining performance obligations represent the transaction price of unsatisfied or partially satisfied performance obligations within contracts with an original expected contract term that is greater than one year for which fulfillment of the contract has started as of the end of the reporting period. Variable consideration accounted for under the variable consideration allocation exception associated with unsatisfied performance obligations or an unsatisfied promise that forms part of a single performance obligation under application of the series guidance have been excluded. Remaining performance obligations generally relate to those which are stand-ready in nature, as found within the subscription and marketing technology solutions revenue streams. The aggregate amount of transaction consideration allocated to remaining performance obligations as of December 31, 2022 was $22.8 million. The Company expects to recognize approximately 59% of its remaining performance obligations as revenue within the next year, 28% of its remaining performance obligations as revenue the subsequent year, 9% of its remaining performance obligations as revenue in the third year, and the remainder during the two-year period thereafter.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to Obtain and Fulfill a Contract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incurs certain costs to obtain contracts, principally sales, third-party commissions and third-party fulfillment fees, which the Company capitalizes when the liability has been incurred if they are (i) incremental costs of obtaining a contract, (ii) expected to be recovered and (iii) have an expected amortization period that is greater than one year (as the Company has elected the practical expedient to expense any costs to obtain a contract when the liability is incurred if the amortization period of such costs would be one year or less).</w:t>
      </w:r>
    </w:p>
    <w:p>
      <w:pPr>
        <w:spacing w:after="0" w:line="187"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Assets resulting from costs to obtain contracts are included within prepaid expenses and other current assets for short-term balances and other non-current assets for long-term balances on the Company’s consolidated balance sheets. The costs to obtain contracts are amortized over five years, which corresponds with the useful life of the related capitalized software. Short-term assets were $6.6 million and $4.8 million at December 31, 2022 and 2021, respectively, and long-term assets were $15.1 million and $11.9 million at December 31, 2022 and 2021, respectively. The Company recorded $4.3 million, $2.9 million and $2.0 million of amortization expense related to assets for the years ended December 31, 2022, 2021 and 2020, respectively, which is included in sales and marketing expense on the consolidated statements of operations and comprehensive loss, as well as $1.7 million, $1.0 million and $0.3 million, respectively, which is included in cost of revenues expense on the consolidated statements of operations and comprehensive loss.</w:t>
      </w:r>
    </w:p>
    <w:p>
      <w:pPr>
        <w:spacing w:after="0" w:line="1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The Company has concluded that there are no other material costs incurred in fulfillment of customer contracts, that are not accounted for under other GAAP, which meet the capitalization criteria under ASC 606 and ASC Topic 340-40, </w:t>
      </w:r>
      <w:r>
        <w:rPr>
          <w:rFonts w:ascii="Arial" w:cs="Arial" w:eastAsia="Arial" w:hAnsi="Arial"/>
          <w:sz w:val="16"/>
          <w:szCs w:val="16"/>
          <w:i w:val="1"/>
          <w:iCs w:val="1"/>
          <w:color w:val="auto"/>
        </w:rPr>
        <w:t>Accounting for Other Assets and Deferred Costs</w:t>
      </w:r>
      <w:r>
        <w:rPr>
          <w:rFonts w:ascii="Arial" w:cs="Arial" w:eastAsia="Arial" w:hAnsi="Arial"/>
          <w:sz w:val="16"/>
          <w:szCs w:val="16"/>
          <w:color w:val="auto"/>
        </w:rPr>
        <w:t xml:space="preserve"> (“ASC 350-40”).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40" w:type="dxa"/>
            <w:vAlign w:val="bottom"/>
          </w:tcPr>
          <w:p>
            <w:pPr>
              <w:spacing w:after="0"/>
              <w:rPr>
                <w:sz w:val="20"/>
                <w:szCs w:val="20"/>
                <w:color w:val="auto"/>
              </w:rPr>
            </w:pPr>
            <w:r>
              <w:rPr>
                <w:rFonts w:ascii="Arial" w:cs="Arial" w:eastAsia="Arial" w:hAnsi="Arial"/>
                <w:sz w:val="18"/>
                <w:szCs w:val="18"/>
                <w:b w:val="1"/>
                <w:bCs w:val="1"/>
                <w:color w:val="auto"/>
              </w:rPr>
              <w:t>Note 5. Goodwill</w:t>
            </w:r>
          </w:p>
        </w:tc>
        <w:tc>
          <w:tcPr>
            <w:tcW w:w="8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32"/>
        </w:trPr>
        <w:tc>
          <w:tcPr>
            <w:tcW w:w="8940" w:type="dxa"/>
            <w:vAlign w:val="bottom"/>
          </w:tcPr>
          <w:p>
            <w:pPr>
              <w:spacing w:after="0"/>
              <w:rPr>
                <w:sz w:val="20"/>
                <w:szCs w:val="20"/>
                <w:color w:val="auto"/>
              </w:rPr>
            </w:pPr>
            <w:r>
              <w:rPr>
                <w:rFonts w:ascii="Arial" w:cs="Arial" w:eastAsia="Arial" w:hAnsi="Arial"/>
                <w:sz w:val="18"/>
                <w:szCs w:val="18"/>
                <w:color w:val="auto"/>
              </w:rPr>
              <w:t>Goodwill consisted of the following as of December 31, 2022 and 2021 (in thousands):</w:t>
            </w:r>
          </w:p>
        </w:tc>
        <w:tc>
          <w:tcPr>
            <w:tcW w:w="8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43"/>
        </w:trPr>
        <w:tc>
          <w:tcPr>
            <w:tcW w:w="89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50"/>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2021</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668,151</w:t>
            </w:r>
          </w:p>
        </w:tc>
      </w:tr>
      <w:tr>
        <w:trPr>
          <w:trHeight w:val="243"/>
        </w:trPr>
        <w:tc>
          <w:tcPr>
            <w:tcW w:w="8940" w:type="dxa"/>
            <w:vAlign w:val="bottom"/>
          </w:tcPr>
          <w:p>
            <w:pPr>
              <w:ind w:left="140"/>
              <w:spacing w:after="0"/>
              <w:rPr>
                <w:sz w:val="20"/>
                <w:szCs w:val="20"/>
                <w:color w:val="auto"/>
              </w:rPr>
            </w:pPr>
            <w:r>
              <w:rPr>
                <w:rFonts w:ascii="Arial" w:cs="Arial" w:eastAsia="Arial" w:hAnsi="Arial"/>
                <w:sz w:val="18"/>
                <w:szCs w:val="18"/>
                <w:color w:val="auto"/>
              </w:rPr>
              <w:t>Additions</w:t>
            </w: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255,723</w:t>
            </w:r>
          </w:p>
        </w:tc>
      </w:tr>
      <w:tr>
        <w:trPr>
          <w:trHeight w:val="27"/>
        </w:trPr>
        <w:tc>
          <w:tcPr>
            <w:tcW w:w="89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8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Measurement period adjustments </w:t>
            </w:r>
            <w:r>
              <w:rPr>
                <w:rFonts w:ascii="Arial" w:cs="Arial" w:eastAsia="Arial" w:hAnsi="Arial"/>
                <w:sz w:val="23"/>
                <w:szCs w:val="23"/>
                <w:color w:val="auto"/>
                <w:vertAlign w:val="superscript"/>
              </w:rPr>
              <w:t>(1)</w:t>
            </w:r>
          </w:p>
        </w:tc>
        <w:tc>
          <w:tcPr>
            <w:tcW w:w="88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r>
      <w:tr>
        <w:trPr>
          <w:trHeight w:val="243"/>
        </w:trPr>
        <w:tc>
          <w:tcPr>
            <w:tcW w:w="8940" w:type="dxa"/>
            <w:vAlign w:val="bottom"/>
          </w:tcPr>
          <w:p>
            <w:pPr>
              <w:ind w:left="140"/>
              <w:spacing w:after="0"/>
              <w:rPr>
                <w:sz w:val="20"/>
                <w:szCs w:val="20"/>
                <w:color w:val="auto"/>
              </w:rPr>
            </w:pPr>
            <w:r>
              <w:rPr>
                <w:rFonts w:ascii="Arial" w:cs="Arial" w:eastAsia="Arial" w:hAnsi="Arial"/>
                <w:sz w:val="18"/>
                <w:szCs w:val="18"/>
                <w:color w:val="auto"/>
              </w:rPr>
              <w:t>Effect of foreign currency exchange rate changes</w:t>
            </w:r>
          </w:p>
        </w:tc>
        <w:tc>
          <w:tcPr>
            <w:tcW w:w="8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(2,751)</w:t>
            </w:r>
          </w:p>
        </w:tc>
      </w:tr>
      <w:tr>
        <w:trPr>
          <w:trHeight w:val="27"/>
        </w:trPr>
        <w:tc>
          <w:tcPr>
            <w:tcW w:w="89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8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8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921,416</w:t>
            </w:r>
          </w:p>
        </w:tc>
      </w:tr>
      <w:tr>
        <w:trPr>
          <w:trHeight w:val="270"/>
        </w:trPr>
        <w:tc>
          <w:tcPr>
            <w:tcW w:w="8940" w:type="dxa"/>
            <w:vAlign w:val="bottom"/>
          </w:tcPr>
          <w:p>
            <w:pPr>
              <w:ind w:left="140"/>
              <w:spacing w:after="0"/>
              <w:rPr>
                <w:sz w:val="20"/>
                <w:szCs w:val="20"/>
                <w:color w:val="auto"/>
              </w:rPr>
            </w:pPr>
            <w:r>
              <w:rPr>
                <w:rFonts w:ascii="Arial" w:cs="Arial" w:eastAsia="Arial" w:hAnsi="Arial"/>
                <w:sz w:val="18"/>
                <w:szCs w:val="18"/>
                <w:color w:val="auto"/>
              </w:rPr>
              <w:t xml:space="preserve">Measurement period adjustments </w:t>
            </w:r>
            <w:r>
              <w:rPr>
                <w:rFonts w:ascii="Arial" w:cs="Arial" w:eastAsia="Arial" w:hAnsi="Arial"/>
                <w:sz w:val="23"/>
                <w:szCs w:val="23"/>
                <w:color w:val="auto"/>
                <w:vertAlign w:val="superscript"/>
              </w:rPr>
              <w:t>(1)</w:t>
            </w:r>
          </w:p>
        </w:tc>
        <w:tc>
          <w:tcPr>
            <w:tcW w:w="88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70"/>
        </w:trPr>
        <w:tc>
          <w:tcPr>
            <w:tcW w:w="89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Effect of foreign currency exchange rate changes</w:t>
            </w:r>
          </w:p>
        </w:tc>
        <w:tc>
          <w:tcPr>
            <w:tcW w:w="8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(6,761)</w:t>
            </w:r>
          </w:p>
        </w:tc>
      </w:tr>
      <w:tr>
        <w:trPr>
          <w:trHeight w:val="263"/>
        </w:trPr>
        <w:tc>
          <w:tcPr>
            <w:tcW w:w="8940" w:type="dxa"/>
            <w:vAlign w:val="bottom"/>
          </w:tcPr>
          <w:p>
            <w:pPr>
              <w:ind w:left="20"/>
              <w:spacing w:after="0"/>
              <w:rPr>
                <w:sz w:val="20"/>
                <w:szCs w:val="20"/>
                <w:color w:val="auto"/>
              </w:rPr>
            </w:pPr>
            <w:r>
              <w:rPr>
                <w:rFonts w:ascii="Arial" w:cs="Arial" w:eastAsia="Arial" w:hAnsi="Arial"/>
                <w:sz w:val="18"/>
                <w:szCs w:val="18"/>
                <w:color w:val="auto"/>
              </w:rPr>
              <w:t>Balance, December 31, 2022</w:t>
            </w:r>
          </w:p>
        </w:tc>
        <w:tc>
          <w:tcPr>
            <w:tcW w:w="88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914,082</w:t>
            </w:r>
          </w:p>
        </w:tc>
      </w:tr>
      <w:tr>
        <w:trPr>
          <w:trHeight w:val="20"/>
        </w:trPr>
        <w:tc>
          <w:tcPr>
            <w:tcW w:w="89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660" w:hanging="328"/>
        <w:spacing w:after="0" w:line="277" w:lineRule="auto"/>
        <w:tabs>
          <w:tab w:leader="none" w:pos="65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$0.6 million and $0.3 million of measurement period adjustments relate to acquisitions consummated during the years ended December 31, 2021 and 2020, respectively.</w:t>
      </w:r>
    </w:p>
    <w:p>
      <w:pPr>
        <w:sectPr>
          <w:pgSz w:w="11900" w:h="16838" w:orient="portrait"/>
          <w:cols w:equalWidth="0" w:num="1">
            <w:col w:w="11240"/>
          </w:cols>
          <w:pgMar w:left="320" w:top="351" w:right="339" w:bottom="1440" w:gutter="0" w:footer="0" w:header="0"/>
        </w:sectPr>
      </w:pP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relationships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Developed content and technology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Trademarks and trade names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Non-compete agreements</w:t>
      </w:r>
    </w:p>
    <w:p>
      <w:pPr>
        <w:spacing w:after="0" w:line="27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Customer relationships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Developed content and technology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Trademarks and trade names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Non-compete agreements</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42945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Useful</w:t>
            </w:r>
          </w:p>
        </w:tc>
        <w:tc>
          <w:tcPr>
            <w:tcW w:w="20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Gross Carrying</w:t>
            </w: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Net Book</w:t>
            </w:r>
          </w:p>
        </w:tc>
      </w:tr>
      <w:tr>
        <w:trPr>
          <w:trHeight w:val="234"/>
        </w:trPr>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Life</w:t>
            </w:r>
          </w:p>
        </w:tc>
        <w:tc>
          <w:tcPr>
            <w:tcW w:w="200" w:type="dxa"/>
            <w:vAlign w:val="bottom"/>
          </w:tcPr>
          <w:p>
            <w:pPr>
              <w:spacing w:after="0"/>
              <w:rPr>
                <w:sz w:val="20"/>
                <w:szCs w:val="20"/>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Value</w:t>
            </w:r>
          </w:p>
        </w:tc>
      </w:tr>
      <w:tr>
        <w:trPr>
          <w:trHeight w:val="27"/>
        </w:trPr>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5"/>
          </w:tcPr>
          <w:p>
            <w:pPr>
              <w:ind w:left="10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1640" w:type="dxa"/>
            <w:vAlign w:val="bottom"/>
          </w:tcPr>
          <w:p>
            <w:pPr>
              <w:jc w:val="center"/>
              <w:spacing w:after="0"/>
              <w:rPr>
                <w:sz w:val="20"/>
                <w:szCs w:val="20"/>
                <w:color w:val="auto"/>
              </w:rPr>
            </w:pPr>
            <w:r>
              <w:rPr>
                <w:rFonts w:ascii="Arial" w:cs="Arial" w:eastAsia="Arial" w:hAnsi="Arial"/>
                <w:sz w:val="18"/>
                <w:szCs w:val="18"/>
                <w:color w:val="auto"/>
                <w:w w:val="89"/>
              </w:rPr>
              <w:t>3-20 years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605,753</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265,342</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340,411</w:t>
            </w:r>
          </w:p>
        </w:tc>
      </w:tr>
      <w:tr>
        <w:trPr>
          <w:trHeight w:val="270"/>
        </w:trPr>
        <w:tc>
          <w:tcPr>
            <w:tcW w:w="1640" w:type="dxa"/>
            <w:vAlign w:val="bottom"/>
          </w:tcPr>
          <w:p>
            <w:pPr>
              <w:jc w:val="center"/>
              <w:spacing w:after="0"/>
              <w:rPr>
                <w:sz w:val="20"/>
                <w:szCs w:val="20"/>
                <w:color w:val="auto"/>
              </w:rPr>
            </w:pPr>
            <w:r>
              <w:rPr>
                <w:rFonts w:ascii="Arial" w:cs="Arial" w:eastAsia="Arial" w:hAnsi="Arial"/>
                <w:sz w:val="18"/>
                <w:szCs w:val="18"/>
                <w:color w:val="auto"/>
                <w:w w:val="89"/>
              </w:rPr>
              <w:t>2-12 years</w:t>
            </w:r>
          </w:p>
        </w:tc>
        <w:tc>
          <w:tcPr>
            <w:tcW w:w="2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105,766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59,208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46,558</w:t>
            </w:r>
          </w:p>
        </w:tc>
      </w:tr>
      <w:tr>
        <w:trPr>
          <w:trHeight w:val="270"/>
        </w:trPr>
        <w:tc>
          <w:tcPr>
            <w:tcW w:w="1640" w:type="dxa"/>
            <w:vAlign w:val="bottom"/>
          </w:tcPr>
          <w:p>
            <w:pPr>
              <w:jc w:val="center"/>
              <w:spacing w:after="0"/>
              <w:rPr>
                <w:sz w:val="20"/>
                <w:szCs w:val="20"/>
                <w:color w:val="auto"/>
              </w:rPr>
            </w:pPr>
            <w:r>
              <w:rPr>
                <w:rFonts w:ascii="Arial" w:cs="Arial" w:eastAsia="Arial" w:hAnsi="Arial"/>
                <w:sz w:val="18"/>
                <w:szCs w:val="18"/>
                <w:color w:val="auto"/>
                <w:w w:val="89"/>
              </w:rPr>
              <w:t>3-10 years</w:t>
            </w:r>
          </w:p>
        </w:tc>
        <w:tc>
          <w:tcPr>
            <w:tcW w:w="2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38,131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19,725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18,406</w:t>
            </w:r>
          </w:p>
        </w:tc>
      </w:tr>
      <w:tr>
        <w:trPr>
          <w:trHeight w:val="270"/>
        </w:trPr>
        <w:tc>
          <w:tcPr>
            <w:tcW w:w="1640" w:type="dxa"/>
            <w:vAlign w:val="bottom"/>
          </w:tcPr>
          <w:p>
            <w:pPr>
              <w:jc w:val="center"/>
              <w:ind w:right="10"/>
              <w:spacing w:after="0"/>
              <w:rPr>
                <w:sz w:val="20"/>
                <w:szCs w:val="20"/>
                <w:color w:val="auto"/>
              </w:rPr>
            </w:pPr>
            <w:r>
              <w:rPr>
                <w:rFonts w:ascii="Arial" w:cs="Arial" w:eastAsia="Arial" w:hAnsi="Arial"/>
                <w:sz w:val="18"/>
                <w:szCs w:val="18"/>
                <w:color w:val="auto"/>
                <w:w w:val="87"/>
              </w:rPr>
              <w:t>2-5 years</w:t>
            </w:r>
          </w:p>
        </w:tc>
        <w:tc>
          <w:tcPr>
            <w:tcW w:w="2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2,057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345</w:t>
            </w:r>
          </w:p>
        </w:tc>
      </w:tr>
      <w:tr>
        <w:trPr>
          <w:trHeight w:val="27"/>
        </w:trPr>
        <w:tc>
          <w:tcPr>
            <w:tcW w:w="1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412"/>
        </w:trPr>
        <w:tc>
          <w:tcPr>
            <w:tcW w:w="16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752,052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346,332</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405,720</w:t>
            </w:r>
          </w:p>
        </w:tc>
      </w:tr>
      <w:tr>
        <w:trPr>
          <w:trHeight w:val="27"/>
        </w:trPr>
        <w:tc>
          <w:tcPr>
            <w:tcW w:w="1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-1010920</wp:posOffset>
            </wp:positionV>
            <wp:extent cx="7132320" cy="1714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-668020</wp:posOffset>
            </wp:positionV>
            <wp:extent cx="7132320" cy="1714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-325120</wp:posOffset>
            </wp:positionV>
            <wp:extent cx="7132320" cy="3086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26"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42945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9450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Useful</w:t>
            </w:r>
          </w:p>
        </w:tc>
        <w:tc>
          <w:tcPr>
            <w:tcW w:w="20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Gross Carrying</w:t>
            </w:r>
          </w:p>
        </w:tc>
        <w:tc>
          <w:tcPr>
            <w:tcW w:w="180" w:type="dxa"/>
            <w:vAlign w:val="bottom"/>
          </w:tcPr>
          <w:p>
            <w:pPr>
              <w:spacing w:after="0"/>
              <w:rPr>
                <w:sz w:val="18"/>
                <w:szCs w:val="18"/>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Accumulated</w:t>
            </w:r>
          </w:p>
        </w:tc>
        <w:tc>
          <w:tcPr>
            <w:tcW w:w="260" w:type="dxa"/>
            <w:vAlign w:val="bottom"/>
          </w:tcPr>
          <w:p>
            <w:pPr>
              <w:spacing w:after="0"/>
              <w:rPr>
                <w:sz w:val="18"/>
                <w:szCs w:val="18"/>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Net Book</w:t>
            </w:r>
          </w:p>
        </w:tc>
      </w:tr>
      <w:tr>
        <w:trPr>
          <w:trHeight w:val="234"/>
        </w:trPr>
        <w:tc>
          <w:tcPr>
            <w:tcW w:w="16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Life</w:t>
            </w:r>
          </w:p>
        </w:tc>
        <w:tc>
          <w:tcPr>
            <w:tcW w:w="200" w:type="dxa"/>
            <w:vAlign w:val="bottom"/>
          </w:tcPr>
          <w:p>
            <w:pPr>
              <w:spacing w:after="0"/>
              <w:rPr>
                <w:sz w:val="20"/>
                <w:szCs w:val="20"/>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20"/>
                <w:szCs w:val="20"/>
                <w:color w:val="auto"/>
              </w:rPr>
            </w:pPr>
          </w:p>
        </w:tc>
        <w:tc>
          <w:tcPr>
            <w:tcW w:w="1480" w:type="dxa"/>
            <w:vAlign w:val="bottom"/>
            <w:gridSpan w:val="2"/>
          </w:tcPr>
          <w:p>
            <w:pPr>
              <w:ind w:left="80"/>
              <w:spacing w:after="0"/>
              <w:rPr>
                <w:sz w:val="20"/>
                <w:szCs w:val="20"/>
                <w:color w:val="auto"/>
              </w:rPr>
            </w:pPr>
            <w:r>
              <w:rPr>
                <w:rFonts w:ascii="Arial" w:cs="Arial" w:eastAsia="Arial" w:hAnsi="Arial"/>
                <w:sz w:val="18"/>
                <w:szCs w:val="18"/>
                <w:b w:val="1"/>
                <w:bCs w:val="1"/>
                <w:color w:val="auto"/>
              </w:rPr>
              <w:t>Amortization</w:t>
            </w:r>
          </w:p>
        </w:tc>
        <w:tc>
          <w:tcPr>
            <w:tcW w:w="2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Value</w:t>
            </w:r>
          </w:p>
        </w:tc>
      </w:tr>
      <w:tr>
        <w:trPr>
          <w:trHeight w:val="27"/>
        </w:trPr>
        <w:tc>
          <w:tcPr>
            <w:tcW w:w="16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1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60" w:type="dxa"/>
            <w:vAlign w:val="bottom"/>
            <w:gridSpan w:val="5"/>
          </w:tcPr>
          <w:p>
            <w:pPr>
              <w:ind w:left="1020"/>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24"/>
        </w:trPr>
        <w:tc>
          <w:tcPr>
            <w:tcW w:w="1640" w:type="dxa"/>
            <w:vAlign w:val="bottom"/>
          </w:tcPr>
          <w:p>
            <w:pPr>
              <w:jc w:val="center"/>
              <w:spacing w:after="0"/>
              <w:rPr>
                <w:sz w:val="20"/>
                <w:szCs w:val="20"/>
                <w:color w:val="auto"/>
              </w:rPr>
            </w:pPr>
            <w:r>
              <w:rPr>
                <w:rFonts w:ascii="Arial" w:cs="Arial" w:eastAsia="Arial" w:hAnsi="Arial"/>
                <w:sz w:val="18"/>
                <w:szCs w:val="18"/>
                <w:color w:val="auto"/>
                <w:w w:val="89"/>
              </w:rPr>
              <w:t>3-20 years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607,625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187,556</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420,069</w:t>
            </w:r>
          </w:p>
        </w:tc>
      </w:tr>
      <w:tr>
        <w:trPr>
          <w:trHeight w:val="270"/>
        </w:trPr>
        <w:tc>
          <w:tcPr>
            <w:tcW w:w="1640" w:type="dxa"/>
            <w:vAlign w:val="bottom"/>
          </w:tcPr>
          <w:p>
            <w:pPr>
              <w:jc w:val="center"/>
              <w:spacing w:after="0"/>
              <w:rPr>
                <w:sz w:val="20"/>
                <w:szCs w:val="20"/>
                <w:color w:val="auto"/>
              </w:rPr>
            </w:pPr>
            <w:r>
              <w:rPr>
                <w:rFonts w:ascii="Arial" w:cs="Arial" w:eastAsia="Arial" w:hAnsi="Arial"/>
                <w:sz w:val="18"/>
                <w:szCs w:val="18"/>
                <w:color w:val="auto"/>
                <w:w w:val="89"/>
              </w:rPr>
              <w:t>2-12 years</w:t>
            </w:r>
          </w:p>
        </w:tc>
        <w:tc>
          <w:tcPr>
            <w:tcW w:w="2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106,162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42,215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63,947</w:t>
            </w:r>
          </w:p>
        </w:tc>
      </w:tr>
      <w:tr>
        <w:trPr>
          <w:trHeight w:val="270"/>
        </w:trPr>
        <w:tc>
          <w:tcPr>
            <w:tcW w:w="1640" w:type="dxa"/>
            <w:vAlign w:val="bottom"/>
          </w:tcPr>
          <w:p>
            <w:pPr>
              <w:jc w:val="center"/>
              <w:spacing w:after="0"/>
              <w:rPr>
                <w:sz w:val="20"/>
                <w:szCs w:val="20"/>
                <w:color w:val="auto"/>
              </w:rPr>
            </w:pPr>
            <w:r>
              <w:rPr>
                <w:rFonts w:ascii="Arial" w:cs="Arial" w:eastAsia="Arial" w:hAnsi="Arial"/>
                <w:sz w:val="18"/>
                <w:szCs w:val="18"/>
                <w:color w:val="auto"/>
                <w:w w:val="89"/>
              </w:rPr>
              <w:t>3-10 years</w:t>
            </w:r>
          </w:p>
        </w:tc>
        <w:tc>
          <w:tcPr>
            <w:tcW w:w="2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38,218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14,540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23,678</w:t>
            </w:r>
          </w:p>
        </w:tc>
      </w:tr>
      <w:tr>
        <w:trPr>
          <w:trHeight w:val="270"/>
        </w:trPr>
        <w:tc>
          <w:tcPr>
            <w:tcW w:w="1640" w:type="dxa"/>
            <w:vAlign w:val="bottom"/>
          </w:tcPr>
          <w:p>
            <w:pPr>
              <w:jc w:val="center"/>
              <w:ind w:right="10"/>
              <w:spacing w:after="0"/>
              <w:rPr>
                <w:sz w:val="20"/>
                <w:szCs w:val="20"/>
                <w:color w:val="auto"/>
              </w:rPr>
            </w:pPr>
            <w:r>
              <w:rPr>
                <w:rFonts w:ascii="Arial" w:cs="Arial" w:eastAsia="Arial" w:hAnsi="Arial"/>
                <w:sz w:val="18"/>
                <w:szCs w:val="18"/>
                <w:color w:val="auto"/>
                <w:w w:val="87"/>
              </w:rPr>
              <w:t>2-5 years</w:t>
            </w:r>
          </w:p>
        </w:tc>
        <w:tc>
          <w:tcPr>
            <w:tcW w:w="2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1,568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841</w:t>
            </w:r>
          </w:p>
        </w:tc>
      </w:tr>
      <w:tr>
        <w:trPr>
          <w:trHeight w:val="27"/>
        </w:trPr>
        <w:tc>
          <w:tcPr>
            <w:tcW w:w="1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6"/>
        </w:trPr>
        <w:tc>
          <w:tcPr>
            <w:tcW w:w="164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754,414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245,879</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508,535</w:t>
            </w:r>
          </w:p>
        </w:tc>
      </w:tr>
      <w:tr>
        <w:trPr>
          <w:trHeight w:val="27"/>
        </w:trPr>
        <w:tc>
          <w:tcPr>
            <w:tcW w:w="1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1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-2839085</wp:posOffset>
            </wp:positionH>
            <wp:positionV relativeFrom="paragraph">
              <wp:posOffset>-899160</wp:posOffset>
            </wp:positionV>
            <wp:extent cx="7132320" cy="1714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-556260</wp:posOffset>
            </wp:positionV>
            <wp:extent cx="7132320" cy="1714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-2839085</wp:posOffset>
            </wp:positionH>
            <wp:positionV relativeFrom="paragraph">
              <wp:posOffset>-213995</wp:posOffset>
            </wp:positionV>
            <wp:extent cx="7132320" cy="1968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60" w:space="720"/>
            <w:col w:w="6760"/>
          </w:cols>
          <w:pgMar w:left="320" w:top="351" w:right="339" w:bottom="1440" w:gutter="0" w:footer="0" w:header="0"/>
          <w:type w:val="continuous"/>
        </w:sectPr>
      </w:pP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was $101.0 million, $93.4 million and $70.6 million for the years ended December 31, 2022, 2021 and 2020, respectively.</w:t>
      </w:r>
    </w:p>
    <w:p>
      <w:pPr>
        <w:spacing w:after="0" w:line="233"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The weighted average remaining useful life of intangible assets acquired is 9.6 years</w:t>
      </w:r>
      <w:r>
        <w:rPr>
          <w:rFonts w:ascii="Arial" w:cs="Arial" w:eastAsia="Arial" w:hAnsi="Arial"/>
          <w:sz w:val="18"/>
          <w:szCs w:val="18"/>
          <w:b w:val="1"/>
          <w:bCs w:val="1"/>
          <w:color w:val="auto"/>
        </w:rPr>
        <w:t>,</w:t>
      </w:r>
      <w:r>
        <w:rPr>
          <w:rFonts w:ascii="Arial" w:cs="Arial" w:eastAsia="Arial" w:hAnsi="Arial"/>
          <w:sz w:val="18"/>
          <w:szCs w:val="18"/>
          <w:color w:val="auto"/>
        </w:rPr>
        <w:t xml:space="preserve"> 10.5 years and 11.4 years for the years ended December 31, 2022, 2021 and 2020, respectively.</w:t>
      </w:r>
    </w:p>
    <w:p>
      <w:pPr>
        <w:sectPr>
          <w:pgSz w:w="11900" w:h="16838" w:orient="portrait"/>
          <w:cols w:equalWidth="0" w:num="1">
            <w:col w:w="11240"/>
          </w:cols>
          <w:pgMar w:left="320" w:top="3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determining the useful life for each category of intangible asset, the Company considered the following: the expected use of the intangible, the longevity of the brand and considerations for obsolescence, demand, competition and other economic factors.</w:t>
      </w:r>
    </w:p>
    <w:p>
      <w:pPr>
        <w:sectPr>
          <w:pgSz w:w="11900" w:h="16838" w:orient="portrait"/>
          <w:cols w:equalWidth="0" w:num="1">
            <w:col w:w="11240"/>
          </w:cols>
          <w:pgMar w:left="320" w:top="351"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Amortization expense for the Company’s intangible assets are as follows (in thousands):</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2023</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2025</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2027</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968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Total amortization expense for the Company’s intangible assets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460" w:hanging="1231"/>
        <w:spacing w:after="0"/>
        <w:tabs>
          <w:tab w:leader="none" w:pos="2460" w:val="left"/>
        </w:tabs>
        <w:numPr>
          <w:ilvl w:val="0"/>
          <w:numId w:val="45"/>
        </w:numPr>
        <w:rPr>
          <w:rFonts w:ascii="Arial" w:cs="Arial" w:eastAsia="Arial" w:hAnsi="Arial"/>
          <w:sz w:val="15"/>
          <w:szCs w:val="15"/>
          <w:color w:val="auto"/>
        </w:rPr>
      </w:pPr>
      <w:r>
        <w:rPr>
          <w:rFonts w:ascii="Arial" w:cs="Arial" w:eastAsia="Arial" w:hAnsi="Arial"/>
          <w:sz w:val="15"/>
          <w:szCs w:val="15"/>
          <w:color w:val="auto"/>
        </w:rPr>
        <w:t>90,440</w:t>
      </w:r>
    </w:p>
    <w:p>
      <w:pPr>
        <w:spacing w:after="0" w:line="97" w:lineRule="exact"/>
        <w:rPr>
          <w:rFonts w:ascii="Arial" w:cs="Arial" w:eastAsia="Arial" w:hAnsi="Arial"/>
          <w:sz w:val="15"/>
          <w:szCs w:val="15"/>
          <w:color w:val="auto"/>
        </w:rPr>
      </w:pPr>
    </w:p>
    <w:p>
      <w:pPr>
        <w:ind w:left="2460"/>
        <w:spacing w:after="0"/>
        <w:rPr>
          <w:rFonts w:ascii="Arial" w:cs="Arial" w:eastAsia="Arial" w:hAnsi="Arial"/>
          <w:sz w:val="15"/>
          <w:szCs w:val="15"/>
          <w:color w:val="auto"/>
        </w:rPr>
      </w:pPr>
      <w:r>
        <w:rPr>
          <w:rFonts w:ascii="Arial" w:cs="Arial" w:eastAsia="Arial" w:hAnsi="Arial"/>
          <w:sz w:val="15"/>
          <w:szCs w:val="15"/>
          <w:color w:val="auto"/>
        </w:rPr>
        <w:t>74,298</w:t>
      </w:r>
    </w:p>
    <w:p>
      <w:pPr>
        <w:spacing w:after="0" w:line="97" w:lineRule="exact"/>
        <w:rPr>
          <w:rFonts w:ascii="Arial" w:cs="Arial" w:eastAsia="Arial" w:hAnsi="Arial"/>
          <w:sz w:val="15"/>
          <w:szCs w:val="15"/>
          <w:color w:val="auto"/>
        </w:rPr>
      </w:pPr>
    </w:p>
    <w:p>
      <w:pPr>
        <w:ind w:left="2460"/>
        <w:spacing w:after="0"/>
        <w:rPr>
          <w:rFonts w:ascii="Arial" w:cs="Arial" w:eastAsia="Arial" w:hAnsi="Arial"/>
          <w:sz w:val="15"/>
          <w:szCs w:val="15"/>
          <w:color w:val="auto"/>
        </w:rPr>
      </w:pPr>
      <w:r>
        <w:rPr>
          <w:rFonts w:ascii="Arial" w:cs="Arial" w:eastAsia="Arial" w:hAnsi="Arial"/>
          <w:sz w:val="15"/>
          <w:szCs w:val="15"/>
          <w:color w:val="auto"/>
        </w:rPr>
        <w:t>62,370</w:t>
      </w:r>
    </w:p>
    <w:p>
      <w:pPr>
        <w:spacing w:after="0" w:line="97" w:lineRule="exact"/>
        <w:rPr>
          <w:rFonts w:ascii="Arial" w:cs="Arial" w:eastAsia="Arial" w:hAnsi="Arial"/>
          <w:sz w:val="15"/>
          <w:szCs w:val="15"/>
          <w:color w:val="auto"/>
        </w:rPr>
      </w:pPr>
    </w:p>
    <w:p>
      <w:pPr>
        <w:ind w:left="2460"/>
        <w:spacing w:after="0"/>
        <w:rPr>
          <w:rFonts w:ascii="Arial" w:cs="Arial" w:eastAsia="Arial" w:hAnsi="Arial"/>
          <w:sz w:val="15"/>
          <w:szCs w:val="15"/>
          <w:color w:val="auto"/>
        </w:rPr>
      </w:pPr>
      <w:r>
        <w:rPr>
          <w:rFonts w:ascii="Arial" w:cs="Arial" w:eastAsia="Arial" w:hAnsi="Arial"/>
          <w:sz w:val="15"/>
          <w:szCs w:val="15"/>
          <w:color w:val="auto"/>
        </w:rPr>
        <w:t>48,652</w:t>
      </w:r>
    </w:p>
    <w:p>
      <w:pPr>
        <w:spacing w:after="0" w:line="97" w:lineRule="exact"/>
        <w:rPr>
          <w:rFonts w:ascii="Arial" w:cs="Arial" w:eastAsia="Arial" w:hAnsi="Arial"/>
          <w:sz w:val="15"/>
          <w:szCs w:val="15"/>
          <w:color w:val="auto"/>
        </w:rPr>
      </w:pPr>
    </w:p>
    <w:p>
      <w:pPr>
        <w:ind w:left="2460"/>
        <w:spacing w:after="0"/>
        <w:rPr>
          <w:rFonts w:ascii="Arial" w:cs="Arial" w:eastAsia="Arial" w:hAnsi="Arial"/>
          <w:sz w:val="15"/>
          <w:szCs w:val="15"/>
          <w:color w:val="auto"/>
        </w:rPr>
      </w:pPr>
      <w:r>
        <w:rPr>
          <w:rFonts w:ascii="Arial" w:cs="Arial" w:eastAsia="Arial" w:hAnsi="Arial"/>
          <w:sz w:val="15"/>
          <w:szCs w:val="15"/>
          <w:color w:val="auto"/>
        </w:rPr>
        <w:t>37,480</w:t>
      </w:r>
    </w:p>
    <w:p>
      <w:pPr>
        <w:spacing w:after="0" w:line="97" w:lineRule="exact"/>
        <w:rPr>
          <w:rFonts w:ascii="Arial" w:cs="Arial" w:eastAsia="Arial" w:hAnsi="Arial"/>
          <w:sz w:val="15"/>
          <w:szCs w:val="15"/>
          <w:color w:val="auto"/>
        </w:rPr>
      </w:pPr>
    </w:p>
    <w:p>
      <w:pPr>
        <w:ind w:left="2460"/>
        <w:spacing w:after="0"/>
        <w:rPr>
          <w:rFonts w:ascii="Arial" w:cs="Arial" w:eastAsia="Arial" w:hAnsi="Arial"/>
          <w:sz w:val="15"/>
          <w:szCs w:val="15"/>
          <w:color w:val="auto"/>
        </w:rPr>
      </w:pPr>
      <w:r>
        <w:rPr>
          <w:rFonts w:ascii="Arial" w:cs="Arial" w:eastAsia="Arial" w:hAnsi="Arial"/>
          <w:sz w:val="15"/>
          <w:szCs w:val="15"/>
          <w:color w:val="auto"/>
        </w:rPr>
        <w:t>92,480</w:t>
      </w:r>
    </w:p>
    <w:p>
      <w:pPr>
        <w:spacing w:after="0" w:line="111" w:lineRule="exact"/>
        <w:rPr>
          <w:sz w:val="20"/>
          <w:szCs w:val="20"/>
          <w:color w:val="auto"/>
        </w:rPr>
      </w:pPr>
    </w:p>
    <w:p>
      <w:pPr>
        <w:ind w:left="2360" w:hanging="1131"/>
        <w:spacing w:after="0"/>
        <w:tabs>
          <w:tab w:leader="none" w:pos="23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405,720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72390</wp:posOffset>
            </wp:positionV>
            <wp:extent cx="114871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34290</wp:posOffset>
            </wp:positionV>
            <wp:extent cx="239141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57"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34290</wp:posOffset>
            </wp:positionV>
            <wp:extent cx="239141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391410" cy="8255"/>
                    </a:xfrm>
                    <a:prstGeom prst="rect">
                      <a:avLst/>
                    </a:prstGeom>
                    <a:noFill/>
                  </pic:spPr>
                </pic:pic>
              </a:graphicData>
            </a:graphic>
          </wp:anchor>
        </w:drawing>
      </w:r>
    </w:p>
    <w:p>
      <w:pPr>
        <w:spacing w:after="0" w:line="61" w:lineRule="exact"/>
        <w:rPr>
          <w:sz w:val="20"/>
          <w:szCs w:val="20"/>
          <w:color w:val="auto"/>
        </w:rPr>
      </w:pPr>
    </w:p>
    <w:p>
      <w:pPr>
        <w:ind w:left="620"/>
        <w:spacing w:after="0"/>
        <w:rPr>
          <w:sz w:val="20"/>
          <w:szCs w:val="20"/>
          <w:color w:val="auto"/>
        </w:rPr>
      </w:pPr>
      <w:r>
        <w:rPr>
          <w:rFonts w:ascii="Arial" w:cs="Arial" w:eastAsia="Arial" w:hAnsi="Arial"/>
          <w:sz w:val="18"/>
          <w:szCs w:val="18"/>
          <w:i w:val="1"/>
          <w:iCs w:val="1"/>
          <w:color w:val="auto"/>
        </w:rPr>
        <w:t>(in thousands)</w:t>
      </w:r>
    </w:p>
    <w:p>
      <w:pPr>
        <w:spacing w:after="0" w:line="104" w:lineRule="exact"/>
        <w:rPr>
          <w:sz w:val="20"/>
          <w:szCs w:val="20"/>
          <w:color w:val="auto"/>
        </w:rPr>
      </w:pPr>
    </w:p>
    <w:p>
      <w:pPr>
        <w:sectPr>
          <w:pgSz w:w="11900" w:h="16838" w:orient="portrait"/>
          <w:cols w:equalWidth="0" w:num="2">
            <w:col w:w="7500" w:space="720"/>
            <w:col w:w="3020"/>
          </w:cols>
          <w:pgMar w:left="320" w:top="351"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 and software</w:t>
            </w:r>
          </w:p>
        </w:tc>
        <w:tc>
          <w:tcPr>
            <w:tcW w:w="6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9,327</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8,191</w:t>
            </w:r>
          </w:p>
        </w:tc>
      </w:tr>
      <w:tr>
        <w:trPr>
          <w:trHeight w:val="243"/>
        </w:trPr>
        <w:tc>
          <w:tcPr>
            <w:tcW w:w="74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6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3,570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3,667</w:t>
            </w:r>
          </w:p>
        </w:tc>
      </w:tr>
      <w:tr>
        <w:trPr>
          <w:trHeight w:val="27"/>
        </w:trPr>
        <w:tc>
          <w:tcPr>
            <w:tcW w:w="7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6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11,941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12,032</w:t>
            </w:r>
          </w:p>
        </w:tc>
      </w:tr>
      <w:tr>
        <w:trPr>
          <w:trHeight w:val="237"/>
        </w:trPr>
        <w:tc>
          <w:tcPr>
            <w:tcW w:w="7480" w:type="dxa"/>
            <w:vAlign w:val="bottom"/>
          </w:tcPr>
          <w:p>
            <w:pPr>
              <w:ind w:left="140"/>
              <w:spacing w:after="0"/>
              <w:rPr>
                <w:sz w:val="20"/>
                <w:szCs w:val="20"/>
                <w:color w:val="auto"/>
              </w:rPr>
            </w:pPr>
            <w:r>
              <w:rPr>
                <w:rFonts w:ascii="Arial" w:cs="Arial" w:eastAsia="Arial" w:hAnsi="Arial"/>
                <w:sz w:val="18"/>
                <w:szCs w:val="18"/>
                <w:color w:val="auto"/>
              </w:rPr>
              <w:t>Total property and equipment</w:t>
            </w:r>
          </w:p>
        </w:tc>
        <w:tc>
          <w:tcPr>
            <w:tcW w:w="6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24,838</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23,890</w:t>
            </w:r>
          </w:p>
        </w:tc>
      </w:tr>
      <w:tr>
        <w:trPr>
          <w:trHeight w:val="27"/>
        </w:trPr>
        <w:tc>
          <w:tcPr>
            <w:tcW w:w="74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6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(12,908)</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(10,381)</w:t>
            </w:r>
          </w:p>
        </w:tc>
      </w:tr>
      <w:tr>
        <w:trPr>
          <w:trHeight w:val="263"/>
        </w:trPr>
        <w:tc>
          <w:tcPr>
            <w:tcW w:w="7480" w:type="dxa"/>
            <w:vAlign w:val="bottom"/>
          </w:tcPr>
          <w:p>
            <w:pPr>
              <w:ind w:left="240"/>
              <w:spacing w:after="0"/>
              <w:rPr>
                <w:sz w:val="20"/>
                <w:szCs w:val="20"/>
                <w:color w:val="auto"/>
              </w:rPr>
            </w:pPr>
            <w:r>
              <w:rPr>
                <w:rFonts w:ascii="Arial" w:cs="Arial" w:eastAsia="Arial" w:hAnsi="Arial"/>
                <w:sz w:val="18"/>
                <w:szCs w:val="18"/>
                <w:color w:val="auto"/>
              </w:rPr>
              <w:t>Property and equipment, net</w:t>
            </w: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11,930</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13,509</w:t>
            </w:r>
          </w:p>
        </w:tc>
      </w:tr>
      <w:tr>
        <w:trPr>
          <w:trHeight w:val="21"/>
        </w:trPr>
        <w:tc>
          <w:tcPr>
            <w:tcW w:w="74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Depreciation expense was $4.1 million for each of the years ended December 31, 2022 and 2021 and $4.0 million for the year ended December 31, 2020.</w:t>
      </w:r>
    </w:p>
    <w:p>
      <w:pPr>
        <w:sectPr>
          <w:pgSz w:w="11900" w:h="16838" w:orient="portrait"/>
          <w:cols w:equalWidth="0" w:num="1">
            <w:col w:w="11240"/>
          </w:cols>
          <w:pgMar w:left="320" w:top="351" w:right="339" w:bottom="1440" w:gutter="0" w:footer="0" w:header="0"/>
          <w:type w:val="continuous"/>
        </w:sect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Capitalized Software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Capitalized software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Capitalized software</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Less accumulated amortization</w:t>
      </w:r>
    </w:p>
    <w:p>
      <w:pPr>
        <w:spacing w:after="0" w:line="104"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Capitalized software,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34290</wp:posOffset>
            </wp:positionV>
            <wp:extent cx="23571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2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7"/>
        </w:trPr>
        <w:tc>
          <w:tcPr>
            <w:tcW w:w="4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spacing w:after="0"/>
              <w:rPr>
                <w:sz w:val="20"/>
                <w:szCs w:val="20"/>
                <w:color w:val="auto"/>
              </w:rPr>
            </w:pPr>
          </w:p>
        </w:tc>
        <w:tc>
          <w:tcPr>
            <w:tcW w:w="2080" w:type="dxa"/>
            <w:vAlign w:val="bottom"/>
            <w:gridSpan w:val="3"/>
          </w:tcPr>
          <w:p>
            <w:pPr>
              <w:jc w:val="right"/>
              <w:ind w:right="30"/>
              <w:spacing w:after="0"/>
              <w:rPr>
                <w:sz w:val="20"/>
                <w:szCs w:val="20"/>
                <w:color w:val="auto"/>
              </w:rPr>
            </w:pPr>
            <w:r>
              <w:rPr>
                <w:rFonts w:ascii="Arial" w:cs="Arial" w:eastAsia="Arial" w:hAnsi="Arial"/>
                <w:sz w:val="18"/>
                <w:szCs w:val="18"/>
                <w:i w:val="1"/>
                <w:iCs w:val="1"/>
                <w:color w:val="auto"/>
              </w:rPr>
              <w:t>(in thousands)</w:t>
            </w:r>
          </w:p>
        </w:tc>
        <w:tc>
          <w:tcPr>
            <w:tcW w:w="1220" w:type="dxa"/>
            <w:vAlign w:val="bottom"/>
          </w:tcPr>
          <w:p>
            <w:pPr>
              <w:spacing w:after="0"/>
              <w:rPr>
                <w:sz w:val="20"/>
                <w:szCs w:val="20"/>
                <w:color w:val="auto"/>
              </w:rPr>
            </w:pPr>
          </w:p>
        </w:tc>
      </w:tr>
      <w:tr>
        <w:trPr>
          <w:trHeight w:val="324"/>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left="650"/>
              <w:spacing w:after="0"/>
              <w:rPr>
                <w:sz w:val="20"/>
                <w:szCs w:val="20"/>
                <w:color w:val="auto"/>
              </w:rPr>
            </w:pPr>
            <w:r>
              <w:rPr>
                <w:rFonts w:ascii="Arial" w:cs="Arial" w:eastAsia="Arial" w:hAnsi="Arial"/>
                <w:sz w:val="18"/>
                <w:szCs w:val="18"/>
                <w:color w:val="auto"/>
                <w:w w:val="90"/>
              </w:rPr>
              <w:t>45,872</w:t>
            </w:r>
          </w:p>
        </w:tc>
        <w:tc>
          <w:tcPr>
            <w:tcW w:w="100" w:type="dxa"/>
            <w:vAlign w:val="bottom"/>
          </w:tcPr>
          <w:p>
            <w:pPr>
              <w:spacing w:after="0"/>
              <w:rPr>
                <w:sz w:val="24"/>
                <w:szCs w:val="24"/>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20" w:type="dxa"/>
            <w:vAlign w:val="bottom"/>
          </w:tcPr>
          <w:p>
            <w:pPr>
              <w:ind w:left="660"/>
              <w:spacing w:after="0"/>
              <w:rPr>
                <w:sz w:val="20"/>
                <w:szCs w:val="20"/>
                <w:color w:val="auto"/>
              </w:rPr>
            </w:pPr>
            <w:r>
              <w:rPr>
                <w:rFonts w:ascii="Arial" w:cs="Arial" w:eastAsia="Arial" w:hAnsi="Arial"/>
                <w:sz w:val="18"/>
                <w:szCs w:val="18"/>
                <w:color w:val="auto"/>
                <w:w w:val="98"/>
              </w:rPr>
              <w:t>31,960</w:t>
            </w:r>
          </w:p>
        </w:tc>
      </w:tr>
      <w:tr>
        <w:trPr>
          <w:trHeight w:val="270"/>
        </w:trPr>
        <w:tc>
          <w:tcPr>
            <w:tcW w:w="420" w:type="dxa"/>
            <w:vAlign w:val="bottom"/>
          </w:tcPr>
          <w:p>
            <w:pPr>
              <w:spacing w:after="0"/>
              <w:rPr>
                <w:sz w:val="23"/>
                <w:szCs w:val="23"/>
                <w:color w:val="auto"/>
              </w:rPr>
            </w:pPr>
          </w:p>
        </w:tc>
        <w:tc>
          <w:tcPr>
            <w:tcW w:w="1400" w:type="dxa"/>
            <w:vAlign w:val="bottom"/>
          </w:tcPr>
          <w:p>
            <w:pPr>
              <w:jc w:val="center"/>
              <w:ind w:left="630"/>
              <w:spacing w:after="0"/>
              <w:rPr>
                <w:sz w:val="20"/>
                <w:szCs w:val="20"/>
                <w:color w:val="auto"/>
              </w:rPr>
            </w:pPr>
            <w:r>
              <w:rPr>
                <w:rFonts w:ascii="Arial" w:cs="Arial" w:eastAsia="Arial" w:hAnsi="Arial"/>
                <w:sz w:val="18"/>
                <w:szCs w:val="18"/>
                <w:color w:val="auto"/>
                <w:w w:val="89"/>
              </w:rPr>
              <w:t>(13,318)</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20" w:type="dxa"/>
            <w:vAlign w:val="bottom"/>
          </w:tcPr>
          <w:p>
            <w:pPr>
              <w:ind w:left="660"/>
              <w:spacing w:after="0"/>
              <w:rPr>
                <w:sz w:val="20"/>
                <w:szCs w:val="20"/>
                <w:color w:val="auto"/>
              </w:rPr>
            </w:pPr>
            <w:r>
              <w:rPr>
                <w:rFonts w:ascii="Arial" w:cs="Arial" w:eastAsia="Arial" w:hAnsi="Arial"/>
                <w:sz w:val="18"/>
                <w:szCs w:val="18"/>
                <w:color w:val="auto"/>
                <w:w w:val="94"/>
              </w:rPr>
              <w:t>(7,960)</w:t>
            </w:r>
          </w:p>
        </w:tc>
      </w:tr>
      <w:tr>
        <w:trPr>
          <w:trHeight w:val="27"/>
        </w:trPr>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6"/>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ind w:left="650"/>
              <w:spacing w:after="0"/>
              <w:rPr>
                <w:sz w:val="20"/>
                <w:szCs w:val="20"/>
                <w:color w:val="auto"/>
              </w:rPr>
            </w:pPr>
            <w:r>
              <w:rPr>
                <w:rFonts w:ascii="Arial" w:cs="Arial" w:eastAsia="Arial" w:hAnsi="Arial"/>
                <w:sz w:val="18"/>
                <w:szCs w:val="18"/>
                <w:color w:val="auto"/>
                <w:w w:val="90"/>
              </w:rPr>
              <w:t>32,554</w:t>
            </w:r>
          </w:p>
        </w:tc>
        <w:tc>
          <w:tcPr>
            <w:tcW w:w="100" w:type="dxa"/>
            <w:vAlign w:val="bottom"/>
          </w:tcPr>
          <w:p>
            <w:pPr>
              <w:spacing w:after="0"/>
              <w:rPr>
                <w:sz w:val="20"/>
                <w:szCs w:val="20"/>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1220" w:type="dxa"/>
            <w:vAlign w:val="bottom"/>
          </w:tcPr>
          <w:p>
            <w:pPr>
              <w:ind w:left="660"/>
              <w:spacing w:after="0"/>
              <w:rPr>
                <w:sz w:val="20"/>
                <w:szCs w:val="20"/>
                <w:color w:val="auto"/>
              </w:rPr>
            </w:pPr>
            <w:r>
              <w:rPr>
                <w:rFonts w:ascii="Arial" w:cs="Arial" w:eastAsia="Arial" w:hAnsi="Arial"/>
                <w:sz w:val="18"/>
                <w:szCs w:val="18"/>
                <w:color w:val="auto"/>
                <w:w w:val="98"/>
              </w:rPr>
              <w:t>24,000</w:t>
            </w:r>
          </w:p>
        </w:tc>
      </w:tr>
      <w:tr>
        <w:trPr>
          <w:trHeight w:val="27"/>
        </w:trPr>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-4769485</wp:posOffset>
            </wp:positionH>
            <wp:positionV relativeFrom="paragraph">
              <wp:posOffset>-556895</wp:posOffset>
            </wp:positionV>
            <wp:extent cx="7132320" cy="1714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-4769485</wp:posOffset>
            </wp:positionH>
            <wp:positionV relativeFrom="paragraph">
              <wp:posOffset>-213995</wp:posOffset>
            </wp:positionV>
            <wp:extent cx="7132320" cy="1974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00" w:space="720"/>
            <w:col w:w="3720"/>
          </w:cols>
          <w:pgMar w:left="320" w:top="351" w:right="339" w:bottom="1440" w:gutter="0" w:footer="0" w:header="0"/>
          <w:type w:val="continuous"/>
        </w:sectPr>
      </w:pP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expense was $5.7 million, $3.7 million and $2.4 million for the years ended December 31, 2022, 2021 and 2020, respectively. During the ordinary course of business, the Company may determine that certain capitalized features of its software will no longer be used either internally or to deliver value to its customers. During the years ended December 31, 2022, 2021 and 2020 the Company recorded a charge to general and administrative expense on</w:t>
      </w:r>
    </w:p>
    <w:p>
      <w:pPr>
        <w:sectPr>
          <w:pgSz w:w="11900" w:h="16838" w:orient="portrait"/>
          <w:cols w:equalWidth="0" w:num="1">
            <w:col w:w="11240"/>
          </w:cols>
          <w:pgMar w:left="320" w:top="3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accompanying consolidated statements of operations and comprehensive loss for $1.2 million, $0.7 million and nil, respectively, related to capitalized features no longer expected to be used.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Company leases real estate from unrelated parties under operating lease agreements that have initial terms ranging from one to 11 years. Some leases include one or more options to renew, generally at our sole discretion, of five additional years each.</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cost</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7"/>
          <w:szCs w:val="17"/>
          <w:color w:val="auto"/>
        </w:rPr>
        <w:t>Variable lease cost</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5"/>
          <w:szCs w:val="15"/>
          <w:color w:val="auto"/>
        </w:rPr>
        <w:t>Short-term lease cost</w:t>
      </w:r>
    </w:p>
    <w:p>
      <w:pPr>
        <w:spacing w:after="0" w:line="13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Year ended December 31,</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22860</wp:posOffset>
            </wp:positionV>
            <wp:extent cx="13716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-5772785</wp:posOffset>
            </wp:positionH>
            <wp:positionV relativeFrom="paragraph">
              <wp:posOffset>66040</wp:posOffset>
            </wp:positionV>
            <wp:extent cx="7132320" cy="17145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7" w:lineRule="exact"/>
        <w:rPr>
          <w:sz w:val="20"/>
          <w:szCs w:val="20"/>
          <w:color w:val="auto"/>
        </w:rPr>
      </w:pPr>
    </w:p>
    <w:p>
      <w:pPr>
        <w:spacing w:after="0"/>
        <w:tabs>
          <w:tab w:leader="none" w:pos="16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7,859</w:t>
      </w:r>
    </w:p>
    <w:p>
      <w:pPr>
        <w:spacing w:after="0" w:line="98"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1,495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-5772785</wp:posOffset>
            </wp:positionH>
            <wp:positionV relativeFrom="paragraph">
              <wp:posOffset>31750</wp:posOffset>
            </wp:positionV>
            <wp:extent cx="7132320" cy="1714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31750</wp:posOffset>
            </wp:positionV>
            <wp:extent cx="137160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57" w:lineRule="exact"/>
        <w:rPr>
          <w:sz w:val="20"/>
          <w:szCs w:val="20"/>
          <w:color w:val="auto"/>
        </w:rPr>
      </w:pPr>
    </w:p>
    <w:p>
      <w:pPr>
        <w:spacing w:after="0"/>
        <w:tabs>
          <w:tab w:leader="none" w:pos="16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9,694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53975</wp:posOffset>
            </wp:positionV>
            <wp:extent cx="137160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79375</wp:posOffset>
            </wp:positionV>
            <wp:extent cx="137160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8380" w:space="720"/>
            <w:col w:w="2140"/>
          </w:cols>
          <w:pgMar w:left="320" w:top="351" w:right="339" w:bottom="1440" w:gutter="0" w:footer="0" w:header="0"/>
          <w:type w:val="continuous"/>
        </w:sectPr>
      </w:pPr>
    </w:p>
    <w:p>
      <w:pPr>
        <w:spacing w:after="0" w:line="18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Included in the consolidated statements of operations and comprehensive loss is total rent expense of $9.7 million and $8.9 million for the years ended December 31, 2021 and 2020,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302" w:lineRule="exact"/>
        <w:rPr>
          <w:sz w:val="20"/>
          <w:szCs w:val="20"/>
          <w:color w:val="auto"/>
        </w:rPr>
      </w:pPr>
    </w:p>
    <w:p>
      <w:pPr>
        <w:jc w:val="center"/>
        <w:ind w:left="9060"/>
        <w:spacing w:after="0"/>
        <w:rPr>
          <w:sz w:val="20"/>
          <w:szCs w:val="20"/>
          <w:color w:val="auto"/>
        </w:rPr>
      </w:pPr>
      <w:r>
        <w:rPr>
          <w:rFonts w:ascii="Arial" w:cs="Arial" w:eastAsia="Arial" w:hAnsi="Arial"/>
          <w:sz w:val="17"/>
          <w:szCs w:val="17"/>
          <w:b w:val="1"/>
          <w:bCs w:val="1"/>
          <w:color w:val="auto"/>
        </w:rPr>
        <w:t>Year ended December 31,</w:t>
      </w:r>
    </w:p>
    <w:p>
      <w:pPr>
        <w:spacing w:after="0" w:line="39" w:lineRule="exact"/>
        <w:rPr>
          <w:sz w:val="20"/>
          <w:szCs w:val="20"/>
          <w:color w:val="auto"/>
        </w:rPr>
      </w:pPr>
    </w:p>
    <w:p>
      <w:pPr>
        <w:jc w:val="center"/>
        <w:ind w:left="906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22860</wp:posOffset>
            </wp:positionV>
            <wp:extent cx="13716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42" w:lineRule="exact"/>
        <w:rPr>
          <w:sz w:val="20"/>
          <w:szCs w:val="20"/>
          <w:color w:val="auto"/>
        </w:rPr>
      </w:pPr>
    </w:p>
    <w:p>
      <w:pPr>
        <w:ind w:left="9640"/>
        <w:spacing w:after="0"/>
        <w:rPr>
          <w:sz w:val="20"/>
          <w:szCs w:val="20"/>
          <w:color w:val="auto"/>
        </w:rPr>
      </w:pPr>
      <w:r>
        <w:rPr>
          <w:rFonts w:ascii="Arial" w:cs="Arial" w:eastAsia="Arial" w:hAnsi="Arial"/>
          <w:sz w:val="18"/>
          <w:szCs w:val="18"/>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paid for amounts included in measurement of lease liabilities:</w:t>
      </w:r>
    </w:p>
    <w:p>
      <w:pPr>
        <w:spacing w:after="0" w:line="63" w:lineRule="exact"/>
        <w:rPr>
          <w:sz w:val="20"/>
          <w:szCs w:val="20"/>
          <w:color w:val="auto"/>
        </w:rPr>
      </w:pPr>
    </w:p>
    <w:p>
      <w:pPr>
        <w:ind w:left="140"/>
        <w:spacing w:after="0"/>
        <w:tabs>
          <w:tab w:leader="none" w:pos="9080" w:val="left"/>
          <w:tab w:leader="none" w:pos="10740" w:val="left"/>
        </w:tabs>
        <w:rPr>
          <w:sz w:val="20"/>
          <w:szCs w:val="20"/>
          <w:color w:val="auto"/>
        </w:rPr>
      </w:pPr>
      <w:r>
        <w:rPr>
          <w:rFonts w:ascii="Arial" w:cs="Arial" w:eastAsia="Arial" w:hAnsi="Arial"/>
          <w:sz w:val="18"/>
          <w:szCs w:val="18"/>
          <w:color w:val="auto"/>
        </w:rPr>
        <w:t>Operating cash outflows - payments on 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8,010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028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Right-of-use assets obtained in exchange for new lease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40"/>
        <w:spacing w:after="0"/>
        <w:tabs>
          <w:tab w:leader="none" w:pos="9080" w:val="left"/>
          <w:tab w:leader="none" w:pos="10880" w:val="left"/>
        </w:tabs>
        <w:rPr>
          <w:sz w:val="20"/>
          <w:szCs w:val="20"/>
          <w:color w:val="auto"/>
        </w:rPr>
      </w:pPr>
      <w:r>
        <w:rPr>
          <w:rFonts w:ascii="Arial" w:cs="Arial" w:eastAsia="Arial" w:hAnsi="Arial"/>
          <w:sz w:val="18"/>
          <w:szCs w:val="18"/>
          <w:color w:val="auto"/>
        </w:rPr>
        <w:t>Operating leases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772</w:t>
      </w:r>
    </w:p>
    <w:p>
      <w:pPr>
        <w:spacing w:after="0" w:line="360" w:lineRule="exact"/>
        <w:rPr>
          <w:sz w:val="20"/>
          <w:szCs w:val="20"/>
          <w:color w:val="auto"/>
        </w:rPr>
      </w:pPr>
    </w:p>
    <w:p>
      <w:pPr>
        <w:ind w:right="800"/>
        <w:spacing w:after="0" w:line="246" w:lineRule="auto"/>
        <w:rPr>
          <w:sz w:val="20"/>
          <w:szCs w:val="20"/>
          <w:color w:val="auto"/>
        </w:rPr>
      </w:pPr>
      <w:r>
        <w:rPr>
          <w:rFonts w:ascii="Arial" w:cs="Arial" w:eastAsia="Arial" w:hAnsi="Arial"/>
          <w:sz w:val="18"/>
          <w:szCs w:val="18"/>
          <w:color w:val="auto"/>
        </w:rPr>
        <w:t>Supplemental balance sheet information, included in other non-current assets, accrued expenses and other and other non-current liabilities on the consolidated balance sheet, related to leases is as follows:</w:t>
      </w:r>
    </w:p>
    <w:p>
      <w:pPr>
        <w:sectPr>
          <w:pgSz w:w="11900" w:h="16838" w:orient="portrait"/>
          <w:cols w:equalWidth="0" w:num="1">
            <w:col w:w="11240"/>
          </w:cols>
          <w:pgMar w:left="320" w:top="3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1714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Current operating lease liabilities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Long-term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968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0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operating lease liabilities</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Year ended December 31,</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22860</wp:posOffset>
            </wp:positionV>
            <wp:extent cx="13716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4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(in thousands)</w:t>
      </w:r>
    </w:p>
    <w:p>
      <w:pPr>
        <w:spacing w:after="0" w:line="117"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21,756</w:t>
      </w:r>
    </w:p>
    <w:p>
      <w:pPr>
        <w:spacing w:after="0" w:line="26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5,239</w:t>
      </w:r>
    </w:p>
    <w:p>
      <w:pPr>
        <w:spacing w:after="0" w:line="6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22,500</w:t>
      </w:r>
    </w:p>
    <w:p>
      <w:pPr>
        <w:spacing w:after="0" w:line="77" w:lineRule="exact"/>
        <w:rPr>
          <w:sz w:val="20"/>
          <w:szCs w:val="20"/>
          <w:color w:val="auto"/>
        </w:rPr>
      </w:pPr>
    </w:p>
    <w:p>
      <w:pPr>
        <w:spacing w:after="0"/>
        <w:tabs>
          <w:tab w:leader="none" w:pos="156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27,739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79375</wp:posOffset>
            </wp:positionV>
            <wp:extent cx="13716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61" w:lineRule="exact"/>
        <w:rPr>
          <w:sz w:val="20"/>
          <w:szCs w:val="20"/>
          <w:color w:val="auto"/>
        </w:rPr>
      </w:pPr>
    </w:p>
    <w:p>
      <w:pPr>
        <w:sectPr>
          <w:pgSz w:w="11900" w:h="16838" w:orient="portrait"/>
          <w:cols w:equalWidth="0" w:num="2">
            <w:col w:w="8380" w:space="720"/>
            <w:col w:w="2140"/>
          </w:cols>
          <w:pgMar w:left="320" w:top="351" w:right="339" w:bottom="1440" w:gutter="0" w:footer="0" w:header="0"/>
          <w:type w:val="continuous"/>
        </w:sectPr>
      </w:pP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2022, the weighted average remaining lease term for operating leases was 6.34 years and the weighted average discount rate was 4.8%.</w:t>
      </w:r>
    </w:p>
    <w:p>
      <w:pPr>
        <w:sectPr>
          <w:pgSz w:w="11900" w:h="16838" w:orient="portrait"/>
          <w:cols w:equalWidth="0" w:num="1">
            <w:col w:w="11240"/>
          </w:cols>
          <w:pgMar w:left="320" w:top="35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Future undiscounted cash flows for each of the next five years and thereafter and reconciliation to the lease liabilities recognized on the balance sheet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171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tcPr>
          <w:p>
            <w:pPr>
              <w:ind w:left="140"/>
              <w:spacing w:after="0"/>
              <w:rPr>
                <w:sz w:val="20"/>
                <w:szCs w:val="20"/>
                <w:color w:val="auto"/>
              </w:rPr>
            </w:pPr>
            <w:r>
              <w:rPr>
                <w:rFonts w:ascii="Arial" w:cs="Arial" w:eastAsia="Arial" w:hAnsi="Arial"/>
                <w:sz w:val="18"/>
                <w:szCs w:val="18"/>
                <w:color w:val="auto"/>
              </w:rPr>
              <w:t>2023</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6,778</w:t>
            </w:r>
          </w:p>
        </w:tc>
      </w:tr>
      <w:tr>
        <w:trPr>
          <w:trHeight w:val="27"/>
        </w:trPr>
        <w:tc>
          <w:tcPr>
            <w:tcW w:w="9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2024</w:t>
            </w: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4,879</w:t>
            </w:r>
          </w:p>
        </w:tc>
      </w:tr>
      <w:tr>
        <w:trPr>
          <w:trHeight w:val="243"/>
        </w:trPr>
        <w:tc>
          <w:tcPr>
            <w:tcW w:w="9080" w:type="dxa"/>
            <w:vAlign w:val="bottom"/>
          </w:tcPr>
          <w:p>
            <w:pPr>
              <w:ind w:left="140"/>
              <w:spacing w:after="0"/>
              <w:rPr>
                <w:sz w:val="20"/>
                <w:szCs w:val="20"/>
                <w:color w:val="auto"/>
              </w:rPr>
            </w:pPr>
            <w:r>
              <w:rPr>
                <w:rFonts w:ascii="Arial" w:cs="Arial" w:eastAsia="Arial" w:hAnsi="Arial"/>
                <w:sz w:val="18"/>
                <w:szCs w:val="18"/>
                <w:color w:val="auto"/>
              </w:rPr>
              <w:t>2025</w:t>
            </w: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4,438</w:t>
            </w:r>
          </w:p>
        </w:tc>
      </w:tr>
      <w:tr>
        <w:trPr>
          <w:trHeight w:val="27"/>
        </w:trPr>
        <w:tc>
          <w:tcPr>
            <w:tcW w:w="9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2026</w:t>
            </w: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4,286</w:t>
            </w:r>
          </w:p>
        </w:tc>
      </w:tr>
      <w:tr>
        <w:trPr>
          <w:trHeight w:val="243"/>
        </w:trPr>
        <w:tc>
          <w:tcPr>
            <w:tcW w:w="9080" w:type="dxa"/>
            <w:vAlign w:val="bottom"/>
          </w:tcPr>
          <w:p>
            <w:pPr>
              <w:ind w:left="140"/>
              <w:spacing w:after="0"/>
              <w:rPr>
                <w:sz w:val="20"/>
                <w:szCs w:val="20"/>
                <w:color w:val="auto"/>
              </w:rPr>
            </w:pPr>
            <w:r>
              <w:rPr>
                <w:rFonts w:ascii="Arial" w:cs="Arial" w:eastAsia="Arial" w:hAnsi="Arial"/>
                <w:sz w:val="18"/>
                <w:szCs w:val="18"/>
                <w:color w:val="auto"/>
              </w:rPr>
              <w:t>2027</w:t>
            </w: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3,953</w:t>
            </w:r>
          </w:p>
        </w:tc>
      </w:tr>
      <w:tr>
        <w:trPr>
          <w:trHeight w:val="27"/>
        </w:trPr>
        <w:tc>
          <w:tcPr>
            <w:tcW w:w="9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8,555</w:t>
            </w:r>
          </w:p>
        </w:tc>
      </w:tr>
      <w:tr>
        <w:trPr>
          <w:trHeight w:val="237"/>
        </w:trPr>
        <w:tc>
          <w:tcPr>
            <w:tcW w:w="9080" w:type="dxa"/>
            <w:vAlign w:val="bottom"/>
          </w:tcPr>
          <w:p>
            <w:pPr>
              <w:ind w:left="240"/>
              <w:spacing w:after="0"/>
              <w:rPr>
                <w:sz w:val="20"/>
                <w:szCs w:val="20"/>
                <w:color w:val="auto"/>
              </w:rPr>
            </w:pPr>
            <w:r>
              <w:rPr>
                <w:rFonts w:ascii="Arial" w:cs="Arial" w:eastAsia="Arial" w:hAnsi="Arial"/>
                <w:sz w:val="18"/>
                <w:szCs w:val="18"/>
                <w:color w:val="auto"/>
              </w:rPr>
              <w:t>Total lease payments</w:t>
            </w:r>
          </w:p>
        </w:tc>
        <w:tc>
          <w:tcPr>
            <w:tcW w:w="8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32,889</w:t>
            </w:r>
          </w:p>
        </w:tc>
      </w:tr>
      <w:tr>
        <w:trPr>
          <w:trHeight w:val="27"/>
        </w:trPr>
        <w:tc>
          <w:tcPr>
            <w:tcW w:w="9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imputed interest</w:t>
            </w:r>
          </w:p>
        </w:tc>
        <w:tc>
          <w:tcPr>
            <w:tcW w:w="8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5,150</w:t>
            </w:r>
          </w:p>
        </w:tc>
      </w:tr>
      <w:tr>
        <w:trPr>
          <w:trHeight w:val="263"/>
        </w:trPr>
        <w:tc>
          <w:tcPr>
            <w:tcW w:w="9080" w:type="dxa"/>
            <w:vAlign w:val="bottom"/>
          </w:tcPr>
          <w:p>
            <w:pPr>
              <w:ind w:left="360"/>
              <w:spacing w:after="0"/>
              <w:rPr>
                <w:sz w:val="20"/>
                <w:szCs w:val="20"/>
                <w:color w:val="auto"/>
              </w:rPr>
            </w:pPr>
            <w:r>
              <w:rPr>
                <w:rFonts w:ascii="Arial" w:cs="Arial" w:eastAsia="Arial" w:hAnsi="Arial"/>
                <w:sz w:val="18"/>
                <w:szCs w:val="18"/>
                <w:color w:val="auto"/>
              </w:rPr>
              <w:t>Total present value of lease liabilities</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27,739</w:t>
            </w:r>
          </w:p>
        </w:tc>
      </w:tr>
      <w:tr>
        <w:trPr>
          <w:trHeight w:val="21"/>
        </w:trPr>
        <w:tc>
          <w:tcPr>
            <w:tcW w:w="9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 summary of the future minimum lease commitments for all non-cancelable operating lease agreements were as follows as of December 31, 2021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17145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Year ended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tcPr>
          <w:p>
            <w:pPr>
              <w:ind w:left="140"/>
              <w:spacing w:after="0"/>
              <w:rPr>
                <w:sz w:val="20"/>
                <w:szCs w:val="20"/>
                <w:color w:val="auto"/>
              </w:rPr>
            </w:pPr>
            <w:r>
              <w:rPr>
                <w:rFonts w:ascii="Arial" w:cs="Arial" w:eastAsia="Arial" w:hAnsi="Arial"/>
                <w:sz w:val="18"/>
                <w:szCs w:val="18"/>
                <w:color w:val="auto"/>
              </w:rPr>
              <w:t>2022</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8,054</w:t>
            </w:r>
          </w:p>
        </w:tc>
      </w:tr>
      <w:tr>
        <w:trPr>
          <w:trHeight w:val="27"/>
        </w:trPr>
        <w:tc>
          <w:tcPr>
            <w:tcW w:w="9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6,526</w:t>
            </w:r>
          </w:p>
        </w:tc>
      </w:tr>
      <w:tr>
        <w:trPr>
          <w:trHeight w:val="243"/>
        </w:trPr>
        <w:tc>
          <w:tcPr>
            <w:tcW w:w="9080" w:type="dxa"/>
            <w:vAlign w:val="bottom"/>
          </w:tcPr>
          <w:p>
            <w:pPr>
              <w:ind w:left="140"/>
              <w:spacing w:after="0"/>
              <w:rPr>
                <w:sz w:val="20"/>
                <w:szCs w:val="20"/>
                <w:color w:val="auto"/>
              </w:rPr>
            </w:pPr>
            <w:r>
              <w:rPr>
                <w:rFonts w:ascii="Arial" w:cs="Arial" w:eastAsia="Arial" w:hAnsi="Arial"/>
                <w:sz w:val="18"/>
                <w:szCs w:val="18"/>
                <w:color w:val="auto"/>
              </w:rPr>
              <w:t>2024</w:t>
            </w: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4,941</w:t>
            </w:r>
          </w:p>
        </w:tc>
      </w:tr>
      <w:tr>
        <w:trPr>
          <w:trHeight w:val="27"/>
        </w:trPr>
        <w:tc>
          <w:tcPr>
            <w:tcW w:w="9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9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8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4,705</w:t>
            </w:r>
          </w:p>
        </w:tc>
      </w:tr>
      <w:tr>
        <w:trPr>
          <w:trHeight w:val="243"/>
        </w:trPr>
        <w:tc>
          <w:tcPr>
            <w:tcW w:w="9080" w:type="dxa"/>
            <w:vAlign w:val="bottom"/>
          </w:tcPr>
          <w:p>
            <w:pPr>
              <w:ind w:left="140"/>
              <w:spacing w:after="0"/>
              <w:rPr>
                <w:sz w:val="20"/>
                <w:szCs w:val="20"/>
                <w:color w:val="auto"/>
              </w:rPr>
            </w:pPr>
            <w:r>
              <w:rPr>
                <w:rFonts w:ascii="Arial" w:cs="Arial" w:eastAsia="Arial" w:hAnsi="Arial"/>
                <w:sz w:val="18"/>
                <w:szCs w:val="18"/>
                <w:color w:val="auto"/>
              </w:rPr>
              <w:t>2026</w:t>
            </w:r>
          </w:p>
        </w:tc>
        <w:tc>
          <w:tcPr>
            <w:tcW w:w="8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4,558</w:t>
            </w:r>
          </w:p>
        </w:tc>
      </w:tr>
      <w:tr>
        <w:trPr>
          <w:trHeight w:val="27"/>
        </w:trPr>
        <w:tc>
          <w:tcPr>
            <w:tcW w:w="9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Thereafter</w:t>
            </w:r>
          </w:p>
        </w:tc>
        <w:tc>
          <w:tcPr>
            <w:tcW w:w="8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12,692</w:t>
            </w:r>
          </w:p>
        </w:tc>
      </w:tr>
      <w:tr>
        <w:trPr>
          <w:trHeight w:val="263"/>
        </w:trPr>
        <w:tc>
          <w:tcPr>
            <w:tcW w:w="9080" w:type="dxa"/>
            <w:vAlign w:val="bottom"/>
          </w:tcPr>
          <w:p>
            <w:pPr>
              <w:ind w:left="240"/>
              <w:spacing w:after="0"/>
              <w:rPr>
                <w:sz w:val="20"/>
                <w:szCs w:val="20"/>
                <w:color w:val="auto"/>
              </w:rPr>
            </w:pPr>
            <w:r>
              <w:rPr>
                <w:rFonts w:ascii="Arial" w:cs="Arial" w:eastAsia="Arial" w:hAnsi="Arial"/>
                <w:sz w:val="18"/>
                <w:szCs w:val="18"/>
                <w:color w:val="auto"/>
              </w:rPr>
              <w:t>Total future minimum payments due</w:t>
            </w:r>
          </w:p>
        </w:tc>
        <w:tc>
          <w:tcPr>
            <w:tcW w:w="86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41,476</w:t>
            </w:r>
          </w:p>
        </w:tc>
      </w:tr>
      <w:tr>
        <w:trPr>
          <w:trHeight w:val="21"/>
        </w:trPr>
        <w:tc>
          <w:tcPr>
            <w:tcW w:w="9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ind w:left="660"/>
              <w:spacing w:after="0"/>
              <w:rPr>
                <w:sz w:val="20"/>
                <w:szCs w:val="20"/>
                <w:color w:val="auto"/>
              </w:rPr>
            </w:pPr>
            <w:r>
              <w:rPr>
                <w:rFonts w:ascii="Arial" w:cs="Arial" w:eastAsia="Arial" w:hAnsi="Arial"/>
                <w:sz w:val="18"/>
                <w:szCs w:val="18"/>
                <w:b w:val="1"/>
                <w:bCs w:val="1"/>
                <w:color w:val="auto"/>
              </w:rPr>
              <w:t>Note 10. Long-term debt</w:t>
            </w:r>
          </w:p>
        </w:tc>
        <w:tc>
          <w:tcPr>
            <w:tcW w:w="10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7800" w:type="dxa"/>
            <w:vAlign w:val="bottom"/>
          </w:tcPr>
          <w:p>
            <w:pPr>
              <w:spacing w:after="0"/>
              <w:rPr>
                <w:sz w:val="20"/>
                <w:szCs w:val="20"/>
                <w:color w:val="auto"/>
              </w:rPr>
            </w:pPr>
            <w:r>
              <w:rPr>
                <w:rFonts w:ascii="Arial" w:cs="Arial" w:eastAsia="Arial" w:hAnsi="Arial"/>
                <w:sz w:val="18"/>
                <w:szCs w:val="18"/>
                <w:color w:val="auto"/>
              </w:rPr>
              <w:t>Long-term debt consisted of the following:</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86"/>
        </w:trPr>
        <w:tc>
          <w:tcPr>
            <w:tcW w:w="7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24"/>
                <w:szCs w:val="24"/>
                <w:color w:val="auto"/>
              </w:rPr>
            </w:pP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320" w:type="dxa"/>
            <w:vAlign w:val="bottom"/>
            <w:gridSpan w:val="3"/>
          </w:tcPr>
          <w:p>
            <w:pPr>
              <w:jc w:val="right"/>
              <w:ind w:right="10"/>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Term notes with interest payable monthly, interest rate at Adjusted LIBOR or Alternative Base Rate, plus</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6"/>
        </w:trPr>
        <w:tc>
          <w:tcPr>
            <w:tcW w:w="78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an applicable margin of 3.25% (7.32% at December 31, 2022) plus quarterly principal payments of</w:t>
            </w:r>
          </w:p>
        </w:tc>
        <w:tc>
          <w:tcPr>
            <w:tcW w:w="10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7"/>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0.25% of original principal balance with balloon payment due July 2028</w:t>
            </w: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543,125</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548,625</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w w:val="92"/>
              </w:rPr>
              <w:t>Revolver with interest payable monthly, interest rate at Adjusted LIBOR or Alternative Base Rate, plus an</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w w:val="96"/>
              </w:rPr>
              <w:t>applicable margin of 3.25% (7.63% at December 31, 2022), and outstanding balance due July 2026</w:t>
            </w:r>
          </w:p>
        </w:tc>
        <w:tc>
          <w:tcPr>
            <w:tcW w:w="10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8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Subordinated unsecured promissory note related to acquisition of Service Nation, Inc., interest paid-in-</w:t>
            </w:r>
          </w:p>
        </w:tc>
        <w:tc>
          <w:tcPr>
            <w:tcW w:w="10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kind, interest rate at 8.5% with balloon payment due September 2022</w:t>
            </w:r>
          </w:p>
        </w:tc>
        <w:tc>
          <w:tcPr>
            <w:tcW w:w="10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2,866</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w w:val="92"/>
              </w:rPr>
              <w:t>Subordinated unsecured promissory note related to acquisition of Technique Fitness, Inc. D/B/A Club OS,</w:t>
            </w:r>
          </w:p>
        </w:tc>
        <w:tc>
          <w:tcPr>
            <w:tcW w:w="1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7800" w:type="dxa"/>
            <w:vAlign w:val="bottom"/>
          </w:tcPr>
          <w:p>
            <w:pPr>
              <w:ind w:left="180"/>
              <w:spacing w:after="0"/>
              <w:rPr>
                <w:sz w:val="20"/>
                <w:szCs w:val="20"/>
                <w:color w:val="auto"/>
              </w:rPr>
            </w:pPr>
            <w:r>
              <w:rPr>
                <w:rFonts w:ascii="Arial" w:cs="Arial" w:eastAsia="Arial" w:hAnsi="Arial"/>
                <w:sz w:val="18"/>
                <w:szCs w:val="18"/>
                <w:color w:val="auto"/>
              </w:rPr>
              <w:t>interest paid-in-kind, interest rate at 7% with balloon payment due December 2022</w:t>
            </w:r>
          </w:p>
        </w:tc>
        <w:tc>
          <w:tcPr>
            <w:tcW w:w="10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2,655</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Principal debt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543,125</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554,146</w:t>
            </w:r>
          </w:p>
        </w:tc>
      </w:tr>
      <w:tr>
        <w:trPr>
          <w:trHeight w:val="54"/>
        </w:trPr>
        <w:tc>
          <w:tcPr>
            <w:tcW w:w="7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financing costs on long-term debt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(4,900)</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(5,826)</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Discount on long-term debt</w:t>
            </w:r>
          </w:p>
        </w:tc>
        <w:tc>
          <w:tcPr>
            <w:tcW w:w="10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(1,779)</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(2,193)</w:t>
            </w:r>
          </w:p>
        </w:tc>
      </w:tr>
      <w:tr>
        <w:trPr>
          <w:trHeight w:val="27"/>
        </w:trPr>
        <w:tc>
          <w:tcPr>
            <w:tcW w:w="78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780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debt</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536,446</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546,127</w:t>
            </w:r>
          </w:p>
        </w:tc>
      </w:tr>
      <w:tr>
        <w:trPr>
          <w:trHeight w:val="54"/>
        </w:trPr>
        <w:tc>
          <w:tcPr>
            <w:tcW w:w="7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102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c>
          <w:tcPr>
            <w:tcW w:w="8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10,943</w:t>
            </w:r>
          </w:p>
        </w:tc>
      </w:tr>
      <w:tr>
        <w:trPr>
          <w:trHeight w:val="263"/>
        </w:trPr>
        <w:tc>
          <w:tcPr>
            <w:tcW w:w="7800" w:type="dxa"/>
            <w:vAlign w:val="bottom"/>
          </w:tcPr>
          <w:p>
            <w:pPr>
              <w:ind w:left="560"/>
              <w:spacing w:after="0"/>
              <w:rPr>
                <w:sz w:val="20"/>
                <w:szCs w:val="20"/>
                <w:color w:val="auto"/>
              </w:rPr>
            </w:pPr>
            <w:r>
              <w:rPr>
                <w:rFonts w:ascii="Arial" w:cs="Arial" w:eastAsia="Arial" w:hAnsi="Arial"/>
                <w:sz w:val="18"/>
                <w:szCs w:val="18"/>
                <w:color w:val="auto"/>
              </w:rPr>
              <w:t>Long-term portion</w:t>
            </w: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530,946</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535,184</w:t>
            </w:r>
          </w:p>
        </w:tc>
      </w:tr>
      <w:tr>
        <w:trPr>
          <w:trHeight w:val="21"/>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connection with the IPO on July 6, 2021, the Company entered into a credit facility (“Credit Agreement”) that includes term loans in an aggregate principal amount of $350.0 million (“Initial Term Loans”), a revolver with a capacity of $190.0 million (“Revolver”) and a sub-limit of the Revolver available for letters of credit up to an aggregate face amount of $20.0 million. The Initial Term Loans were used to retire the Company’s debt arrangements that were outstanding prior to the IPO. A loss on debt extinguishment related to the refinancing of the Company’s debt arrangements was recorded during the year ended December 31, 2021 totaling $28.7 million.</w:t>
      </w:r>
    </w:p>
    <w:p>
      <w:pPr>
        <w:spacing w:after="0" w:line="22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As of December 31, 2021, the Company also had outstanding subordinated promissory notes (“Legacy Subordinated Notes”) that included paid-in-kind interest. The remaining Legacy Subordinated Notes outstanding principal and paid-in-kind interest were fully repaid during the year ended December 31, 2022.</w:t>
      </w:r>
    </w:p>
    <w:p>
      <w:pPr>
        <w:spacing w:after="0" w:line="22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November 2021, the Company had $35.0 million outstanding under the Revolver, and borrowed the remaining capacity of the Revolver to fund the acquisition of DrChrono. Subsequently in the same month, the Company received additional term loans in an aggregate principal amount of $200.0 million (“Additional Term Loans” and together with the Initial Term Loans, the “Term Loans”), the proceeds of which were used to repay the outstanding principal balance of the Revolver of $190.0 million and for general corporate purposes. The Initial Term Loans, Revolver and Additional Term Loans are collectively referred to herein as the (“Credit Facilities”).</w:t>
      </w:r>
    </w:p>
    <w:p>
      <w:pPr>
        <w:spacing w:after="0" w:line="213"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The Term Loans have a term of seven years, and quarterly payments of principal of $1.4 million and interest in arrears. The Revolver has a term of five years. Borrowings under the Credit Facilities will be available as alternate base rate (“ABR”) or Eurocurrency borrowings. ABR borrowings under the Credit Facilities accrue interest at an alternate base rate plus an applicable rate, and Eurocurrency borrowings accrue interest at an adjusted LIBOR rate plus an applicable rate. The ABR rate represents the greater of the prime rate, Federal Reserve Bank of New York rate plus one half of 1%, and an adjusted LIBOR rate for a one month interest period plus 1%. At the time of</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origination, the applicable rate for the Term Loans and the Revolver was 3% for Eurocurrency borrowings and 2% for ABR borrowings, in each case subject to change based on the Company’s first lien net leverage ratio, as defined in the Credit Facilities.</w:t>
      </w:r>
    </w:p>
    <w:p>
      <w:pPr>
        <w:spacing w:after="0" w:line="18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The Company determines the fair value of long-term debt based on trading prices for its debt if available. As of December 31, 2022, the Company obtained trading prices for the term notes outstanding. However, as such trading prices require significant unobservable inputs to the pricing model, such instruments are classified as Level 2. If no such trading prices are available, the Company determines the fair value of long-term debt using discounted cash flows, applying current interest rates and current credit spreads, based on its own credit risk. The fair value amounts were approximately $531.6 million and $552.8 million as of December 31, 2022 and December 31, 2021, respectively.</w:t>
      </w:r>
    </w:p>
    <w:p>
      <w:pPr>
        <w:spacing w:after="0" w:line="21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Effective October 31, 2022, the Company entered into an interest rate swap agreement in connection with the Company’s Credit Facilities for a notional amount of $200.0 million to convert a portion of the Term Loans from a floating rate to a fixed rate (the “Swap Agreement”). The Swap Agreement has a term of 5 years with a fixed rate in the agreement of 4.2295%. As of December 31, 2022 the floating rate of the Term Loans was 4.07% and the effective interest rate was 7.32% including an applicable fixed margin of 3.25%.</w:t>
      </w:r>
    </w:p>
    <w:p>
      <w:pPr>
        <w:spacing w:after="0" w:line="218"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Swap Agreement is accounted for as a derivative whereby the fair value of the contract is reported in other non-current assets or other non-current liabilities on the consolidated balance sheet, and gains and losses resulting from changes in the fair value are reported in interest and other expense, net, in the statement of operations and comprehensive loss. As of December 31, 2022 the fair value of the Swap Agreement was a liability of $2.9 million and reported in other non-current liabilities on the consolidated balance sheet.</w:t>
      </w:r>
    </w:p>
    <w:p>
      <w:pPr>
        <w:spacing w:after="0" w:line="22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Company’s Credit Facilities are subject to certain financial and nonfinancial covenants and are secured by substantially all assets of the Company. As of December 31, 2022, the Company was in compliance with all of its covenants. Aggregate maturities of the Company’s debt are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Year ended December 31,</w:t>
            </w: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9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62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43"/>
        </w:trPr>
        <w:tc>
          <w:tcPr>
            <w:tcW w:w="9440" w:type="dxa"/>
            <w:vAlign w:val="bottom"/>
          </w:tcPr>
          <w:p>
            <w:pPr>
              <w:ind w:left="140"/>
              <w:spacing w:after="0"/>
              <w:rPr>
                <w:sz w:val="20"/>
                <w:szCs w:val="20"/>
                <w:color w:val="auto"/>
              </w:rPr>
            </w:pPr>
            <w:r>
              <w:rPr>
                <w:rFonts w:ascii="Arial" w:cs="Arial" w:eastAsia="Arial" w:hAnsi="Arial"/>
                <w:sz w:val="18"/>
                <w:szCs w:val="18"/>
                <w:color w:val="auto"/>
              </w:rPr>
              <w:t>2024</w:t>
            </w: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7"/>
        </w:trPr>
        <w:tc>
          <w:tcPr>
            <w:tcW w:w="9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43"/>
        </w:trPr>
        <w:tc>
          <w:tcPr>
            <w:tcW w:w="9440" w:type="dxa"/>
            <w:vAlign w:val="bottom"/>
          </w:tcPr>
          <w:p>
            <w:pPr>
              <w:ind w:left="140"/>
              <w:spacing w:after="0"/>
              <w:rPr>
                <w:sz w:val="20"/>
                <w:szCs w:val="20"/>
                <w:color w:val="auto"/>
              </w:rPr>
            </w:pPr>
            <w:r>
              <w:rPr>
                <w:rFonts w:ascii="Arial" w:cs="Arial" w:eastAsia="Arial" w:hAnsi="Arial"/>
                <w:sz w:val="18"/>
                <w:szCs w:val="18"/>
                <w:color w:val="auto"/>
              </w:rPr>
              <w:t>2026</w:t>
            </w: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5,500</w:t>
            </w:r>
          </w:p>
        </w:tc>
      </w:tr>
      <w:tr>
        <w:trPr>
          <w:trHeight w:val="27"/>
        </w:trPr>
        <w:tc>
          <w:tcPr>
            <w:tcW w:w="94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6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w:t>
            </w:r>
          </w:p>
        </w:tc>
      </w:tr>
      <w:tr>
        <w:trPr>
          <w:trHeight w:val="243"/>
        </w:trPr>
        <w:tc>
          <w:tcPr>
            <w:tcW w:w="944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6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515,625</w:t>
            </w:r>
          </w:p>
        </w:tc>
      </w:tr>
      <w:tr>
        <w:trPr>
          <w:trHeight w:val="27"/>
        </w:trPr>
        <w:tc>
          <w:tcPr>
            <w:tcW w:w="94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8"/>
        </w:trPr>
        <w:tc>
          <w:tcPr>
            <w:tcW w:w="9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aggregate maturities of the Company’s debt</w:t>
            </w: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543,125</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Equity</w:t>
      </w:r>
    </w:p>
    <w:p>
      <w:pPr>
        <w:spacing w:after="0" w:line="24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May 5, 2021, the Company amended its Certificate of Incorporation (“Third Amended and Restated Certificate of Incorporation”) to increase the number of authorized shares of Preferred Stock from 125,000,000 shares to 140,000,000 shares of Preferred Stock, $0.00001 par value per share, of which 50,000,000 were designated as Series A, 75,000,000 were designated as Series B and 15,000,000 were designated as Series C as of such date. Each share of Series A, Series B and Series C could have been converted into common stock at any time, at the option of the holder, based on a prescribed formula set forth in the Company’s Third Amended and Restated Certificate of Incorporation. In the event of a liquidation, dissolution, winding up of the Company or other similar event, liquidation payments would have first been made to the holders of Series B, then to Series C, then to Series A. In May 2021, the Company issued 7.9 million shares of Series C for proceeds of $109.8 million net of issuance costs.</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 accordance with ASC 480, Distinguishing Liabilities from Equity, if the carrying value of redeemable preferred stock is less than its redemption value, redeemable preferred stock shall be accreted to its redemption value if it is probable it will become redeemable. Prior to March 15, 2021, the Company concluded it was probable that the Series B would become redeemable due to the passage of time. However, after that date the Company concluded that it was no longer probable that the Series B would become redeemable due to the increased likelihood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successful IPO prior to February 23, 2025. The Company’s Series B accruing dividends comprised a component of the redemption value of such stock. The Company recorded the accretion of Series B through March 15, 2021, by increasing its carrying value and recording a corresponding reduction of additional paid-in capital in the amount of $15.1 million and $67.8 million for the years ended December 31, 2021 and 2020, respectively.</w:t>
      </w:r>
    </w:p>
    <w:p>
      <w:pPr>
        <w:spacing w:after="0" w:line="19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Immediately prior to the closing of the IPO on July 6, 2021, the Company filed an Amended and Restated Certificate of Incorporation with the Secretary of State of the State of Delaware to authorize the issuance of up to 2,050,000,000 shares, par value $0.00001 per share, consisting of 2,000,000,000 shares of common stock and 50,000,000 shares of preferred stock. In connection with the IPO, all of the Company’s then outstanding convertible preferred stock converted into shares of common stock on a one-for-one basis. Upon conversion of the convertible preferred stock, the Company reclassified the carrying value of the convertible preferred stock to common stock and additional paid-in capital.</w:t>
      </w:r>
    </w:p>
    <w:p>
      <w:pPr>
        <w:spacing w:after="0" w:line="20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On June 14, 2022, our Board of Directors approved a stock repurchase program (the “Repurchase Program”) with authorization to purchase up to $50.0 million in shares of the Company’s common stock through the expiration of the program on December 21, 2022. On November 7, 2022, our Board of Directors approved an expansion of the Repurchase Program with authorization to purchase up to an additional $50.0 million in shares of the Company’s common stock ($100.0 million total) and an extension to the expiration of the Repurchase Program through December 31, 2023. Repurchases under the program may be made in the open market, in privately negotiated transactions or otherwise, with the amount and timing of repurchases to be determined at the Company’s discretion, depending on market conditions and corporate needs. This program does not obligate the Company to acquire any particular amount of common stock and may be modified, suspended or terminated at any time at the discretion of the Board of Directors. The Company expects to fund repurchases with existing cash on hand.</w:t>
      </w:r>
    </w:p>
    <w:p>
      <w:pPr>
        <w:spacing w:after="0" w:line="20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repurchased and retired 4,951,966 shares of common stock for $43.0 million, including transaction fees, during the year ended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Stock-Based Compensation</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2016, the Company adopted the 2016 Equity Incentive Plan (the “2016 Plan”). The 2016 Plan provided for the granting of stock-based awards, including stock options, stock appreciation rights, restricted or unrestricted stock awards, phantom stock, performance awards and other stock-based awards. The 2016 Plan allowed for the granting of stock-based awards through January 17, 2027.</w:t>
      </w:r>
    </w:p>
    <w:p>
      <w:pPr>
        <w:spacing w:after="0" w:line="15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connection with the IPO, the Company’s board of directors adopted, and the Company’s stockholders approved, the 2021 Incentive Award Plan (the “2021 Plan”), which became effective immediately prior to the effectiveness of the registration statement for the Company’s IPO and, following the effectiveness of which, the Company can no longer make awards under the 2016 Plan. The 2021 Plan provides for the issuance of incentive stock options, non-qualified stock options, stock awards, stock units, stock appreciation rights and other stock-based awards. The number of shares initially reserved for issuance under the 2021 Plan was 22,000,000 shares, inclusive of available shares previously reserved for issuance under the 2016 Plan. In addition, the number of shares reserved for issuance under the 2021 Plan is subject to an annual increase on the first day of each calendar year beginning on January 1, 2022 and ending on and including January 1, 2031, equal to the lesser of (i) 3% of the shares outstanding (on an as-converted basis) on the last day of the immediately preceding fiscal year and (ii) such smaller number of shares as determined by the Company’s board of directors, provided that no more than 22,000,000 shares may be issued upon the exercise of incentive stock options. Based on the Company’s outstanding shares of common stock as of December 31, 2021, on January 1, 2022 the number of shares reserved for issuance under the 2021 Plan increased by 5.9 million.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years ended December 31, 2022, 2021 and 2020, the Company granted time-based and performance-based stock options to employees and directors. Time-based options granted under the 2016 Plan vest 25% after one year, and then monthly over the next three years whereas time-based options granted under the 2021 Plan vest 25% after one year and then quarterly over the next three years. Time-based options granted under both the 2016 Plan and the 2021 Plan expire 10 years from date of grant and carry an exercise price equal to the fair market value at the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of grant as determined by the Company’s board of directors for options granted under the 2016 Plan and an exercise price equal to the closing price of the Company’s stock at the date of grant for options granted under the 2021 Plan.</w:t>
      </w:r>
    </w:p>
    <w:p>
      <w:pPr>
        <w:spacing w:after="0" w:line="13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overwhelming majority of performance-based options were granted prior to the IPO and had vesting conditions as follows: 50% of a holder’s award would have vested upon a change in control or an initial public offering if the per share cash price received in connection with such change in control or the per share offering price in such initial public offering was at least $27.41, and the other 50% of the holder’s award would have vested upon a change in control or an initial public offering if the per share cash price received in connection with such change in control or the per share offering price in such initial public offering was at least $36.54. The performance-based options generally carried an exercise price equal to the fair market value at the date of grant as determined by the board of directors and expired 10 years from date of grant. In connection with the IPO, the Company modified the performance-based stock options to be market condition-based options such that 50% of a holder’s award will vest if the market price for the Company’s stock reaches and maintains a volume weighted average stock price of $27.41, and the other 50% of the holder’s award will vest if the market price for the Company’s stock reaches and maintains a volume weighted average stock price of $36.54. Each tranche of options is eligible to vest if the applicable volume weighted average stock price goal is achieved during the first measurement period of January through March of 2023, and if such goal(s) are not achieved during such period, then the tranche(s) of options are again eligible to vest during a second measurement period of April through June 2023. To date, $14.9 million of stock-based compensation expense has been recognized related to the market condition-based options.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The relevant data used to determine the value of the stock options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gridSpan w:val="2"/>
          </w:tcPr>
          <w:p>
            <w:pPr>
              <w:ind w:left="380"/>
              <w:spacing w:after="0"/>
              <w:rPr>
                <w:sz w:val="20"/>
                <w:szCs w:val="20"/>
                <w:color w:val="auto"/>
              </w:rPr>
            </w:pPr>
            <w:r>
              <w:rPr>
                <w:rFonts w:ascii="Arial" w:cs="Arial" w:eastAsia="Arial" w:hAnsi="Arial"/>
                <w:sz w:val="18"/>
                <w:szCs w:val="18"/>
                <w:b w:val="1"/>
                <w:bCs w:val="1"/>
                <w:color w:val="auto"/>
              </w:rPr>
              <w:t>December 31,</w:t>
            </w:r>
          </w:p>
        </w:tc>
        <w:tc>
          <w:tcPr>
            <w:tcW w:w="1820" w:type="dxa"/>
            <w:vAlign w:val="bottom"/>
          </w:tcPr>
          <w:p>
            <w:pPr>
              <w:spacing w:after="0"/>
              <w:rPr>
                <w:sz w:val="20"/>
                <w:szCs w:val="20"/>
                <w:color w:val="auto"/>
              </w:rPr>
            </w:pPr>
          </w:p>
        </w:tc>
      </w:tr>
      <w:tr>
        <w:trPr>
          <w:trHeight w:val="27"/>
        </w:trPr>
        <w:tc>
          <w:tcPr>
            <w:tcW w:w="56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7"/>
        </w:trPr>
        <w:tc>
          <w:tcPr>
            <w:tcW w:w="56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34"/>
        </w:trPr>
        <w:tc>
          <w:tcPr>
            <w:tcW w:w="5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risk-free interest rate</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1.82%</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0.97%</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1.65%</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Expected term in years</w:t>
            </w:r>
          </w:p>
        </w:tc>
        <w:tc>
          <w:tcPr>
            <w:tcW w:w="178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87"/>
              </w:rPr>
              <w:t>6.1</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6.1</w:t>
            </w:r>
          </w:p>
        </w:tc>
      </w:tr>
      <w:tr>
        <w:trPr>
          <w:trHeight w:val="27"/>
        </w:trPr>
        <w:tc>
          <w:tcPr>
            <w:tcW w:w="56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expected volatility</w:t>
            </w:r>
          </w:p>
        </w:tc>
        <w:tc>
          <w:tcPr>
            <w:tcW w:w="17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48%</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43%</w:t>
            </w:r>
          </w:p>
        </w:tc>
      </w:tr>
      <w:tr>
        <w:trPr>
          <w:trHeight w:val="243"/>
        </w:trPr>
        <w:tc>
          <w:tcPr>
            <w:tcW w:w="5620" w:type="dxa"/>
            <w:vAlign w:val="bottom"/>
          </w:tcPr>
          <w:p>
            <w:pPr>
              <w:ind w:left="20"/>
              <w:spacing w:after="0"/>
              <w:rPr>
                <w:sz w:val="20"/>
                <w:szCs w:val="20"/>
                <w:color w:val="auto"/>
              </w:rPr>
            </w:pPr>
            <w:r>
              <w:rPr>
                <w:rFonts w:ascii="Arial" w:cs="Arial" w:eastAsia="Arial" w:hAnsi="Arial"/>
                <w:sz w:val="18"/>
                <w:szCs w:val="18"/>
                <w:color w:val="auto"/>
              </w:rPr>
              <w:t>Expected dividends</w:t>
            </w:r>
          </w:p>
        </w:tc>
        <w:tc>
          <w:tcPr>
            <w:tcW w:w="17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1"/>
                <w:szCs w:val="21"/>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for the year ended December 31, 2022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Weighted-Average</w:t>
            </w:r>
          </w:p>
        </w:tc>
        <w:tc>
          <w:tcPr>
            <w:tcW w:w="26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2"/>
              </w:rPr>
              <w:t>Remaining Contractual Term in</w:t>
            </w:r>
          </w:p>
        </w:tc>
        <w:tc>
          <w:tcPr>
            <w:tcW w:w="160" w:type="dxa"/>
            <w:vAlign w:val="bottom"/>
          </w:tcPr>
          <w:p>
            <w:pPr>
              <w:spacing w:after="0"/>
              <w:rPr>
                <w:sz w:val="18"/>
                <w:szCs w:val="18"/>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Aggregate</w:t>
            </w:r>
          </w:p>
        </w:tc>
        <w:tc>
          <w:tcPr>
            <w:tcW w:w="0" w:type="dxa"/>
            <w:vAlign w:val="bottom"/>
          </w:tcPr>
          <w:p>
            <w:pPr>
              <w:spacing w:after="0"/>
              <w:rPr>
                <w:sz w:val="1"/>
                <w:szCs w:val="1"/>
                <w:color w:val="auto"/>
              </w:rPr>
            </w:pPr>
          </w:p>
        </w:tc>
      </w:tr>
      <w:tr>
        <w:trPr>
          <w:trHeight w:val="234"/>
        </w:trPr>
        <w:tc>
          <w:tcPr>
            <w:tcW w:w="4400" w:type="dxa"/>
            <w:vAlign w:val="bottom"/>
          </w:tcPr>
          <w:p>
            <w:pPr>
              <w:spacing w:after="0"/>
              <w:rPr>
                <w:sz w:val="20"/>
                <w:szCs w:val="20"/>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Options</w:t>
            </w:r>
          </w:p>
        </w:tc>
        <w:tc>
          <w:tcPr>
            <w:tcW w:w="180" w:type="dxa"/>
            <w:vAlign w:val="bottom"/>
          </w:tcPr>
          <w:p>
            <w:pPr>
              <w:spacing w:after="0"/>
              <w:rPr>
                <w:sz w:val="20"/>
                <w:szCs w:val="20"/>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Exercise Price</w:t>
            </w:r>
          </w:p>
        </w:tc>
        <w:tc>
          <w:tcPr>
            <w:tcW w:w="2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Years</w:t>
            </w: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w w:val="94"/>
              </w:rPr>
              <w:t>Intrinsic Value</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gridSpan w:val="5"/>
          </w:tcPr>
          <w:p>
            <w:pPr>
              <w:spacing w:after="0"/>
              <w:rPr>
                <w:sz w:val="20"/>
                <w:szCs w:val="20"/>
                <w:color w:val="auto"/>
              </w:rPr>
            </w:pPr>
            <w:r>
              <w:rPr>
                <w:rFonts w:ascii="Arial" w:cs="Arial" w:eastAsia="Arial" w:hAnsi="Arial"/>
                <w:sz w:val="18"/>
                <w:szCs w:val="18"/>
                <w:i w:val="1"/>
                <w:iCs w:val="1"/>
                <w:color w:val="auto"/>
                <w:w w:val="92"/>
              </w:rPr>
              <w:t>(in thousands except for exercise price and term in years)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440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balance at January 1, 2022</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16,444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100" w:type="dxa"/>
            <w:vAlign w:val="bottom"/>
            <w:tcBorders>
              <w:bottom w:val="single" w:sz="8" w:color="CCEEFF"/>
            </w:tcBorders>
            <w:shd w:val="clear" w:color="auto" w:fill="CCEEFF"/>
          </w:tcPr>
          <w:p>
            <w:pPr>
              <w:spacing w:after="0"/>
              <w:rPr>
                <w:sz w:val="24"/>
                <w:szCs w:val="24"/>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101,003</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Granted</w:t>
            </w:r>
          </w:p>
        </w:tc>
        <w:tc>
          <w:tcPr>
            <w:tcW w:w="12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1,713</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11.67</w:t>
            </w:r>
          </w:p>
        </w:tc>
        <w:tc>
          <w:tcPr>
            <w:tcW w:w="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40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Exercised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00" w:type="dxa"/>
            <w:vAlign w:val="bottom"/>
          </w:tcPr>
          <w:p>
            <w:pPr>
              <w:ind w:left="140"/>
              <w:spacing w:after="0"/>
              <w:rPr>
                <w:sz w:val="20"/>
                <w:szCs w:val="20"/>
                <w:color w:val="auto"/>
              </w:rPr>
            </w:pPr>
            <w:r>
              <w:rPr>
                <w:rFonts w:ascii="Arial" w:cs="Arial" w:eastAsia="Arial" w:hAnsi="Arial"/>
                <w:sz w:val="18"/>
                <w:szCs w:val="18"/>
                <w:color w:val="auto"/>
              </w:rPr>
              <w:t>Forfeited</w:t>
            </w:r>
          </w:p>
        </w:tc>
        <w:tc>
          <w:tcPr>
            <w:tcW w:w="1240" w:type="dxa"/>
            <w:vAlign w:val="bottom"/>
          </w:tcPr>
          <w:p>
            <w:pPr>
              <w:jc w:val="right"/>
              <w:spacing w:after="0"/>
              <w:rPr>
                <w:sz w:val="20"/>
                <w:szCs w:val="20"/>
                <w:color w:val="auto"/>
              </w:rPr>
            </w:pPr>
            <w:r>
              <w:rPr>
                <w:rFonts w:ascii="Arial" w:cs="Arial" w:eastAsia="Arial" w:hAnsi="Arial"/>
                <w:sz w:val="18"/>
                <w:szCs w:val="18"/>
                <w:color w:val="auto"/>
              </w:rPr>
              <w:t>(869)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13.80</w:t>
            </w:r>
          </w:p>
        </w:tc>
        <w:tc>
          <w:tcPr>
            <w:tcW w:w="10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balance at December 31,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16,937</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4"/>
                <w:szCs w:val="24"/>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4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4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Exercisable at December 31, 2022</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4"/>
                <w:szCs w:val="24"/>
                <w:color w:val="auto"/>
              </w:rPr>
            </w:pP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3,839</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weighted-average grant date fair value of time-based stock options granted was $5.76, $8.30 and $1.27 for the years ended December 31, 2022, 2021 and 2020, respectively. The weighted-average modification date fair value of the market condition-based options modified in 2021 was $6.85. The weighted-average grant date fair value of the performance-based options granted in 2020 was $1.29. The total intrinsic value of options exercised during the years ended December 31, 2022, 2021 and 2020 was $2.3 million, $2.1 million and $0.1 million, respectively. Compensation expense of $19.3 million, $11.1 million and $3.1 million was recognized in stock-based</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compensation for the years ended December 31, 2022, 2021 and 2020, respectively. The unrecognized compensation expense associated with outstanding time-based stock options at December 31, 2022 was $20.8 million, which is expected to be recognized over a weighted average period of 3.6 years. The unrecognized compensation expense associated with outstanding market condition-based stock options at December 31, 2022 was $2.5 million, which is expected to be recognized on a straight-line basis over the next 3 months.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Awards</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2017, the Company granted 3.9 million time vesting restricted stock awards (“RSAs”). The awards vested over a four-year period starting on October 17, 2016. On the grant date, the awards were valued at $0.75 per award, totaling $2.9 million. The Company recorded compensation expense for these awards on a straight-line basis over the vesting period, which approximated the service period.</w:t>
      </w:r>
    </w:p>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also granted 1.6 million shares of funding RSAs during the year ended December 31, 2018. The funding awards only vested in the instances in which the majority owners or the Company purchased preferred stock. The shares vested in an amount equal to a percentage of the number of preferred shares purchased by majority owners of the Company.</w:t>
      </w:r>
    </w:p>
    <w:p>
      <w:pPr>
        <w:spacing w:after="0" w:line="15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23, 2019 and September 4, 2020, all unvested funding RSAs were modified such that the awards vested upon an investment by either of the equity sponsors and the percentage of awards that vested upon such investment was also modified. These modifications did not result in additional compensation expense at the date of each modification; however, future compensation expense for these awards was recognized based on the fair value of the award at the modification date. The compensation expense associated with the unvested funding awards was recorded on the vesting date. Unvested funding RSAs terminated upon the earlier of an IPO or a sale of the Company, as defined in the respective recipients’ Amended and Restated Restricted Stock Award Agreements dated May 7, 2021. On May 7, 2021 and May 20, 2021, the Company issued 7.6 million shares of Series C for $105.8 million and 0.3 million shares of Series C for $4.2 million, respectively, to fund an acquisition. In connection with these contributions, the funding RSAs were modified, and 0.6 million and 18 thousand, respectively, of funding RSAs vested at $17.00 per share.</w:t>
      </w:r>
    </w:p>
    <w:p>
      <w:pPr>
        <w:spacing w:after="0" w:line="1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Compensation expense of nil, $9.7 million and $7.0 million related to funding RSAs was recognized in general and administrative in the statement of operations and comprehensive loss for the years ended December 31, 2022, 2021 and 2020, respectively. In connection with the IPO, all remaining unvested funding awards were cancelled.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year ended December 31, 2022 and 2021, the Company issued time vesting restricted stock units (“RSUs”). The awards vest over a four-year period starting on the date of grant, with 25% of the awards vesting on the one-year anniversary, and then in equal quarterly installments for the subsequent three years. The Company records compensation expense for these awards on a straight-line basis, which approximates the service period. Compensation expense of $6.0 million and $1.2 million related to these awards was recognized in the statement of operations and comprehensive loss for the years ended December 31, 2022 and 2021, respectively. The unrecognized compensation expense associated with the RSUs at December 31, 2022 was $20.2 million, which is expected to be recognized over a weighted average period of 3.01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color w:val="auto"/>
        </w:rPr>
        <w:t>The summary of time vesting restricted stock units activity for the year ended December 31, 2022 is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tcPr>
          <w:p>
            <w:pPr>
              <w:jc w:val="right"/>
              <w:ind w:right="530"/>
              <w:spacing w:after="0"/>
              <w:rPr>
                <w:sz w:val="20"/>
                <w:szCs w:val="20"/>
                <w:color w:val="auto"/>
              </w:rPr>
            </w:pPr>
            <w:r>
              <w:rPr>
                <w:rFonts w:ascii="Arial" w:cs="Arial" w:eastAsia="Arial" w:hAnsi="Arial"/>
                <w:sz w:val="18"/>
                <w:szCs w:val="18"/>
                <w:b w:val="1"/>
                <w:bCs w:val="1"/>
                <w:color w:val="auto"/>
              </w:rPr>
              <w:t>Weighted-Average</w:t>
            </w:r>
          </w:p>
        </w:tc>
      </w:tr>
      <w:tr>
        <w:trPr>
          <w:trHeight w:val="234"/>
        </w:trPr>
        <w:tc>
          <w:tcPr>
            <w:tcW w:w="5800" w:type="dxa"/>
            <w:vAlign w:val="bottom"/>
          </w:tcPr>
          <w:p>
            <w:pPr>
              <w:spacing w:after="0"/>
              <w:rPr>
                <w:sz w:val="20"/>
                <w:szCs w:val="20"/>
                <w:color w:val="auto"/>
              </w:rPr>
            </w:pPr>
          </w:p>
        </w:tc>
        <w:tc>
          <w:tcPr>
            <w:tcW w:w="1860" w:type="dxa"/>
            <w:vAlign w:val="bottom"/>
          </w:tcPr>
          <w:p>
            <w:pPr>
              <w:ind w:left="1140"/>
              <w:spacing w:after="0"/>
              <w:rPr>
                <w:sz w:val="20"/>
                <w:szCs w:val="20"/>
                <w:color w:val="auto"/>
              </w:rPr>
            </w:pPr>
            <w:r>
              <w:rPr>
                <w:rFonts w:ascii="Arial" w:cs="Arial" w:eastAsia="Arial" w:hAnsi="Arial"/>
                <w:sz w:val="18"/>
                <w:szCs w:val="18"/>
                <w:b w:val="1"/>
                <w:bCs w:val="1"/>
                <w:color w:val="auto"/>
              </w:rPr>
              <w:t>Units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80" w:type="dxa"/>
            <w:vAlign w:val="bottom"/>
          </w:tcPr>
          <w:p>
            <w:pPr>
              <w:jc w:val="right"/>
              <w:ind w:right="390"/>
              <w:spacing w:after="0"/>
              <w:rPr>
                <w:sz w:val="20"/>
                <w:szCs w:val="20"/>
                <w:color w:val="auto"/>
              </w:rPr>
            </w:pPr>
            <w:r>
              <w:rPr>
                <w:rFonts w:ascii="Arial" w:cs="Arial" w:eastAsia="Arial" w:hAnsi="Arial"/>
                <w:sz w:val="18"/>
                <w:szCs w:val="18"/>
                <w:b w:val="1"/>
                <w:bCs w:val="1"/>
                <w:color w:val="auto"/>
              </w:rPr>
              <w:t>Grant Date Fair Value</w:t>
            </w:r>
          </w:p>
        </w:tc>
      </w:tr>
      <w:tr>
        <w:trPr>
          <w:trHeight w:val="27"/>
        </w:trPr>
        <w:tc>
          <w:tcPr>
            <w:tcW w:w="5800" w:type="dxa"/>
            <w:vAlign w:val="bottom"/>
          </w:tcPr>
          <w:p>
            <w:pPr>
              <w:spacing w:after="0"/>
              <w:rPr>
                <w:sz w:val="2"/>
                <w:szCs w:val="2"/>
                <w:color w:val="auto"/>
              </w:rPr>
            </w:pPr>
          </w:p>
        </w:tc>
        <w:tc>
          <w:tcPr>
            <w:tcW w:w="5440" w:type="dxa"/>
            <w:vAlign w:val="bottom"/>
            <w:tcBorders>
              <w:bottom w:val="single" w:sz="8" w:color="auto"/>
            </w:tcBorders>
            <w:gridSpan w:val="5"/>
          </w:tcPr>
          <w:p>
            <w:pPr>
              <w:spacing w:after="0"/>
              <w:rPr>
                <w:sz w:val="2"/>
                <w:szCs w:val="2"/>
                <w:color w:val="auto"/>
              </w:rPr>
            </w:pPr>
          </w:p>
        </w:tc>
      </w:tr>
      <w:tr>
        <w:trPr>
          <w:trHeight w:val="237"/>
        </w:trPr>
        <w:tc>
          <w:tcPr>
            <w:tcW w:w="5800" w:type="dxa"/>
            <w:vAlign w:val="bottom"/>
          </w:tcPr>
          <w:p>
            <w:pPr>
              <w:spacing w:after="0"/>
              <w:rPr>
                <w:sz w:val="20"/>
                <w:szCs w:val="20"/>
                <w:color w:val="auto"/>
              </w:rPr>
            </w:pPr>
          </w:p>
        </w:tc>
        <w:tc>
          <w:tcPr>
            <w:tcW w:w="5440" w:type="dxa"/>
            <w:vAlign w:val="bottom"/>
            <w:gridSpan w:val="5"/>
          </w:tcPr>
          <w:p>
            <w:pPr>
              <w:jc w:val="right"/>
              <w:ind w:right="1370"/>
              <w:spacing w:after="0"/>
              <w:rPr>
                <w:sz w:val="20"/>
                <w:szCs w:val="20"/>
                <w:color w:val="auto"/>
              </w:rPr>
            </w:pPr>
            <w:r>
              <w:rPr>
                <w:rFonts w:ascii="Arial" w:cs="Arial" w:eastAsia="Arial" w:hAnsi="Arial"/>
                <w:sz w:val="18"/>
                <w:szCs w:val="18"/>
                <w:i w:val="1"/>
                <w:iCs w:val="1"/>
                <w:color w:val="auto"/>
              </w:rPr>
              <w:t>(in thousands except for fair value)</w:t>
            </w:r>
          </w:p>
        </w:tc>
      </w:tr>
      <w:tr>
        <w:trPr>
          <w:trHeight w:val="81"/>
        </w:trPr>
        <w:tc>
          <w:tcPr>
            <w:tcW w:w="5800" w:type="dxa"/>
            <w:vAlign w:val="bottom"/>
          </w:tcPr>
          <w:p>
            <w:pPr>
              <w:spacing w:after="0"/>
              <w:rPr>
                <w:sz w:val="7"/>
                <w:szCs w:val="7"/>
                <w:color w:val="auto"/>
              </w:rPr>
            </w:pPr>
          </w:p>
        </w:tc>
        <w:tc>
          <w:tcPr>
            <w:tcW w:w="1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380" w:type="dxa"/>
            <w:vAlign w:val="bottom"/>
          </w:tcPr>
          <w:p>
            <w:pPr>
              <w:spacing w:after="0"/>
              <w:rPr>
                <w:sz w:val="7"/>
                <w:szCs w:val="7"/>
                <w:color w:val="auto"/>
              </w:rPr>
            </w:pPr>
          </w:p>
        </w:tc>
      </w:tr>
      <w:tr>
        <w:trPr>
          <w:trHeight w:val="250"/>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 at January 1, 2022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43"/>
        </w:trPr>
        <w:tc>
          <w:tcPr>
            <w:tcW w:w="7660" w:type="dxa"/>
            <w:vAlign w:val="bottom"/>
            <w:gridSpan w:val="2"/>
          </w:tcPr>
          <w:p>
            <w:pPr>
              <w:ind w:left="140"/>
              <w:spacing w:after="0"/>
              <w:rPr>
                <w:sz w:val="20"/>
                <w:szCs w:val="20"/>
                <w:color w:val="auto"/>
              </w:rPr>
            </w:pPr>
            <w:r>
              <w:rPr>
                <w:rFonts w:ascii="Arial" w:cs="Arial" w:eastAsia="Arial" w:hAnsi="Arial"/>
                <w:sz w:val="18"/>
                <w:szCs w:val="18"/>
                <w:color w:val="auto"/>
              </w:rPr>
              <w:t>Granted</w:t>
            </w:r>
          </w:p>
        </w:tc>
        <w:tc>
          <w:tcPr>
            <w:tcW w:w="820" w:type="dxa"/>
            <w:vAlign w:val="bottom"/>
          </w:tcPr>
          <w:p>
            <w:pPr>
              <w:jc w:val="right"/>
              <w:spacing w:after="0"/>
              <w:rPr>
                <w:sz w:val="20"/>
                <w:szCs w:val="20"/>
                <w:color w:val="auto"/>
              </w:rPr>
            </w:pPr>
            <w:r>
              <w:rPr>
                <w:rFonts w:ascii="Arial" w:cs="Arial" w:eastAsia="Arial" w:hAnsi="Arial"/>
                <w:sz w:val="18"/>
                <w:szCs w:val="18"/>
                <w:color w:val="auto"/>
              </w:rPr>
              <w:t>1,931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11.44</w:t>
            </w:r>
          </w:p>
        </w:tc>
      </w:tr>
      <w:tr>
        <w:trPr>
          <w:trHeight w:val="27"/>
        </w:trPr>
        <w:tc>
          <w:tcPr>
            <w:tcW w:w="58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380" w:type="dxa"/>
            <w:vAlign w:val="bottom"/>
          </w:tcPr>
          <w:p>
            <w:pPr>
              <w:spacing w:after="0"/>
              <w:rPr>
                <w:sz w:val="2"/>
                <w:szCs w:val="2"/>
                <w:color w:val="auto"/>
              </w:rPr>
            </w:pPr>
          </w:p>
        </w:tc>
      </w:tr>
      <w:tr>
        <w:trPr>
          <w:trHeight w:val="250"/>
        </w:trPr>
        <w:tc>
          <w:tcPr>
            <w:tcW w:w="76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Vested</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r>
      <w:tr>
        <w:trPr>
          <w:trHeight w:val="243"/>
        </w:trPr>
        <w:tc>
          <w:tcPr>
            <w:tcW w:w="7660" w:type="dxa"/>
            <w:vAlign w:val="bottom"/>
            <w:gridSpan w:val="2"/>
          </w:tcPr>
          <w:p>
            <w:pPr>
              <w:ind w:left="140"/>
              <w:spacing w:after="0"/>
              <w:rPr>
                <w:sz w:val="20"/>
                <w:szCs w:val="20"/>
                <w:color w:val="auto"/>
              </w:rPr>
            </w:pPr>
            <w:r>
              <w:rPr>
                <w:rFonts w:ascii="Arial" w:cs="Arial" w:eastAsia="Arial" w:hAnsi="Arial"/>
                <w:sz w:val="18"/>
                <w:szCs w:val="18"/>
                <w:color w:val="auto"/>
              </w:rPr>
              <w:t>Forfeited</w:t>
            </w:r>
          </w:p>
        </w:tc>
        <w:tc>
          <w:tcPr>
            <w:tcW w:w="820" w:type="dxa"/>
            <w:vAlign w:val="bottom"/>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380" w:type="dxa"/>
            <w:vAlign w:val="bottom"/>
          </w:tcPr>
          <w:p>
            <w:pPr>
              <w:jc w:val="right"/>
              <w:spacing w:after="0"/>
              <w:rPr>
                <w:sz w:val="20"/>
                <w:szCs w:val="20"/>
                <w:color w:val="auto"/>
              </w:rPr>
            </w:pPr>
            <w:r>
              <w:rPr>
                <w:rFonts w:ascii="Arial" w:cs="Arial" w:eastAsia="Arial" w:hAnsi="Arial"/>
                <w:sz w:val="18"/>
                <w:szCs w:val="18"/>
                <w:color w:val="auto"/>
              </w:rPr>
              <w:t>12.89</w:t>
            </w:r>
          </w:p>
        </w:tc>
      </w:tr>
      <w:tr>
        <w:trPr>
          <w:trHeight w:val="27"/>
        </w:trPr>
        <w:tc>
          <w:tcPr>
            <w:tcW w:w="58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r>
      <w:tr>
        <w:trPr>
          <w:trHeight w:val="283"/>
        </w:trPr>
        <w:tc>
          <w:tcPr>
            <w:tcW w:w="7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Unvested, restricted stock units at December 31, 2022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w:t>
            </w: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IPO, the Company’s board of directors adopted the 2021 Employee Stock Purchase Plan. The ESPP is designed to allow eligible employees to purchase shares of our common stock, at periodic intervals, with their accumulated payroll deductions. The ESPP consists of two components: a Section 423 component, which is intended to qualify under Section 423 of the Internal Revenue Code (the “Code”) and a non-Section 423 component, which need not qualify under Section 423 of the Code. The aggregate number of shares of common stock that were initially reserved for issuance under the ESPP is equal to the sum of (i) 4,500,000 shares and (ii) an annual increase on the first day of each calendar year beginning in 2022 and ending in and including 2031 equal to the lesser of (A) one percent (1%) of the outstanding shares of our common stock on the last day of the immediately preceding fiscal year and (B) such smaller number of shares as determined by our board of directors; provided that in no event will more than 60,000,000 shares of our common stock be available for issuance under the Section 423 component of the ESPP. Compensation expense of $1.5 million and $0.1 million related to the ESPP was recognized in the statement of operations and comprehensive loss for the years ended December 31, 2022 and 2021,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Stock-based compensation expense was classified in the accompanying consolidated statements of operations and comprehensive loss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00" w:type="dxa"/>
            <w:vAlign w:val="bottom"/>
            <w:gridSpan w:val="6"/>
          </w:tcPr>
          <w:p>
            <w:pPr>
              <w:jc w:val="center"/>
              <w:ind w:left="690"/>
              <w:spacing w:after="0"/>
              <w:rPr>
                <w:sz w:val="20"/>
                <w:szCs w:val="20"/>
                <w:color w:val="auto"/>
              </w:rPr>
            </w:pPr>
            <w:r>
              <w:rPr>
                <w:rFonts w:ascii="Arial" w:cs="Arial" w:eastAsia="Arial" w:hAnsi="Arial"/>
                <w:sz w:val="18"/>
                <w:szCs w:val="18"/>
                <w:b w:val="1"/>
                <w:bCs w:val="1"/>
                <w:color w:val="auto"/>
                <w:w w:val="89"/>
              </w:rPr>
              <w:t>Year ended December 31,</w:t>
            </w:r>
          </w:p>
        </w:tc>
        <w:tc>
          <w:tcPr>
            <w:tcW w:w="110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7"/>
        </w:trPr>
        <w:tc>
          <w:tcPr>
            <w:tcW w:w="67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i w:val="1"/>
                <w:iCs w:val="1"/>
                <w:color w:val="auto"/>
                <w:w w:val="91"/>
              </w:rPr>
              <w:t>(in thousands)</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81"/>
        </w:trPr>
        <w:tc>
          <w:tcPr>
            <w:tcW w:w="6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23,088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20,999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10,721</w:t>
            </w:r>
          </w:p>
        </w:tc>
      </w:tr>
      <w:tr>
        <w:trPr>
          <w:trHeight w:val="27"/>
        </w:trPr>
        <w:tc>
          <w:tcPr>
            <w:tcW w:w="6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6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10,721</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Note 13. Net Loss Per Share Attributable to Common Stockholders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60" w:type="dxa"/>
            <w:vAlign w:val="bottom"/>
            <w:gridSpan w:val="4"/>
          </w:tcPr>
          <w:p>
            <w:pPr>
              <w:spacing w:after="0"/>
              <w:rPr>
                <w:sz w:val="20"/>
                <w:szCs w:val="20"/>
                <w:color w:val="auto"/>
              </w:rPr>
            </w:pPr>
            <w:r>
              <w:rPr>
                <w:rFonts w:ascii="Arial" w:cs="Arial" w:eastAsia="Arial" w:hAnsi="Arial"/>
                <w:sz w:val="18"/>
                <w:szCs w:val="18"/>
                <w:color w:val="auto"/>
                <w:w w:val="91"/>
              </w:rPr>
              <w:t>The following table presents the calculation of basic and diluted net loss per share for the Company’s common stock:</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7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40" w:type="dxa"/>
            <w:vAlign w:val="bottom"/>
            <w:gridSpan w:val="6"/>
          </w:tcPr>
          <w:p>
            <w:pPr>
              <w:jc w:val="center"/>
              <w:ind w:left="730"/>
              <w:spacing w:after="0"/>
              <w:rPr>
                <w:sz w:val="20"/>
                <w:szCs w:val="20"/>
                <w:color w:val="auto"/>
              </w:rPr>
            </w:pPr>
            <w:r>
              <w:rPr>
                <w:rFonts w:ascii="Arial" w:cs="Arial" w:eastAsia="Arial" w:hAnsi="Arial"/>
                <w:sz w:val="18"/>
                <w:szCs w:val="18"/>
                <w:b w:val="1"/>
                <w:bCs w:val="1"/>
                <w:color w:val="auto"/>
                <w:w w:val="89"/>
              </w:rPr>
              <w:t>Year ended December 31,</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920" w:type="dxa"/>
            <w:vAlign w:val="bottom"/>
            <w:tcBorders>
              <w:bottom w:val="single" w:sz="8" w:color="auto"/>
            </w:tcBorders>
            <w:gridSpan w:val="7"/>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20" w:type="dxa"/>
            <w:vAlign w:val="bottom"/>
            <w:gridSpan w:val="7"/>
          </w:tcPr>
          <w:p>
            <w:pPr>
              <w:jc w:val="center"/>
              <w:ind w:right="70"/>
              <w:spacing w:after="0"/>
              <w:rPr>
                <w:sz w:val="20"/>
                <w:szCs w:val="20"/>
                <w:color w:val="auto"/>
              </w:rPr>
            </w:pPr>
            <w:r>
              <w:rPr>
                <w:rFonts w:ascii="Arial" w:cs="Arial" w:eastAsia="Arial" w:hAnsi="Arial"/>
                <w:sz w:val="18"/>
                <w:szCs w:val="18"/>
                <w:i w:val="1"/>
                <w:iCs w:val="1"/>
                <w:color w:val="auto"/>
                <w:w w:val="89"/>
              </w:rPr>
              <w:t>(in thousands except share and per share amounts)</w:t>
            </w:r>
          </w:p>
        </w:tc>
        <w:tc>
          <w:tcPr>
            <w:tcW w:w="0" w:type="dxa"/>
            <w:vAlign w:val="bottom"/>
          </w:tcPr>
          <w:p>
            <w:pPr>
              <w:spacing w:after="0"/>
              <w:rPr>
                <w:sz w:val="1"/>
                <w:szCs w:val="1"/>
                <w:color w:val="auto"/>
              </w:rPr>
            </w:pPr>
          </w:p>
        </w:tc>
      </w:tr>
      <w:tr>
        <w:trPr>
          <w:trHeight w:val="81"/>
        </w:trPr>
        <w:tc>
          <w:tcPr>
            <w:tcW w:w="7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(59,816)</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(81,966)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(59,954)</w:t>
            </w: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Accretion of Series B to redemption value</w:t>
            </w: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(67,811)</w:t>
            </w:r>
          </w:p>
        </w:tc>
        <w:tc>
          <w:tcPr>
            <w:tcW w:w="0" w:type="dxa"/>
            <w:vAlign w:val="bottom"/>
          </w:tcPr>
          <w:p>
            <w:pPr>
              <w:spacing w:after="0"/>
              <w:rPr>
                <w:sz w:val="1"/>
                <w:szCs w:val="1"/>
                <w:color w:val="auto"/>
              </w:rPr>
            </w:pPr>
          </w:p>
        </w:tc>
      </w:tr>
      <w:tr>
        <w:trPr>
          <w:trHeight w:val="263"/>
        </w:trPr>
        <w:tc>
          <w:tcPr>
            <w:tcW w:w="7160" w:type="dxa"/>
            <w:vAlign w:val="bottom"/>
          </w:tcPr>
          <w:p>
            <w:pPr>
              <w:ind w:left="220"/>
              <w:spacing w:after="0"/>
              <w:rPr>
                <w:sz w:val="20"/>
                <w:szCs w:val="20"/>
                <w:color w:val="auto"/>
              </w:rPr>
            </w:pPr>
            <w:r>
              <w:rPr>
                <w:rFonts w:ascii="Arial" w:cs="Arial" w:eastAsia="Arial" w:hAnsi="Arial"/>
                <w:sz w:val="18"/>
                <w:szCs w:val="18"/>
                <w:color w:val="auto"/>
              </w:rPr>
              <w:t>Numerator for basic and diluted EPS – net loss attributable to common stockholders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(59,816)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(97,071)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(127,765)</w:t>
            </w:r>
          </w:p>
        </w:tc>
        <w:tc>
          <w:tcPr>
            <w:tcW w:w="0" w:type="dxa"/>
            <w:vAlign w:val="bottom"/>
          </w:tcPr>
          <w:p>
            <w:pPr>
              <w:spacing w:after="0"/>
              <w:rPr>
                <w:sz w:val="1"/>
                <w:szCs w:val="1"/>
                <w:color w:val="auto"/>
              </w:rPr>
            </w:pPr>
          </w:p>
        </w:tc>
      </w:tr>
      <w:tr>
        <w:trPr>
          <w:trHeight w:val="20"/>
        </w:trPr>
        <w:tc>
          <w:tcPr>
            <w:tcW w:w="7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160" w:type="dxa"/>
            <w:vAlign w:val="bottom"/>
          </w:tcPr>
          <w:p>
            <w:pPr>
              <w:ind w:left="20"/>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Denominator for basic and diluted EPS – Weighted-average shares of common stock outstanding</w:t>
            </w:r>
          </w:p>
        </w:tc>
        <w:tc>
          <w:tcPr>
            <w:tcW w:w="160" w:type="dxa"/>
            <w:vAlign w:val="bottom"/>
            <w:shd w:val="clear" w:color="auto" w:fill="CCEEFF"/>
          </w:tcPr>
          <w:p>
            <w:pPr>
              <w:spacing w:after="0"/>
              <w:rPr>
                <w:sz w:val="19"/>
                <w:szCs w:val="19"/>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194,624,968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117,795,280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41,696,800</w:t>
            </w:r>
          </w:p>
        </w:tc>
        <w:tc>
          <w:tcPr>
            <w:tcW w:w="0" w:type="dxa"/>
            <w:vAlign w:val="bottom"/>
          </w:tcPr>
          <w:p>
            <w:pPr>
              <w:spacing w:after="0"/>
              <w:rPr>
                <w:sz w:val="1"/>
                <w:szCs w:val="1"/>
                <w:color w:val="auto"/>
              </w:rPr>
            </w:pPr>
          </w:p>
        </w:tc>
      </w:tr>
      <w:tr>
        <w:trPr>
          <w:trHeight w:val="250"/>
        </w:trPr>
        <w:tc>
          <w:tcPr>
            <w:tcW w:w="71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used in computing net loss per share</w:t>
            </w:r>
          </w:p>
        </w:tc>
        <w:tc>
          <w:tcPr>
            <w:tcW w:w="1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5"/>
        </w:trPr>
        <w:tc>
          <w:tcPr>
            <w:tcW w:w="7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share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computation of diluted net loss per share attributable to common stockholders for the periods presented due to their anti-dilutive effect: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b w:val="1"/>
                <w:bCs w:val="1"/>
                <w:color w:val="auto"/>
              </w:rPr>
              <w:t>December 31,</w:t>
            </w:r>
          </w:p>
        </w:tc>
        <w:tc>
          <w:tcPr>
            <w:tcW w:w="1440" w:type="dxa"/>
            <w:vAlign w:val="bottom"/>
          </w:tcPr>
          <w:p>
            <w:pPr>
              <w:spacing w:after="0"/>
              <w:rPr>
                <w:sz w:val="20"/>
                <w:szCs w:val="20"/>
                <w:color w:val="auto"/>
              </w:rPr>
            </w:pPr>
          </w:p>
        </w:tc>
      </w:tr>
      <w:tr>
        <w:trPr>
          <w:trHeight w:val="27"/>
        </w:trPr>
        <w:tc>
          <w:tcPr>
            <w:tcW w:w="67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67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7"/>
        </w:trPr>
        <w:tc>
          <w:tcPr>
            <w:tcW w:w="67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4"/>
        </w:trPr>
        <w:tc>
          <w:tcPr>
            <w:tcW w:w="67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options to purchase common stock and unvested RSUs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18,959,163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16,984,483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16,268,357</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Outstanding convertible preferred stock (Series A and B)</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117,183,540</w:t>
            </w:r>
          </w:p>
        </w:tc>
      </w:tr>
      <w:tr>
        <w:trPr>
          <w:trHeight w:val="27"/>
        </w:trPr>
        <w:tc>
          <w:tcPr>
            <w:tcW w:w="67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88"/>
        </w:trPr>
        <w:tc>
          <w:tcPr>
            <w:tcW w:w="67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anti-dilutive outstanding potential common stock</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18,959,163</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16,984,483</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133,451,897</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of Financial Instruments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Fair value estimates of financial instruments are made at a specific point in time, based on relevant information about financial markets and specific financial instruments. As these estimates are subjective in nature, involving uncertainties and matters of significant judgment, they cannot be determined with precision. Changes in assumptions can significantly affect estimated fair value.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measures fair value as the price that would be received to sell an asset or paid to transfer a liability (an exit price) in an orderly transaction between market participants at the reporting date. The Company utilizes a three-tier hierarchy, which prioritizes the inputs used in the valuation methodologies in measuring fair value:</w:t>
      </w:r>
    </w:p>
    <w:p>
      <w:pPr>
        <w:spacing w:after="0" w:line="180"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Valuations based on quoted prices in active markets for identical assets or liabilities that an entity has the ability to access.</w:t>
      </w:r>
    </w:p>
    <w:p>
      <w:pPr>
        <w:spacing w:after="0" w:line="225" w:lineRule="exact"/>
        <w:rPr>
          <w:rFonts w:ascii="Arial" w:cs="Arial" w:eastAsia="Arial" w:hAnsi="Arial"/>
          <w:sz w:val="18"/>
          <w:szCs w:val="18"/>
          <w:b w:val="1"/>
          <w:bCs w:val="1"/>
          <w:color w:val="auto"/>
        </w:rPr>
      </w:pPr>
    </w:p>
    <w:p>
      <w:pPr>
        <w:jc w:val="both"/>
        <w:ind w:left="660" w:hanging="328"/>
        <w:spacing w:after="0" w:line="266"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Valuations based on quoted prices for similar assets or liabilities, quoted prices for identical assets or liabilities in markets that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active, or other inputs that are observable or can be corroborated by observable data for substantially the full term of the assets or liabilities. The Company has no assets or liabilities valued with Level 2 inputs.</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660" w:hanging="328"/>
        <w:spacing w:after="0" w:line="282" w:lineRule="auto"/>
        <w:tabs>
          <w:tab w:leader="none" w:pos="655"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Valuations based on inputs that are supported by little or no market activity and that are significant to the fair value of the assets or</w:t>
      </w:r>
      <w:r>
        <w:rPr>
          <w:rFonts w:ascii="Arial" w:cs="Arial" w:eastAsia="Arial" w:hAnsi="Arial"/>
          <w:sz w:val="18"/>
          <w:szCs w:val="18"/>
          <w:b w:val="1"/>
          <w:bCs w:val="1"/>
          <w:color w:val="auto"/>
        </w:rPr>
        <w:t xml:space="preserve"> </w:t>
      </w:r>
      <w:r>
        <w:rPr>
          <w:rFonts w:ascii="Arial" w:cs="Arial" w:eastAsia="Arial" w:hAnsi="Arial"/>
          <w:sz w:val="18"/>
          <w:szCs w:val="18"/>
          <w:color w:val="auto"/>
        </w:rPr>
        <w:t>liabilities.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carrying value of cash and cash equivalents, accounts receivable, contract assets and accounts payable approximate their fair value because of the short-term nature of these instruments.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fair value measurement levels during the years ended December 31, 2022 and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3"/>
          </w:tcPr>
          <w:p>
            <w:pPr>
              <w:jc w:val="right"/>
              <w:ind w:right="529"/>
              <w:spacing w:after="0"/>
              <w:rPr>
                <w:sz w:val="20"/>
                <w:szCs w:val="20"/>
                <w:color w:val="auto"/>
              </w:rPr>
            </w:pPr>
            <w:r>
              <w:rPr>
                <w:rFonts w:ascii="Arial" w:cs="Arial" w:eastAsia="Arial" w:hAnsi="Arial"/>
                <w:sz w:val="18"/>
                <w:szCs w:val="18"/>
                <w:b w:val="1"/>
                <w:bCs w:val="1"/>
                <w:color w:val="auto"/>
              </w:rPr>
              <w:t>December 31, 2022</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2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gridSpan w:val="2"/>
          </w:tcPr>
          <w:p>
            <w:pPr>
              <w:jc w:val="right"/>
              <w:ind w:right="308"/>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060" w:type="dxa"/>
            <w:vAlign w:val="bottom"/>
          </w:tcPr>
          <w:p>
            <w:pPr>
              <w:jc w:val="right"/>
              <w:ind w:right="249"/>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Total</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
          </w:tcPr>
          <w:p>
            <w:pPr>
              <w:ind w:left="40"/>
              <w:spacing w:after="0"/>
              <w:rPr>
                <w:sz w:val="20"/>
                <w:szCs w:val="20"/>
                <w:color w:val="auto"/>
              </w:rPr>
            </w:pPr>
            <w:r>
              <w:rPr>
                <w:rFonts w:ascii="Arial" w:cs="Arial" w:eastAsia="Arial" w:hAnsi="Arial"/>
                <w:sz w:val="18"/>
                <w:szCs w:val="18"/>
                <w:b w:val="1"/>
                <w:bCs w:val="1"/>
                <w:color w:val="auto"/>
              </w:rPr>
              <w:t>Balance Sheet Classification</w:t>
            </w:r>
          </w:p>
        </w:tc>
      </w:tr>
      <w:tr>
        <w:trPr>
          <w:trHeight w:val="27"/>
        </w:trPr>
        <w:tc>
          <w:tcPr>
            <w:tcW w:w="2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2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3"/>
          </w:tcPr>
          <w:p>
            <w:pPr>
              <w:jc w:val="right"/>
              <w:ind w:right="729"/>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1"/>
        </w:trPr>
        <w:tc>
          <w:tcPr>
            <w:tcW w:w="2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660" w:type="dxa"/>
            <w:vAlign w:val="bottom"/>
          </w:tcPr>
          <w:p>
            <w:pPr>
              <w:ind w:left="140"/>
              <w:spacing w:after="0"/>
              <w:rPr>
                <w:sz w:val="20"/>
                <w:szCs w:val="20"/>
                <w:color w:val="auto"/>
              </w:rPr>
            </w:pPr>
            <w:r>
              <w:rPr>
                <w:rFonts w:ascii="Arial" w:cs="Arial" w:eastAsia="Arial" w:hAnsi="Arial"/>
                <w:sz w:val="18"/>
                <w:szCs w:val="18"/>
                <w:color w:val="auto"/>
              </w:rPr>
              <w:t>Money market</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6,568</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6,568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4"/>
          </w:tcPr>
          <w:p>
            <w:pPr>
              <w:ind w:left="20"/>
              <w:spacing w:after="0"/>
              <w:rPr>
                <w:sz w:val="20"/>
                <w:szCs w:val="20"/>
                <w:color w:val="auto"/>
              </w:rPr>
            </w:pPr>
            <w:r>
              <w:rPr>
                <w:rFonts w:ascii="Arial" w:cs="Arial" w:eastAsia="Arial" w:hAnsi="Arial"/>
                <w:sz w:val="18"/>
                <w:szCs w:val="18"/>
                <w:color w:val="auto"/>
              </w:rPr>
              <w:t>Cash equivalents</w:t>
            </w:r>
          </w:p>
        </w:tc>
      </w:tr>
      <w:tr>
        <w:trPr>
          <w:trHeight w:val="27"/>
        </w:trPr>
        <w:tc>
          <w:tcPr>
            <w:tcW w:w="2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70"/>
        </w:trPr>
        <w:tc>
          <w:tcPr>
            <w:tcW w:w="2660" w:type="dxa"/>
            <w:vAlign w:val="bottom"/>
          </w:tcPr>
          <w:p>
            <w:pPr>
              <w:ind w:left="140"/>
              <w:spacing w:after="0"/>
              <w:rPr>
                <w:sz w:val="20"/>
                <w:szCs w:val="20"/>
                <w:color w:val="auto"/>
              </w:rPr>
            </w:pPr>
            <w:r>
              <w:rPr>
                <w:rFonts w:ascii="Arial" w:cs="Arial" w:eastAsia="Arial" w:hAnsi="Arial"/>
                <w:sz w:val="18"/>
                <w:szCs w:val="18"/>
                <w:color w:val="auto"/>
              </w:rPr>
              <w:t>Interest swap rate</w:t>
            </w:r>
          </w:p>
        </w:tc>
        <w:tc>
          <w:tcPr>
            <w:tcW w:w="300" w:type="dxa"/>
            <w:vAlign w:val="bottom"/>
          </w:tcPr>
          <w:p>
            <w:pPr>
              <w:ind w:left="20"/>
              <w:spacing w:after="0"/>
              <w:rPr>
                <w:sz w:val="20"/>
                <w:szCs w:val="20"/>
                <w:color w:val="auto"/>
              </w:rPr>
            </w:pPr>
            <w:r>
              <w:rPr>
                <w:rFonts w:ascii="Arial" w:cs="Arial" w:eastAsia="Arial" w:hAnsi="Arial"/>
                <w:sz w:val="20"/>
                <w:szCs w:val="20"/>
                <w:color w:val="auto"/>
              </w:rPr>
              <w:t>$</w:t>
            </w:r>
          </w:p>
        </w:tc>
        <w:tc>
          <w:tcPr>
            <w:tcW w:w="2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20"/>
                <w:szCs w:val="20"/>
                <w:color w:val="auto"/>
              </w:rPr>
              <w:t>—</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2,893</w:t>
            </w:r>
          </w:p>
        </w:tc>
        <w:tc>
          <w:tcPr>
            <w:tcW w:w="340" w:type="dxa"/>
            <w:vAlign w:val="bottom"/>
          </w:tcPr>
          <w:p>
            <w:pPr>
              <w:ind w:left="120"/>
              <w:spacing w:after="0"/>
              <w:rPr>
                <w:sz w:val="20"/>
                <w:szCs w:val="20"/>
                <w:color w:val="auto"/>
              </w:rPr>
            </w:pPr>
            <w:r>
              <w:rPr>
                <w:rFonts w:ascii="Arial" w:cs="Arial" w:eastAsia="Arial" w:hAnsi="Arial"/>
                <w:sz w:val="20"/>
                <w:szCs w:val="20"/>
                <w:color w:val="auto"/>
              </w:rPr>
              <w:t>$</w:t>
            </w:r>
          </w:p>
        </w:tc>
        <w:tc>
          <w:tcPr>
            <w:tcW w:w="1060" w:type="dxa"/>
            <w:vAlign w:val="bottom"/>
          </w:tcPr>
          <w:p>
            <w:pPr>
              <w:jc w:val="right"/>
              <w:spacing w:after="0"/>
              <w:rPr>
                <w:sz w:val="20"/>
                <w:szCs w:val="20"/>
                <w:color w:val="auto"/>
              </w:rPr>
            </w:pPr>
            <w:r>
              <w:rPr>
                <w:rFonts w:ascii="Arial" w:cs="Arial" w:eastAsia="Arial" w:hAnsi="Arial"/>
                <w:sz w:val="20"/>
                <w:szCs w:val="20"/>
                <w:color w:val="auto"/>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2,893</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40" w:type="dxa"/>
            <w:vAlign w:val="bottom"/>
            <w:gridSpan w:val="4"/>
          </w:tcPr>
          <w:p>
            <w:pPr>
              <w:ind w:left="20"/>
              <w:spacing w:after="0"/>
              <w:rPr>
                <w:sz w:val="20"/>
                <w:szCs w:val="20"/>
                <w:color w:val="auto"/>
              </w:rPr>
            </w:pPr>
            <w:r>
              <w:rPr>
                <w:rFonts w:ascii="Arial" w:cs="Arial" w:eastAsia="Arial" w:hAnsi="Arial"/>
                <w:sz w:val="18"/>
                <w:szCs w:val="18"/>
                <w:color w:val="auto"/>
              </w:rPr>
              <w:t>Other non-current liabilities</w:t>
            </w:r>
          </w:p>
        </w:tc>
      </w:tr>
      <w:tr>
        <w:trPr>
          <w:trHeight w:val="608"/>
        </w:trPr>
        <w:tc>
          <w:tcPr>
            <w:tcW w:w="2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500" w:type="dxa"/>
            <w:vAlign w:val="bottom"/>
            <w:gridSpan w:val="3"/>
          </w:tcPr>
          <w:p>
            <w:pPr>
              <w:jc w:val="right"/>
              <w:ind w:right="209"/>
              <w:spacing w:after="0"/>
              <w:rPr>
                <w:sz w:val="20"/>
                <w:szCs w:val="20"/>
                <w:color w:val="auto"/>
              </w:rPr>
            </w:pPr>
            <w:r>
              <w:rPr>
                <w:rFonts w:ascii="Arial" w:cs="Arial" w:eastAsia="Arial" w:hAnsi="Arial"/>
                <w:sz w:val="18"/>
                <w:szCs w:val="18"/>
                <w:b w:val="1"/>
                <w:bCs w:val="1"/>
                <w:color w:val="auto"/>
              </w:rPr>
              <w:t>December 31, 2021</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2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2"/>
          </w:tcPr>
          <w:p>
            <w:pPr>
              <w:spacing w:after="0"/>
              <w:rPr>
                <w:sz w:val="2"/>
                <w:szCs w:val="2"/>
                <w:color w:val="auto"/>
              </w:rPr>
            </w:pPr>
          </w:p>
        </w:tc>
      </w:tr>
      <w:tr>
        <w:trPr>
          <w:trHeight w:val="237"/>
        </w:trPr>
        <w:tc>
          <w:tcPr>
            <w:tcW w:w="2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Level 2</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gridSpan w:val="2"/>
          </w:tcPr>
          <w:p>
            <w:pPr>
              <w:ind w:left="180"/>
              <w:spacing w:after="0"/>
              <w:rPr>
                <w:sz w:val="20"/>
                <w:szCs w:val="20"/>
                <w:color w:val="auto"/>
              </w:rPr>
            </w:pPr>
            <w:r>
              <w:rPr>
                <w:rFonts w:ascii="Arial" w:cs="Arial" w:eastAsia="Arial" w:hAnsi="Arial"/>
                <w:sz w:val="18"/>
                <w:szCs w:val="18"/>
                <w:b w:val="1"/>
                <w:bCs w:val="1"/>
                <w:color w:val="auto"/>
                <w:w w:val="95"/>
              </w:rPr>
              <w:t>Balance Sheet Classification</w:t>
            </w:r>
          </w:p>
        </w:tc>
      </w:tr>
      <w:tr>
        <w:trPr>
          <w:trHeight w:val="27"/>
        </w:trPr>
        <w:tc>
          <w:tcPr>
            <w:tcW w:w="2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2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500" w:type="dxa"/>
            <w:vAlign w:val="bottom"/>
            <w:gridSpan w:val="3"/>
          </w:tcPr>
          <w:p>
            <w:pPr>
              <w:jc w:val="right"/>
              <w:ind w:right="429"/>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1"/>
        </w:trPr>
        <w:tc>
          <w:tcPr>
            <w:tcW w:w="26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660" w:type="dxa"/>
            <w:vAlign w:val="bottom"/>
          </w:tcPr>
          <w:p>
            <w:pPr>
              <w:ind w:left="140"/>
              <w:spacing w:after="0"/>
              <w:rPr>
                <w:sz w:val="20"/>
                <w:szCs w:val="20"/>
                <w:color w:val="auto"/>
              </w:rPr>
            </w:pPr>
            <w:r>
              <w:rPr>
                <w:rFonts w:ascii="Arial" w:cs="Arial" w:eastAsia="Arial" w:hAnsi="Arial"/>
                <w:sz w:val="18"/>
                <w:szCs w:val="18"/>
                <w:color w:val="auto"/>
              </w:rPr>
              <w:t>Money market</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14,855</w:t>
            </w:r>
          </w:p>
        </w:tc>
        <w:tc>
          <w:tcPr>
            <w:tcW w:w="11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89"/>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14,855</w:t>
            </w:r>
          </w:p>
        </w:tc>
        <w:tc>
          <w:tcPr>
            <w:tcW w:w="100" w:type="dxa"/>
            <w:vAlign w:val="bottom"/>
          </w:tcPr>
          <w:p>
            <w:pPr>
              <w:spacing w:after="0"/>
              <w:rPr>
                <w:sz w:val="21"/>
                <w:szCs w:val="21"/>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Cash equivalents</w:t>
            </w:r>
          </w:p>
        </w:tc>
      </w:tr>
      <w:tr>
        <w:trPr>
          <w:trHeight w:val="27"/>
        </w:trPr>
        <w:tc>
          <w:tcPr>
            <w:tcW w:w="2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Liability:</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66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5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30"/>
              <w:spacing w:after="0"/>
              <w:rPr>
                <w:sz w:val="20"/>
                <w:szCs w:val="20"/>
                <w:color w:val="auto"/>
              </w:rPr>
            </w:pPr>
            <w:r>
              <w:rPr>
                <w:rFonts w:ascii="Arial" w:cs="Arial" w:eastAsia="Arial" w:hAnsi="Arial"/>
                <w:sz w:val="18"/>
                <w:szCs w:val="18"/>
                <w:color w:val="auto"/>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89"/>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w w:val="86"/>
              </w:rPr>
              <w:t>675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86"/>
              </w:rPr>
              <w:t>675</w:t>
            </w:r>
          </w:p>
        </w:tc>
        <w:tc>
          <w:tcPr>
            <w:tcW w:w="100" w:type="dxa"/>
            <w:vAlign w:val="bottom"/>
          </w:tcPr>
          <w:p>
            <w:pPr>
              <w:spacing w:after="0"/>
              <w:rPr>
                <w:sz w:val="21"/>
                <w:szCs w:val="21"/>
                <w:color w:val="auto"/>
              </w:rPr>
            </w:pPr>
          </w:p>
        </w:tc>
        <w:tc>
          <w:tcPr>
            <w:tcW w:w="25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is a reconciliation of the opening and closing balance for contingent consideration measured at fair value on a recurring basis using significant unobservable inputs (Level 3) during the year ended December 31, 2022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Opening balance</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r>
      <w:tr>
        <w:trPr>
          <w:trHeight w:val="243"/>
        </w:trPr>
        <w:tc>
          <w:tcPr>
            <w:tcW w:w="9000" w:type="dxa"/>
            <w:vAlign w:val="bottom"/>
          </w:tcPr>
          <w:p>
            <w:pPr>
              <w:ind w:left="140"/>
              <w:spacing w:after="0"/>
              <w:rPr>
                <w:sz w:val="20"/>
                <w:szCs w:val="20"/>
                <w:color w:val="auto"/>
              </w:rPr>
            </w:pPr>
            <w:r>
              <w:rPr>
                <w:rFonts w:ascii="Arial" w:cs="Arial" w:eastAsia="Arial" w:hAnsi="Arial"/>
                <w:sz w:val="18"/>
                <w:szCs w:val="18"/>
                <w:color w:val="auto"/>
              </w:rPr>
              <w:t>Fair value adjustments</w:t>
            </w:r>
          </w:p>
        </w:tc>
        <w:tc>
          <w:tcPr>
            <w:tcW w:w="9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90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9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Amounts settled through payment</w:t>
            </w:r>
          </w:p>
        </w:tc>
        <w:tc>
          <w:tcPr>
            <w:tcW w:w="9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w:t>
            </w:r>
          </w:p>
        </w:tc>
      </w:tr>
      <w:tr>
        <w:trPr>
          <w:trHeight w:val="263"/>
        </w:trPr>
        <w:tc>
          <w:tcPr>
            <w:tcW w:w="9000" w:type="dxa"/>
            <w:vAlign w:val="bottom"/>
          </w:tcPr>
          <w:p>
            <w:pPr>
              <w:ind w:left="240"/>
              <w:spacing w:after="0"/>
              <w:rPr>
                <w:sz w:val="20"/>
                <w:szCs w:val="20"/>
                <w:color w:val="auto"/>
              </w:rPr>
            </w:pPr>
            <w:r>
              <w:rPr>
                <w:rFonts w:ascii="Arial" w:cs="Arial" w:eastAsia="Arial" w:hAnsi="Arial"/>
                <w:sz w:val="18"/>
                <w:szCs w:val="18"/>
                <w:color w:val="auto"/>
              </w:rPr>
              <w:t>Ending balance</w:t>
            </w: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90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Retirement Plan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January 1, 2009, EverCommerce Inc. adopted a defined contribution savings plan under section 401(k) of the Internal Revenue Code (the 401(k)). The 401(k) covers substantially all employees who meet minimum age and service requirements and allows participants to defer a portion of their annual compensation on a pretax basis. The Company may make discretionary and/or matching contributions to the 401(k). The Company began making discretionary employer contributions effective January 1, 2020 equal to 25% of employee contributions up to 8% and increased this contribution to 100% of employee contributions up to 4% effective January 1, 2022 and contributed $4.8 million, $1.5 million and $1.0 million for the years ended December 31, 2022, 2021 and 2020, respectively.</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r>
              <w:rPr>
                <w:rFonts w:ascii="Arial" w:cs="Arial" w:eastAsia="Arial" w:hAnsi="Arial"/>
                <w:sz w:val="18"/>
                <w:szCs w:val="18"/>
                <w:b w:val="1"/>
                <w:bCs w:val="1"/>
                <w:color w:val="auto"/>
              </w:rPr>
              <w:t>Note 16. Income Taxes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6020" w:type="dxa"/>
            <w:vAlign w:val="bottom"/>
          </w:tcPr>
          <w:p>
            <w:pPr>
              <w:spacing w:after="0"/>
              <w:rPr>
                <w:sz w:val="20"/>
                <w:szCs w:val="20"/>
                <w:color w:val="auto"/>
              </w:rPr>
            </w:pPr>
            <w:r>
              <w:rPr>
                <w:rFonts w:ascii="Arial" w:cs="Arial" w:eastAsia="Arial" w:hAnsi="Arial"/>
                <w:sz w:val="18"/>
                <w:szCs w:val="18"/>
                <w:color w:val="auto"/>
              </w:rPr>
              <w:t>The components of our net loss before income tax benefit are as follows:</w:t>
            </w: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86"/>
        </w:trPr>
        <w:tc>
          <w:tcPr>
            <w:tcW w:w="6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80" w:type="dxa"/>
            <w:vAlign w:val="bottom"/>
            <w:gridSpan w:val="6"/>
          </w:tcPr>
          <w:p>
            <w:pPr>
              <w:jc w:val="center"/>
              <w:ind w:left="19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Pr>
          <w:p>
            <w:pPr>
              <w:spacing w:after="0"/>
              <w:rPr>
                <w:sz w:val="24"/>
                <w:szCs w:val="24"/>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i w:val="1"/>
                <w:iCs w:val="1"/>
                <w:color w:val="auto"/>
                <w:w w:val="91"/>
              </w:rPr>
              <w:t>(in thousands)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81"/>
        </w:trPr>
        <w:tc>
          <w:tcPr>
            <w:tcW w:w="6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7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(59,134)</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(81,801)</w:t>
            </w:r>
          </w:p>
        </w:tc>
        <w:tc>
          <w:tcPr>
            <w:tcW w:w="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(55,664)</w:t>
            </w:r>
          </w:p>
        </w:tc>
      </w:tr>
      <w:tr>
        <w:trPr>
          <w:trHeight w:val="263"/>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0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(5,362)</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(10,216)</w:t>
            </w:r>
          </w:p>
        </w:tc>
        <w:tc>
          <w:tcPr>
            <w:tcW w:w="8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w:t>
            </w:r>
          </w:p>
        </w:tc>
      </w:tr>
      <w:tr>
        <w:trPr>
          <w:trHeight w:val="295"/>
        </w:trPr>
        <w:tc>
          <w:tcPr>
            <w:tcW w:w="6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Net loss before income tax benefit</w:t>
            </w:r>
          </w:p>
        </w:tc>
        <w:tc>
          <w:tcPr>
            <w:tcW w:w="1040" w:type="dxa"/>
            <w:vAlign w:val="bottom"/>
            <w:tcBorders>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(64,496)</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(92,017)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(63,584)</w:t>
            </w: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2022, a portion of our undistributed earnings from non-U.S. subsidiaries are intended to be indefinitely reinvested in non-U.S. operations, and therefore no U.S. deferred taxes have been recorded. As of December 31, 2022, there was no material unrecognized deferred tax liability related to countries where we are indefinitely reinvested. The remaining undistributed earnings from non-U.S. subsidiaries are not permanently reinvested, however, due to a combination of anticipated tax treatment and losses, no material deferred tax liability exists.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20" w:type="dxa"/>
            <w:vAlign w:val="bottom"/>
          </w:tcPr>
          <w:p>
            <w:pPr>
              <w:spacing w:after="0"/>
              <w:rPr>
                <w:sz w:val="20"/>
                <w:szCs w:val="20"/>
                <w:color w:val="auto"/>
              </w:rPr>
            </w:pPr>
            <w:r>
              <w:rPr>
                <w:rFonts w:ascii="Arial" w:cs="Arial" w:eastAsia="Arial" w:hAnsi="Arial"/>
                <w:sz w:val="18"/>
                <w:szCs w:val="18"/>
                <w:color w:val="auto"/>
              </w:rPr>
              <w:t>The components of the provision for income taxes consists of the following:</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86"/>
        </w:trPr>
        <w:tc>
          <w:tcPr>
            <w:tcW w:w="6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80" w:type="dxa"/>
            <w:vAlign w:val="bottom"/>
            <w:gridSpan w:val="6"/>
          </w:tcPr>
          <w:p>
            <w:pPr>
              <w:jc w:val="center"/>
              <w:ind w:left="190"/>
              <w:spacing w:after="0"/>
              <w:rPr>
                <w:sz w:val="20"/>
                <w:szCs w:val="20"/>
                <w:color w:val="auto"/>
              </w:rPr>
            </w:pPr>
            <w:r>
              <w:rPr>
                <w:rFonts w:ascii="Arial" w:cs="Arial" w:eastAsia="Arial" w:hAnsi="Arial"/>
                <w:sz w:val="18"/>
                <w:szCs w:val="18"/>
                <w:b w:val="1"/>
                <w:bCs w:val="1"/>
                <w:color w:val="auto"/>
                <w:w w:val="89"/>
              </w:rPr>
              <w:t>Year ended December 31,</w:t>
            </w:r>
          </w:p>
        </w:tc>
        <w:tc>
          <w:tcPr>
            <w:tcW w:w="1300" w:type="dxa"/>
            <w:vAlign w:val="bottom"/>
          </w:tcPr>
          <w:p>
            <w:pPr>
              <w:spacing w:after="0"/>
              <w:rPr>
                <w:sz w:val="24"/>
                <w:szCs w:val="24"/>
                <w:color w:val="auto"/>
              </w:rPr>
            </w:pP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2020</w:t>
            </w:r>
          </w:p>
        </w:tc>
      </w:tr>
      <w:tr>
        <w:trPr>
          <w:trHeight w:val="27"/>
        </w:trPr>
        <w:tc>
          <w:tcPr>
            <w:tcW w:w="60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6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i w:val="1"/>
                <w:iCs w:val="1"/>
                <w:color w:val="auto"/>
                <w:w w:val="91"/>
              </w:rPr>
              <w:t>(in thousands)</w:t>
            </w: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81"/>
        </w:trPr>
        <w:tc>
          <w:tcPr>
            <w:tcW w:w="60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00" w:type="dxa"/>
            <w:vAlign w:val="bottom"/>
          </w:tcPr>
          <w:p>
            <w:pPr>
              <w:spacing w:after="0"/>
              <w:rPr>
                <w:sz w:val="7"/>
                <w:szCs w:val="7"/>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140"/>
              <w:spacing w:after="0"/>
              <w:rPr>
                <w:sz w:val="20"/>
                <w:szCs w:val="20"/>
                <w:color w:val="auto"/>
              </w:rPr>
            </w:pPr>
            <w:r>
              <w:rPr>
                <w:rFonts w:ascii="Arial" w:cs="Arial" w:eastAsia="Arial" w:hAnsi="Arial"/>
                <w:sz w:val="18"/>
                <w:szCs w:val="18"/>
                <w:color w:val="auto"/>
              </w:rPr>
              <w:t>State</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801</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369</w:t>
            </w: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6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10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1,174</w:t>
            </w: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r>
      <w:tr>
        <w:trPr>
          <w:trHeight w:val="237"/>
        </w:trPr>
        <w:tc>
          <w:tcPr>
            <w:tcW w:w="6020" w:type="dxa"/>
            <w:vAlign w:val="bottom"/>
          </w:tcPr>
          <w:p>
            <w:pPr>
              <w:ind w:left="240"/>
              <w:spacing w:after="0"/>
              <w:rPr>
                <w:sz w:val="20"/>
                <w:szCs w:val="20"/>
                <w:color w:val="auto"/>
              </w:rPr>
            </w:pPr>
            <w:r>
              <w:rPr>
                <w:rFonts w:ascii="Arial" w:cs="Arial" w:eastAsia="Arial" w:hAnsi="Arial"/>
                <w:sz w:val="18"/>
                <w:szCs w:val="18"/>
                <w:color w:val="auto"/>
              </w:rPr>
              <w:t>Total current</w:t>
            </w:r>
          </w:p>
        </w:tc>
        <w:tc>
          <w:tcPr>
            <w:tcW w:w="10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1,975</w:t>
            </w:r>
          </w:p>
        </w:tc>
        <w:tc>
          <w:tcPr>
            <w:tcW w:w="8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w:t>
            </w: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tcPr>
          <w:p>
            <w:pPr>
              <w:ind w:left="140"/>
              <w:spacing w:after="0"/>
              <w:rPr>
                <w:sz w:val="20"/>
                <w:szCs w:val="20"/>
                <w:color w:val="auto"/>
              </w:rPr>
            </w:pPr>
            <w:r>
              <w:rPr>
                <w:rFonts w:ascii="Arial" w:cs="Arial" w:eastAsia="Arial" w:hAnsi="Arial"/>
                <w:sz w:val="18"/>
                <w:szCs w:val="18"/>
                <w:color w:val="auto"/>
              </w:rPr>
              <w:t>Federal</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(12,747)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(8,993)</w:t>
            </w: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(2,104)</w:t>
            </w:r>
          </w:p>
        </w:tc>
      </w:tr>
      <w:tr>
        <w:trPr>
          <w:trHeight w:val="243"/>
        </w:trPr>
        <w:tc>
          <w:tcPr>
            <w:tcW w:w="6020" w:type="dxa"/>
            <w:vAlign w:val="bottom"/>
          </w:tcPr>
          <w:p>
            <w:pPr>
              <w:ind w:left="140"/>
              <w:spacing w:after="0"/>
              <w:rPr>
                <w:sz w:val="20"/>
                <w:szCs w:val="20"/>
                <w:color w:val="auto"/>
              </w:rPr>
            </w:pPr>
            <w:r>
              <w:rPr>
                <w:rFonts w:ascii="Arial" w:cs="Arial" w:eastAsia="Arial" w:hAnsi="Arial"/>
                <w:sz w:val="18"/>
                <w:szCs w:val="18"/>
                <w:color w:val="auto"/>
              </w:rPr>
              <w:t>Foreign</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(11,235)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(3,436)</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(1,878)</w:t>
            </w:r>
          </w:p>
        </w:tc>
      </w:tr>
      <w:tr>
        <w:trPr>
          <w:trHeight w:val="27"/>
        </w:trPr>
        <w:tc>
          <w:tcPr>
            <w:tcW w:w="60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6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Change in valuation allowance - United States</w:t>
            </w:r>
          </w:p>
        </w:tc>
        <w:tc>
          <w:tcPr>
            <w:tcW w:w="10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6,342</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8,392</w:t>
            </w:r>
          </w:p>
        </w:tc>
      </w:tr>
      <w:tr>
        <w:trPr>
          <w:trHeight w:val="243"/>
        </w:trPr>
        <w:tc>
          <w:tcPr>
            <w:tcW w:w="6020" w:type="dxa"/>
            <w:vAlign w:val="bottom"/>
          </w:tcPr>
          <w:p>
            <w:pPr>
              <w:ind w:left="240"/>
              <w:spacing w:after="0"/>
              <w:rPr>
                <w:sz w:val="20"/>
                <w:szCs w:val="20"/>
                <w:color w:val="auto"/>
              </w:rPr>
            </w:pPr>
            <w:r>
              <w:rPr>
                <w:rFonts w:ascii="Arial" w:cs="Arial" w:eastAsia="Arial" w:hAnsi="Arial"/>
                <w:sz w:val="18"/>
                <w:szCs w:val="18"/>
                <w:color w:val="auto"/>
              </w:rPr>
              <w:t>Change in valuation allowance - Foreign</w:t>
            </w:r>
          </w:p>
        </w:tc>
        <w:tc>
          <w:tcPr>
            <w:tcW w:w="10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7"/>
        </w:trPr>
        <w:tc>
          <w:tcPr>
            <w:tcW w:w="60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3"/>
        </w:trPr>
        <w:tc>
          <w:tcPr>
            <w:tcW w:w="60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w:t>
            </w:r>
          </w:p>
        </w:tc>
        <w:tc>
          <w:tcPr>
            <w:tcW w:w="10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(12,026)</w:t>
            </w:r>
          </w:p>
        </w:tc>
        <w:tc>
          <w:tcPr>
            <w:tcW w:w="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(4,314)</w:t>
            </w:r>
          </w:p>
        </w:tc>
      </w:tr>
      <w:tr>
        <w:trPr>
          <w:trHeight w:val="263"/>
        </w:trPr>
        <w:tc>
          <w:tcPr>
            <w:tcW w:w="6020" w:type="dxa"/>
            <w:vAlign w:val="bottom"/>
          </w:tcPr>
          <w:p>
            <w:pPr>
              <w:ind w:left="460"/>
              <w:spacing w:after="0"/>
              <w:rPr>
                <w:sz w:val="20"/>
                <w:szCs w:val="20"/>
                <w:color w:val="auto"/>
              </w:rPr>
            </w:pPr>
            <w:r>
              <w:rPr>
                <w:rFonts w:ascii="Arial" w:cs="Arial" w:eastAsia="Arial" w:hAnsi="Arial"/>
                <w:sz w:val="18"/>
                <w:szCs w:val="18"/>
                <w:color w:val="auto"/>
              </w:rPr>
              <w:t>Income tax benefit</w:t>
            </w:r>
          </w:p>
        </w:tc>
        <w:tc>
          <w:tcPr>
            <w:tcW w:w="104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(10,051)</w:t>
            </w:r>
          </w:p>
        </w:tc>
        <w:tc>
          <w:tcPr>
            <w:tcW w:w="8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w:t>
            </w:r>
          </w:p>
        </w:tc>
      </w:tr>
      <w:tr>
        <w:trPr>
          <w:trHeight w:val="21"/>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deferred tax assets and liabilities, included in other non-current liabilities on the consolidated balance sheets, related to temporary differences and operating loss carryforwards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December 31,</w:t>
            </w:r>
          </w:p>
        </w:tc>
        <w:tc>
          <w:tcPr>
            <w:tcW w:w="1200" w:type="dxa"/>
            <w:vAlign w:val="bottom"/>
          </w:tcPr>
          <w:p>
            <w:pPr>
              <w:spacing w:after="0"/>
              <w:rPr>
                <w:sz w:val="20"/>
                <w:szCs w:val="20"/>
                <w:color w:val="auto"/>
              </w:rPr>
            </w:pPr>
          </w:p>
        </w:tc>
      </w:tr>
      <w:tr>
        <w:trPr>
          <w:trHeight w:val="27"/>
        </w:trPr>
        <w:tc>
          <w:tcPr>
            <w:tcW w:w="75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0" w:type="dxa"/>
            <w:vAlign w:val="bottom"/>
          </w:tcPr>
          <w:p>
            <w:pPr>
              <w:jc w:val="right"/>
              <w:ind w:right="630"/>
              <w:spacing w:after="0"/>
              <w:rPr>
                <w:sz w:val="20"/>
                <w:szCs w:val="20"/>
                <w:color w:val="auto"/>
              </w:rPr>
            </w:pPr>
            <w:r>
              <w:rPr>
                <w:rFonts w:ascii="Arial" w:cs="Arial" w:eastAsia="Arial" w:hAnsi="Arial"/>
                <w:sz w:val="18"/>
                <w:szCs w:val="18"/>
                <w:b w:val="1"/>
                <w:bCs w:val="1"/>
                <w:color w:val="auto"/>
              </w:rPr>
              <w:t>2021</w:t>
            </w:r>
          </w:p>
        </w:tc>
      </w:tr>
      <w:tr>
        <w:trPr>
          <w:trHeight w:val="27"/>
        </w:trPr>
        <w:tc>
          <w:tcPr>
            <w:tcW w:w="75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80" w:type="dxa"/>
            <w:vAlign w:val="bottom"/>
            <w:gridSpan w:val="3"/>
          </w:tcPr>
          <w:p>
            <w:pPr>
              <w:jc w:val="right"/>
              <w:ind w:right="50"/>
              <w:spacing w:after="0"/>
              <w:rPr>
                <w:sz w:val="20"/>
                <w:szCs w:val="20"/>
                <w:color w:val="auto"/>
              </w:rPr>
            </w:pPr>
            <w:r>
              <w:rPr>
                <w:rFonts w:ascii="Arial" w:cs="Arial" w:eastAsia="Arial" w:hAnsi="Arial"/>
                <w:sz w:val="18"/>
                <w:szCs w:val="18"/>
                <w:i w:val="1"/>
                <w:iCs w:val="1"/>
                <w:color w:val="auto"/>
              </w:rPr>
              <w:t>(in thousands)</w:t>
            </w:r>
          </w:p>
        </w:tc>
        <w:tc>
          <w:tcPr>
            <w:tcW w:w="1200" w:type="dxa"/>
            <w:vAlign w:val="bottom"/>
          </w:tcPr>
          <w:p>
            <w:pPr>
              <w:spacing w:after="0"/>
              <w:rPr>
                <w:sz w:val="20"/>
                <w:szCs w:val="20"/>
                <w:color w:val="auto"/>
              </w:rPr>
            </w:pPr>
          </w:p>
        </w:tc>
      </w:tr>
      <w:tr>
        <w:trPr>
          <w:trHeight w:val="81"/>
        </w:trPr>
        <w:tc>
          <w:tcPr>
            <w:tcW w:w="7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0" w:type="dxa"/>
            <w:vAlign w:val="bottom"/>
          </w:tcPr>
          <w:p>
            <w:pPr>
              <w:spacing w:after="0"/>
              <w:rPr>
                <w:sz w:val="7"/>
                <w:szCs w:val="7"/>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Net operating losses</w:t>
            </w:r>
          </w:p>
        </w:tc>
        <w:tc>
          <w:tcPr>
            <w:tcW w:w="1140" w:type="dxa"/>
            <w:vAlign w:val="bottom"/>
          </w:tcPr>
          <w:p>
            <w:pPr>
              <w:jc w:val="right"/>
              <w:ind w:right="93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44,545</w:t>
            </w:r>
          </w:p>
        </w:tc>
        <w:tc>
          <w:tcPr>
            <w:tcW w:w="10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50,059</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163(j) interest limitation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23,363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19,698</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Reserves and accrued expenses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7,258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5,592</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 depreciation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1,469</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3,753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1,531</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Deferred rent</w:t>
            </w:r>
          </w:p>
        </w:tc>
        <w:tc>
          <w:tcPr>
            <w:tcW w:w="1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1,839</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Lease liability</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7,053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37"/>
        </w:trPr>
        <w:tc>
          <w:tcPr>
            <w:tcW w:w="7520" w:type="dxa"/>
            <w:vAlign w:val="bottom"/>
          </w:tcPr>
          <w:p>
            <w:pPr>
              <w:ind w:left="240"/>
              <w:spacing w:after="0"/>
              <w:rPr>
                <w:sz w:val="20"/>
                <w:szCs w:val="20"/>
                <w:color w:val="auto"/>
              </w:rPr>
            </w:pPr>
            <w:r>
              <w:rPr>
                <w:rFonts w:ascii="Arial" w:cs="Arial" w:eastAsia="Arial" w:hAnsi="Arial"/>
                <w:sz w:val="18"/>
                <w:szCs w:val="18"/>
                <w:color w:val="auto"/>
              </w:rPr>
              <w:t>Total deferred tax assets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91,053</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81,981</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Less: valuation allowance</w:t>
            </w:r>
          </w:p>
        </w:tc>
        <w:tc>
          <w:tcPr>
            <w:tcW w:w="1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(47,756)</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(31,070)</w:t>
            </w:r>
          </w:p>
        </w:tc>
      </w:tr>
      <w:tr>
        <w:trPr>
          <w:trHeight w:val="237"/>
        </w:trPr>
        <w:tc>
          <w:tcPr>
            <w:tcW w:w="752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11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43,297</w:t>
            </w:r>
          </w:p>
        </w:tc>
        <w:tc>
          <w:tcPr>
            <w:tcW w:w="10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50,911</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Intangible assets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(38,080)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(57,836)</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Property and equipment depreciation</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(5,056)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(6,956)</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Capitalized expenses</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(3,091)</w:t>
            </w:r>
          </w:p>
        </w:tc>
      </w:tr>
      <w:tr>
        <w:trPr>
          <w:trHeight w:val="27"/>
        </w:trPr>
        <w:tc>
          <w:tcPr>
            <w:tcW w:w="7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Operating lease right-of-use assets</w:t>
            </w:r>
          </w:p>
        </w:tc>
        <w:tc>
          <w:tcPr>
            <w:tcW w:w="1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(844)</w:t>
            </w:r>
          </w:p>
        </w:tc>
      </w:tr>
      <w:tr>
        <w:trPr>
          <w:trHeight w:val="27"/>
        </w:trPr>
        <w:tc>
          <w:tcPr>
            <w:tcW w:w="75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3"/>
        </w:trPr>
        <w:tc>
          <w:tcPr>
            <w:tcW w:w="7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deferred tax liabilities</w:t>
            </w:r>
          </w:p>
        </w:tc>
        <w:tc>
          <w:tcPr>
            <w:tcW w:w="1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(52,988)</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(68,727)</w:t>
            </w:r>
          </w:p>
        </w:tc>
      </w:tr>
      <w:tr>
        <w:trPr>
          <w:trHeight w:val="264"/>
        </w:trPr>
        <w:tc>
          <w:tcPr>
            <w:tcW w:w="7520" w:type="dxa"/>
            <w:vAlign w:val="bottom"/>
          </w:tcPr>
          <w:p>
            <w:pPr>
              <w:ind w:left="460"/>
              <w:spacing w:after="0"/>
              <w:rPr>
                <w:sz w:val="20"/>
                <w:szCs w:val="20"/>
                <w:color w:val="auto"/>
              </w:rPr>
            </w:pPr>
            <w:r>
              <w:rPr>
                <w:rFonts w:ascii="Arial" w:cs="Arial" w:eastAsia="Arial" w:hAnsi="Arial"/>
                <w:sz w:val="18"/>
                <w:szCs w:val="18"/>
                <w:color w:val="auto"/>
              </w:rPr>
              <w:t>Net deferred tax liabilities</w:t>
            </w: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(9,691)</w:t>
            </w:r>
          </w:p>
        </w:tc>
        <w:tc>
          <w:tcPr>
            <w:tcW w:w="100" w:type="dxa"/>
            <w:vAlign w:val="bottom"/>
          </w:tcPr>
          <w:p>
            <w:pPr>
              <w:spacing w:after="0"/>
              <w:rPr>
                <w:sz w:val="22"/>
                <w:szCs w:val="22"/>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(17,816)</w:t>
            </w:r>
          </w:p>
        </w:tc>
      </w:tr>
      <w:tr>
        <w:trPr>
          <w:trHeight w:val="20"/>
        </w:trPr>
        <w:tc>
          <w:tcPr>
            <w:tcW w:w="75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net operating loss and tax credit carryforwards as of the financial statement date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color w:val="auto"/>
                <w:w w:val="96"/>
              </w:rPr>
              <w:t>Amount</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Expiration Years</w:t>
            </w:r>
          </w:p>
        </w:tc>
      </w:tr>
      <w:tr>
        <w:trPr>
          <w:trHeight w:val="27"/>
        </w:trPr>
        <w:tc>
          <w:tcPr>
            <w:tcW w:w="68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37"/>
        </w:trPr>
        <w:tc>
          <w:tcPr>
            <w:tcW w:w="6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1"/>
              </w:rPr>
              <w:t>(in thousands)</w:t>
            </w:r>
          </w:p>
        </w:tc>
        <w:tc>
          <w:tcPr>
            <w:tcW w:w="2140" w:type="dxa"/>
            <w:vAlign w:val="bottom"/>
          </w:tcPr>
          <w:p>
            <w:pPr>
              <w:spacing w:after="0"/>
              <w:rPr>
                <w:sz w:val="20"/>
                <w:szCs w:val="20"/>
                <w:color w:val="auto"/>
              </w:rPr>
            </w:pPr>
          </w:p>
        </w:tc>
      </w:tr>
      <w:tr>
        <w:trPr>
          <w:trHeight w:val="81"/>
        </w:trPr>
        <w:tc>
          <w:tcPr>
            <w:tcW w:w="68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140" w:type="dxa"/>
            <w:vAlign w:val="bottom"/>
          </w:tcPr>
          <w:p>
            <w:pPr>
              <w:spacing w:after="0"/>
              <w:rPr>
                <w:sz w:val="7"/>
                <w:szCs w:val="7"/>
                <w:color w:val="auto"/>
              </w:rPr>
            </w:pPr>
          </w:p>
        </w:tc>
      </w:tr>
      <w:tr>
        <w:trPr>
          <w:trHeight w:val="25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losses, federal (Post December 31, 2018)</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22,816</w:t>
            </w:r>
          </w:p>
        </w:tc>
        <w:tc>
          <w:tcPr>
            <w:tcW w:w="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Indefinite</w:t>
            </w:r>
          </w:p>
        </w:tc>
      </w:tr>
      <w:tr>
        <w:trPr>
          <w:trHeight w:val="243"/>
        </w:trPr>
        <w:tc>
          <w:tcPr>
            <w:tcW w:w="6880" w:type="dxa"/>
            <w:vAlign w:val="bottom"/>
          </w:tcPr>
          <w:p>
            <w:pPr>
              <w:ind w:left="20"/>
              <w:spacing w:after="0"/>
              <w:rPr>
                <w:sz w:val="20"/>
                <w:szCs w:val="20"/>
                <w:color w:val="auto"/>
              </w:rPr>
            </w:pPr>
            <w:r>
              <w:rPr>
                <w:rFonts w:ascii="Arial" w:cs="Arial" w:eastAsia="Arial" w:hAnsi="Arial"/>
                <w:sz w:val="18"/>
                <w:szCs w:val="18"/>
                <w:color w:val="auto"/>
              </w:rPr>
              <w:t>Net operating losses, federal (Pre January 1, 2019)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10,204</w:t>
            </w:r>
          </w:p>
        </w:tc>
        <w:tc>
          <w:tcPr>
            <w:tcW w:w="80" w:type="dxa"/>
            <w:vAlign w:val="bottom"/>
          </w:tcPr>
          <w:p>
            <w:pPr>
              <w:spacing w:after="0"/>
              <w:rPr>
                <w:sz w:val="21"/>
                <w:szCs w:val="21"/>
                <w:color w:val="auto"/>
              </w:rPr>
            </w:pPr>
          </w:p>
        </w:tc>
        <w:tc>
          <w:tcPr>
            <w:tcW w:w="2140" w:type="dxa"/>
            <w:vAlign w:val="bottom"/>
          </w:tcPr>
          <w:p>
            <w:pPr>
              <w:jc w:val="right"/>
              <w:ind w:right="550"/>
              <w:spacing w:after="0"/>
              <w:rPr>
                <w:sz w:val="20"/>
                <w:szCs w:val="20"/>
                <w:color w:val="auto"/>
              </w:rPr>
            </w:pPr>
            <w:r>
              <w:rPr>
                <w:rFonts w:ascii="Arial" w:cs="Arial" w:eastAsia="Arial" w:hAnsi="Arial"/>
                <w:sz w:val="18"/>
                <w:szCs w:val="18"/>
                <w:color w:val="auto"/>
              </w:rPr>
              <w:t>2028 - 2037</w:t>
            </w:r>
          </w:p>
        </w:tc>
      </w:tr>
      <w:tr>
        <w:trPr>
          <w:trHeight w:val="27"/>
        </w:trPr>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operating losses, state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7,340</w:t>
            </w:r>
          </w:p>
        </w:tc>
        <w:tc>
          <w:tcPr>
            <w:tcW w:w="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Various</w:t>
            </w:r>
          </w:p>
        </w:tc>
      </w:tr>
      <w:tr>
        <w:trPr>
          <w:trHeight w:val="243"/>
        </w:trPr>
        <w:tc>
          <w:tcPr>
            <w:tcW w:w="6880" w:type="dxa"/>
            <w:vAlign w:val="bottom"/>
          </w:tcPr>
          <w:p>
            <w:pPr>
              <w:ind w:left="20"/>
              <w:spacing w:after="0"/>
              <w:rPr>
                <w:sz w:val="20"/>
                <w:szCs w:val="20"/>
                <w:color w:val="auto"/>
              </w:rPr>
            </w:pPr>
            <w:r>
              <w:rPr>
                <w:rFonts w:ascii="Arial" w:cs="Arial" w:eastAsia="Arial" w:hAnsi="Arial"/>
                <w:sz w:val="18"/>
                <w:szCs w:val="18"/>
                <w:color w:val="auto"/>
              </w:rPr>
              <w:t>Net operating losses, foreign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4,185</w:t>
            </w: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94"/>
              </w:rPr>
              <w:t>2035 - Indefinite</w:t>
            </w:r>
          </w:p>
        </w:tc>
      </w:tr>
      <w:tr>
        <w:trPr>
          <w:trHeight w:val="27"/>
        </w:trPr>
        <w:tc>
          <w:tcPr>
            <w:tcW w:w="6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credits, federal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2037</w:t>
            </w:r>
          </w:p>
        </w:tc>
      </w:tr>
      <w:tr>
        <w:trPr>
          <w:trHeight w:val="243"/>
        </w:trPr>
        <w:tc>
          <w:tcPr>
            <w:tcW w:w="6880" w:type="dxa"/>
            <w:vAlign w:val="bottom"/>
          </w:tcPr>
          <w:p>
            <w:pPr>
              <w:ind w:left="20"/>
              <w:spacing w:after="0"/>
              <w:rPr>
                <w:sz w:val="20"/>
                <w:szCs w:val="20"/>
                <w:color w:val="auto"/>
              </w:rPr>
            </w:pPr>
            <w:r>
              <w:rPr>
                <w:rFonts w:ascii="Arial" w:cs="Arial" w:eastAsia="Arial" w:hAnsi="Arial"/>
                <w:sz w:val="18"/>
                <w:szCs w:val="18"/>
                <w:color w:val="auto"/>
              </w:rPr>
              <w:t>Tax credits, foreign</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1"/>
                <w:szCs w:val="21"/>
                <w:color w:val="auto"/>
              </w:rPr>
            </w:pPr>
          </w:p>
        </w:tc>
        <w:tc>
          <w:tcPr>
            <w:tcW w:w="2140" w:type="dxa"/>
            <w:vAlign w:val="bottom"/>
          </w:tcPr>
          <w:p>
            <w:pPr>
              <w:jc w:val="center"/>
              <w:spacing w:after="0"/>
              <w:rPr>
                <w:sz w:val="20"/>
                <w:szCs w:val="20"/>
                <w:color w:val="auto"/>
              </w:rPr>
            </w:pPr>
            <w:r>
              <w:rPr>
                <w:rFonts w:ascii="Arial" w:cs="Arial" w:eastAsia="Arial" w:hAnsi="Arial"/>
                <w:sz w:val="18"/>
                <w:szCs w:val="18"/>
                <w:color w:val="auto"/>
                <w:w w:val="88"/>
              </w:rPr>
              <w:t>Various</w:t>
            </w:r>
          </w:p>
        </w:tc>
      </w:tr>
    </w:tbl>
    <w:p>
      <w:pPr>
        <w:spacing w:after="0" w:line="32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has not considered future projections of income in this analysis due to the Company’s history of losses. The Company has determined that it is more likely than not that a portion of the deferred tax assets will not be realized and has recorded a valuation allowance of $47.8 million and $31.1 million as of December 31, 2022 and 2021, respectively, against the deferred tax assets. If the Company’s assumptions change and we determine that we will be able to realize these deferred tax assets, the tax benefits related to any reversal of the valuation allowance on</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tax assets as of December 31, 2022, will be accounted for as follows: $44.8 million will be recognized as a reduction of income tax expense and $3.0 million will be recorded as an increase in equity.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A reconciliation of our valuation allowance on deferred tax assets is as follows:</w:t>
            </w:r>
          </w:p>
        </w:tc>
        <w:tc>
          <w:tcPr>
            <w:tcW w:w="1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486"/>
        </w:trPr>
        <w:tc>
          <w:tcPr>
            <w:tcW w:w="7520" w:type="dxa"/>
            <w:vAlign w:val="bottom"/>
          </w:tcPr>
          <w:p>
            <w:pPr>
              <w:spacing w:after="0"/>
              <w:rPr>
                <w:sz w:val="24"/>
                <w:szCs w:val="24"/>
                <w:color w:val="auto"/>
              </w:rPr>
            </w:pPr>
          </w:p>
        </w:tc>
        <w:tc>
          <w:tcPr>
            <w:tcW w:w="308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640" w:type="dxa"/>
            <w:vAlign w:val="bottom"/>
          </w:tcPr>
          <w:p>
            <w:pPr>
              <w:spacing w:after="0"/>
              <w:rPr>
                <w:sz w:val="24"/>
                <w:szCs w:val="24"/>
                <w:color w:val="auto"/>
              </w:rPr>
            </w:pPr>
          </w:p>
        </w:tc>
      </w:tr>
      <w:tr>
        <w:trPr>
          <w:trHeight w:val="27"/>
        </w:trPr>
        <w:tc>
          <w:tcPr>
            <w:tcW w:w="7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640" w:type="dxa"/>
            <w:vAlign w:val="bottom"/>
          </w:tcPr>
          <w:p>
            <w:pPr>
              <w:spacing w:after="0"/>
              <w:rPr>
                <w:sz w:val="20"/>
                <w:szCs w:val="20"/>
                <w:color w:val="auto"/>
              </w:rPr>
            </w:pPr>
          </w:p>
        </w:tc>
      </w:tr>
      <w:tr>
        <w:trPr>
          <w:trHeight w:val="27"/>
        </w:trPr>
        <w:tc>
          <w:tcPr>
            <w:tcW w:w="7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900" w:type="dxa"/>
            <w:vAlign w:val="bottom"/>
            <w:gridSpan w:val="3"/>
          </w:tcPr>
          <w:p>
            <w:pPr>
              <w:jc w:val="right"/>
              <w:ind w:right="610"/>
              <w:spacing w:after="0"/>
              <w:rPr>
                <w:sz w:val="20"/>
                <w:szCs w:val="20"/>
                <w:color w:val="auto"/>
              </w:rPr>
            </w:pPr>
            <w:r>
              <w:rPr>
                <w:rFonts w:ascii="Arial" w:cs="Arial" w:eastAsia="Arial" w:hAnsi="Arial"/>
                <w:sz w:val="18"/>
                <w:szCs w:val="18"/>
                <w:i w:val="1"/>
                <w:iCs w:val="1"/>
                <w:color w:val="auto"/>
              </w:rPr>
              <w:t>(in thousands)</w:t>
            </w:r>
          </w:p>
        </w:tc>
        <w:tc>
          <w:tcPr>
            <w:tcW w:w="640" w:type="dxa"/>
            <w:vAlign w:val="bottom"/>
          </w:tcPr>
          <w:p>
            <w:pPr>
              <w:spacing w:after="0"/>
              <w:rPr>
                <w:sz w:val="20"/>
                <w:szCs w:val="20"/>
                <w:color w:val="auto"/>
              </w:rPr>
            </w:pPr>
          </w:p>
        </w:tc>
      </w:tr>
      <w:tr>
        <w:trPr>
          <w:trHeight w:val="81"/>
        </w:trPr>
        <w:tc>
          <w:tcPr>
            <w:tcW w:w="75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18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31,070</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16,539</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Additions to valuation allowance</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15,648</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6,420</w:t>
            </w:r>
          </w:p>
        </w:tc>
      </w:tr>
      <w:tr>
        <w:trPr>
          <w:trHeight w:val="27"/>
        </w:trPr>
        <w:tc>
          <w:tcPr>
            <w:tcW w:w="7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Additions recorded in acquisition accounting</w:t>
            </w:r>
          </w:p>
        </w:tc>
        <w:tc>
          <w:tcPr>
            <w:tcW w:w="1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9,816</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Additions recorded as a decrease in equity</w:t>
            </w:r>
          </w:p>
        </w:tc>
        <w:tc>
          <w:tcPr>
            <w:tcW w:w="1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436</w:t>
            </w:r>
          </w:p>
        </w:tc>
      </w:tr>
      <w:tr>
        <w:trPr>
          <w:trHeight w:val="27"/>
        </w:trPr>
        <w:tc>
          <w:tcPr>
            <w:tcW w:w="7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75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Reductions recorded as an increase in equity</w:t>
            </w:r>
          </w:p>
        </w:tc>
        <w:tc>
          <w:tcPr>
            <w:tcW w:w="11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r>
      <w:tr>
        <w:trPr>
          <w:trHeight w:val="263"/>
        </w:trPr>
        <w:tc>
          <w:tcPr>
            <w:tcW w:w="7520" w:type="dxa"/>
            <w:vAlign w:val="bottom"/>
          </w:tcPr>
          <w:p>
            <w:pPr>
              <w:ind w:left="240"/>
              <w:spacing w:after="0"/>
              <w:rPr>
                <w:sz w:val="20"/>
                <w:szCs w:val="20"/>
                <w:color w:val="auto"/>
              </w:rPr>
            </w:pPr>
            <w:r>
              <w:rPr>
                <w:rFonts w:ascii="Arial" w:cs="Arial" w:eastAsia="Arial" w:hAnsi="Arial"/>
                <w:sz w:val="18"/>
                <w:szCs w:val="18"/>
                <w:color w:val="auto"/>
              </w:rPr>
              <w:t>Balance at end of period</w:t>
            </w:r>
          </w:p>
        </w:tc>
        <w:tc>
          <w:tcPr>
            <w:tcW w:w="118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47,756</w:t>
            </w:r>
          </w:p>
        </w:tc>
        <w:tc>
          <w:tcPr>
            <w:tcW w:w="10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7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31,070</w:t>
            </w:r>
          </w:p>
        </w:tc>
      </w:tr>
      <w:tr>
        <w:trPr>
          <w:trHeight w:val="21"/>
        </w:trPr>
        <w:tc>
          <w:tcPr>
            <w:tcW w:w="75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files income tax returns in the U.S. federal jurisdiction, Colorado, various other state jurisdictions, Canada, Jordan, the United Kingdom, Australia and New Zealand. The years open for audit vary depending on the tax jurisdiction. In the U.S., the Company's federal tax returns for the years before 2019 (year ended December 31, 2019) are no longer subject to audit. The net operating losses utilized during the open periods from select years prior to 2019 are subject to examination. The foreign jurisdictions statutes vary but are generally four years from assessment of the return.</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management believes we have adequately provided for all tax positions, amounts asserted by taxing authorities could materially differ from our accrued positions as a result of uncertain and complex application of tax regulations. Additionally, the recognition and measurement of certain tax benefits includes estimates and judgment by management and inherently includes subjectivity. Accordingly, additional provision on federal, state and foreign tax-related matters could be recorded in the future as revised estimates are made or the underlying matters are settled or otherwise resolved.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tcPr>
          <w:p>
            <w:pPr>
              <w:spacing w:after="0"/>
              <w:rPr>
                <w:sz w:val="20"/>
                <w:szCs w:val="20"/>
                <w:color w:val="auto"/>
              </w:rPr>
            </w:pPr>
            <w:r>
              <w:rPr>
                <w:rFonts w:ascii="Arial" w:cs="Arial" w:eastAsia="Arial" w:hAnsi="Arial"/>
                <w:sz w:val="18"/>
                <w:szCs w:val="18"/>
                <w:color w:val="auto"/>
                <w:w w:val="98"/>
              </w:rPr>
              <w:t>A reconciliation of the beginning and ending amounts of unrecognized tax benefits is as follows:</w:t>
            </w:r>
          </w:p>
        </w:tc>
        <w:tc>
          <w:tcPr>
            <w:tcW w:w="1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86"/>
        </w:trPr>
        <w:tc>
          <w:tcPr>
            <w:tcW w:w="7520" w:type="dxa"/>
            <w:vAlign w:val="bottom"/>
          </w:tcPr>
          <w:p>
            <w:pPr>
              <w:spacing w:after="0"/>
              <w:rPr>
                <w:sz w:val="24"/>
                <w:szCs w:val="24"/>
                <w:color w:val="auto"/>
              </w:rPr>
            </w:pPr>
          </w:p>
        </w:tc>
        <w:tc>
          <w:tcPr>
            <w:tcW w:w="318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Pr>
          <w:p>
            <w:pPr>
              <w:spacing w:after="0"/>
              <w:rPr>
                <w:sz w:val="24"/>
                <w:szCs w:val="24"/>
                <w:color w:val="auto"/>
              </w:rPr>
            </w:pPr>
          </w:p>
        </w:tc>
      </w:tr>
      <w:tr>
        <w:trPr>
          <w:trHeight w:val="27"/>
        </w:trPr>
        <w:tc>
          <w:tcPr>
            <w:tcW w:w="75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540" w:type="dxa"/>
            <w:vAlign w:val="bottom"/>
          </w:tcPr>
          <w:p>
            <w:pPr>
              <w:spacing w:after="0"/>
              <w:rPr>
                <w:sz w:val="20"/>
                <w:szCs w:val="20"/>
                <w:color w:val="auto"/>
              </w:rPr>
            </w:pPr>
          </w:p>
        </w:tc>
      </w:tr>
      <w:tr>
        <w:trPr>
          <w:trHeight w:val="27"/>
        </w:trPr>
        <w:tc>
          <w:tcPr>
            <w:tcW w:w="75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75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60" w:type="dxa"/>
            <w:vAlign w:val="bottom"/>
            <w:gridSpan w:val="3"/>
          </w:tcPr>
          <w:p>
            <w:pPr>
              <w:jc w:val="right"/>
              <w:ind w:right="710"/>
              <w:spacing w:after="0"/>
              <w:rPr>
                <w:sz w:val="20"/>
                <w:szCs w:val="20"/>
                <w:color w:val="auto"/>
              </w:rPr>
            </w:pPr>
            <w:r>
              <w:rPr>
                <w:rFonts w:ascii="Arial" w:cs="Arial" w:eastAsia="Arial" w:hAnsi="Arial"/>
                <w:sz w:val="18"/>
                <w:szCs w:val="18"/>
                <w:i w:val="1"/>
                <w:iCs w:val="1"/>
                <w:color w:val="auto"/>
                <w:w w:val="99"/>
              </w:rPr>
              <w:t>(in thousands)</w:t>
            </w:r>
          </w:p>
        </w:tc>
        <w:tc>
          <w:tcPr>
            <w:tcW w:w="540" w:type="dxa"/>
            <w:vAlign w:val="bottom"/>
          </w:tcPr>
          <w:p>
            <w:pPr>
              <w:spacing w:after="0"/>
              <w:rPr>
                <w:sz w:val="20"/>
                <w:szCs w:val="20"/>
                <w:color w:val="auto"/>
              </w:rPr>
            </w:pPr>
          </w:p>
        </w:tc>
      </w:tr>
      <w:tr>
        <w:trPr>
          <w:trHeight w:val="81"/>
        </w:trPr>
        <w:tc>
          <w:tcPr>
            <w:tcW w:w="75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540" w:type="dxa"/>
            <w:vAlign w:val="bottom"/>
          </w:tcPr>
          <w:p>
            <w:pPr>
              <w:spacing w:after="0"/>
              <w:rPr>
                <w:sz w:val="7"/>
                <w:szCs w:val="7"/>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220" w:type="dxa"/>
            <w:vAlign w:val="bottom"/>
            <w:tcBorders>
              <w:bottom w:val="single" w:sz="8" w:color="CCEEFF"/>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520" w:type="dxa"/>
            <w:vAlign w:val="bottom"/>
          </w:tcPr>
          <w:p>
            <w:pPr>
              <w:ind w:left="140"/>
              <w:spacing w:after="0"/>
              <w:rPr>
                <w:sz w:val="20"/>
                <w:szCs w:val="20"/>
                <w:color w:val="auto"/>
              </w:rPr>
            </w:pPr>
            <w:r>
              <w:rPr>
                <w:rFonts w:ascii="Arial" w:cs="Arial" w:eastAsia="Arial" w:hAnsi="Arial"/>
                <w:sz w:val="18"/>
                <w:szCs w:val="18"/>
                <w:color w:val="auto"/>
              </w:rPr>
              <w:t>Gross additions based on tax positions related to the current year</w:t>
            </w:r>
          </w:p>
        </w:tc>
        <w:tc>
          <w:tcPr>
            <w:tcW w:w="1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7"/>
        </w:trPr>
        <w:tc>
          <w:tcPr>
            <w:tcW w:w="75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88"/>
        </w:trPr>
        <w:tc>
          <w:tcPr>
            <w:tcW w:w="75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Balance at end of period</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2022 and 2021, unrecognized tax benefits of $0.4 million and $0.1 million, respectively, were recorded in other long-term liabilities, which would impact the annual effective tax rate if recognized. The Company recognizes interest and penalties, if any, related to unrecognized tax positions in the provision for income taxes in the accompanying consolidated statement of operations and comprehensive loss. The Company does not expect a significant increase or decrease in unrecognized tax benefits over the next twelve months.</w:t>
      </w:r>
    </w:p>
    <w:p>
      <w:pPr>
        <w:spacing w:after="0" w:line="21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Company, through its foreign subsidiary Alnashmi Digital Marketing, LLC, provides exported technology services, the profits of which are exempt from income tax through December 31, 2025 according to the provisions of the article (9/A/4) of Regulation Number 106 of the 2016 Regulations. So long as the services are exported outside of Jordan, they originate in Jordan and there are no other services within the exported services, the qualifications are</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met. The approximate dollar value of tax expense related to the tax holiday was $0.3 million and $0.2 million as of December 31, 2022 and 2021, respectively.</w:t>
      </w:r>
    </w:p>
    <w:p>
      <w:pPr>
        <w:spacing w:after="0" w:line="18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On August 16, 2022, the U.S. enacted the Inflation Reduction Act of 2022, which, among other things, implements a 15% minimum tax on book income of certain large corporations, a 1% excise tax on net stock repurchases and several tax incentives to promote clean energy. Based on our current analysis of the provisions, we do not believe this legislation will have a material impact on our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During the year ended December 31, 2022, we restructured the ownership of certain intellectual property, which resulted in an income tax benefit.</w:t>
      </w:r>
    </w:p>
    <w:p>
      <w:pPr>
        <w:spacing w:after="0" w:line="2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income tax benefit differs from the expected tax benefit computed by applying the U.S. federal statutory rate to income before taxes as a result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88"/>
              </w:rPr>
              <w:t>Year ended December 31,</w:t>
            </w: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2022</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3"/>
          </w:tcPr>
          <w:p>
            <w:pPr>
              <w:jc w:val="center"/>
              <w:ind w:left="570"/>
              <w:spacing w:after="0"/>
              <w:rPr>
                <w:sz w:val="20"/>
                <w:szCs w:val="20"/>
                <w:color w:val="auto"/>
              </w:rPr>
            </w:pPr>
            <w:r>
              <w:rPr>
                <w:rFonts w:ascii="Arial" w:cs="Arial" w:eastAsia="Arial" w:hAnsi="Arial"/>
                <w:sz w:val="18"/>
                <w:szCs w:val="18"/>
                <w:b w:val="1"/>
                <w:bCs w:val="1"/>
                <w:color w:val="auto"/>
                <w:w w:val="89"/>
              </w:rPr>
              <w:t>2021</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2020</w:t>
            </w:r>
          </w:p>
        </w:tc>
        <w:tc>
          <w:tcPr>
            <w:tcW w:w="800" w:type="dxa"/>
            <w:vAlign w:val="bottom"/>
          </w:tcPr>
          <w:p>
            <w:pPr>
              <w:spacing w:after="0"/>
              <w:rPr>
                <w:sz w:val="20"/>
                <w:szCs w:val="20"/>
                <w:color w:val="auto"/>
              </w:rPr>
            </w:pPr>
          </w:p>
        </w:tc>
      </w:tr>
      <w:tr>
        <w:trPr>
          <w:trHeight w:val="27"/>
        </w:trPr>
        <w:tc>
          <w:tcPr>
            <w:tcW w:w="4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gridSpan w:val="9"/>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6"/>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500" w:type="dxa"/>
            <w:vAlign w:val="bottom"/>
            <w:gridSpan w:val="9"/>
          </w:tcPr>
          <w:p>
            <w:pPr>
              <w:jc w:val="center"/>
              <w:ind w:left="470"/>
              <w:spacing w:after="0"/>
              <w:rPr>
                <w:sz w:val="20"/>
                <w:szCs w:val="20"/>
                <w:color w:val="auto"/>
              </w:rPr>
            </w:pPr>
            <w:r>
              <w:rPr>
                <w:rFonts w:ascii="Arial" w:cs="Arial" w:eastAsia="Arial" w:hAnsi="Arial"/>
                <w:sz w:val="18"/>
                <w:szCs w:val="18"/>
                <w:i w:val="1"/>
                <w:iCs w:val="1"/>
                <w:color w:val="auto"/>
                <w:w w:val="88"/>
              </w:rPr>
              <w:t>(in thousands, except percentages)</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81"/>
        </w:trPr>
        <w:tc>
          <w:tcPr>
            <w:tcW w:w="4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 at U.S. statutory rate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(19,324)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21.00%</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Change in income tax resulting from:</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State income benefit, net of federal benefit</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2.66</w:t>
            </w:r>
          </w:p>
        </w:tc>
      </w:tr>
      <w:tr>
        <w:trPr>
          <w:trHeight w:val="243"/>
        </w:trPr>
        <w:tc>
          <w:tcPr>
            <w:tcW w:w="428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1,579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(2.48)</w:t>
            </w:r>
          </w:p>
        </w:tc>
      </w:tr>
      <w:tr>
        <w:trPr>
          <w:trHeight w:val="27"/>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Nondeductible compensation</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Pr>
          <w:p>
            <w:pPr>
              <w:ind w:left="140"/>
              <w:spacing w:after="0"/>
              <w:rPr>
                <w:sz w:val="20"/>
                <w:szCs w:val="20"/>
                <w:color w:val="auto"/>
              </w:rPr>
            </w:pPr>
            <w:r>
              <w:rPr>
                <w:rFonts w:ascii="Arial" w:cs="Arial" w:eastAsia="Arial" w:hAnsi="Arial"/>
                <w:sz w:val="18"/>
                <w:szCs w:val="18"/>
                <w:color w:val="auto"/>
              </w:rPr>
              <w:t>Nondeductible transaction costs</w:t>
            </w:r>
          </w:p>
        </w:tc>
        <w:tc>
          <w:tcPr>
            <w:tcW w:w="260" w:type="dxa"/>
            <w:vAlign w:val="bottom"/>
          </w:tcPr>
          <w:p>
            <w:pPr>
              <w:spacing w:after="0"/>
              <w:rPr>
                <w:sz w:val="21"/>
                <w:szCs w:val="21"/>
                <w:color w:val="auto"/>
              </w:rPr>
            </w:pPr>
          </w:p>
        </w:tc>
        <w:tc>
          <w:tcPr>
            <w:tcW w:w="11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(0.75)</w:t>
            </w:r>
          </w:p>
        </w:tc>
      </w:tr>
      <w:tr>
        <w:trPr>
          <w:trHeight w:val="27"/>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Foreign rate differential</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0.42</w:t>
            </w:r>
          </w:p>
        </w:tc>
      </w:tr>
      <w:tr>
        <w:trPr>
          <w:trHeight w:val="243"/>
        </w:trPr>
        <w:tc>
          <w:tcPr>
            <w:tcW w:w="4280" w:type="dxa"/>
            <w:vAlign w:val="bottom"/>
          </w:tcPr>
          <w:p>
            <w:pPr>
              <w:ind w:left="140"/>
              <w:spacing w:after="0"/>
              <w:rPr>
                <w:sz w:val="20"/>
                <w:szCs w:val="20"/>
                <w:color w:val="auto"/>
              </w:rPr>
            </w:pPr>
            <w:r>
              <w:rPr>
                <w:rFonts w:ascii="Arial" w:cs="Arial" w:eastAsia="Arial" w:hAnsi="Arial"/>
                <w:sz w:val="18"/>
                <w:szCs w:val="18"/>
                <w:color w:val="auto"/>
              </w:rPr>
              <w:t>Change in valuation allowance</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15,648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6,420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8,661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(13.62)</w:t>
            </w:r>
          </w:p>
        </w:tc>
      </w:tr>
      <w:tr>
        <w:trPr>
          <w:trHeight w:val="27"/>
        </w:trPr>
        <w:tc>
          <w:tcPr>
            <w:tcW w:w="4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Intellectual property migration</w:t>
            </w:r>
          </w:p>
        </w:tc>
        <w:tc>
          <w:tcPr>
            <w:tcW w:w="2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4280" w:type="dxa"/>
            <w:vAlign w:val="bottom"/>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(1.52)</w:t>
            </w:r>
          </w:p>
        </w:tc>
      </w:tr>
      <w:tr>
        <w:trPr>
          <w:trHeight w:val="27"/>
        </w:trPr>
        <w:tc>
          <w:tcPr>
            <w:tcW w:w="4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89"/>
        </w:trPr>
        <w:tc>
          <w:tcPr>
            <w:tcW w:w="4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tax benefit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7.26 %</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(10,051)</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10.93 %</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5.71 %</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 has non-cancelable contractual purchase obligations incurred in the normal course of business to help deliver our services and products and provide support to our customers. These contracts with vendors primarily relate to software service, targeted mail costs, third party fulfillment costs and software hosting. Unrecognized future minimum payments due under these agreements are as follows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tcPr>
          <w:p>
            <w:pPr>
              <w:ind w:left="20"/>
              <w:spacing w:after="0"/>
              <w:rPr>
                <w:sz w:val="20"/>
                <w:szCs w:val="20"/>
                <w:color w:val="auto"/>
              </w:rPr>
            </w:pPr>
            <w:r>
              <w:rPr>
                <w:rFonts w:ascii="Arial" w:cs="Arial" w:eastAsia="Arial" w:hAnsi="Arial"/>
                <w:sz w:val="18"/>
                <w:szCs w:val="18"/>
                <w:color w:val="auto"/>
              </w:rPr>
              <w:t>Year ended December 31,</w:t>
            </w:r>
          </w:p>
        </w:tc>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9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2023</w:t>
            </w:r>
          </w:p>
        </w:tc>
        <w:tc>
          <w:tcPr>
            <w:tcW w:w="660" w:type="dxa"/>
            <w:vAlign w:val="bottom"/>
            <w:tcBorders>
              <w:bottom w:val="single" w:sz="8" w:color="CCEEFF"/>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12,608</w:t>
            </w:r>
          </w:p>
        </w:tc>
      </w:tr>
      <w:tr>
        <w:trPr>
          <w:trHeight w:val="243"/>
        </w:trPr>
        <w:tc>
          <w:tcPr>
            <w:tcW w:w="9440" w:type="dxa"/>
            <w:vAlign w:val="bottom"/>
          </w:tcPr>
          <w:p>
            <w:pPr>
              <w:ind w:left="140"/>
              <w:spacing w:after="0"/>
              <w:rPr>
                <w:sz w:val="20"/>
                <w:szCs w:val="20"/>
                <w:color w:val="auto"/>
              </w:rPr>
            </w:pPr>
            <w:r>
              <w:rPr>
                <w:rFonts w:ascii="Arial" w:cs="Arial" w:eastAsia="Arial" w:hAnsi="Arial"/>
                <w:sz w:val="18"/>
                <w:szCs w:val="18"/>
                <w:color w:val="auto"/>
              </w:rPr>
              <w:t>2024</w:t>
            </w: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12,800</w:t>
            </w:r>
          </w:p>
        </w:tc>
      </w:tr>
      <w:tr>
        <w:trPr>
          <w:trHeight w:val="27"/>
        </w:trPr>
        <w:tc>
          <w:tcPr>
            <w:tcW w:w="9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2025</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10,279</w:t>
            </w:r>
          </w:p>
        </w:tc>
      </w:tr>
      <w:tr>
        <w:trPr>
          <w:trHeight w:val="243"/>
        </w:trPr>
        <w:tc>
          <w:tcPr>
            <w:tcW w:w="9440" w:type="dxa"/>
            <w:vAlign w:val="bottom"/>
          </w:tcPr>
          <w:p>
            <w:pPr>
              <w:ind w:left="140"/>
              <w:spacing w:after="0"/>
              <w:rPr>
                <w:sz w:val="20"/>
                <w:szCs w:val="20"/>
                <w:color w:val="auto"/>
              </w:rPr>
            </w:pPr>
            <w:r>
              <w:rPr>
                <w:rFonts w:ascii="Arial" w:cs="Arial" w:eastAsia="Arial" w:hAnsi="Arial"/>
                <w:sz w:val="18"/>
                <w:szCs w:val="18"/>
                <w:color w:val="auto"/>
              </w:rPr>
              <w:t>2026</w:t>
            </w: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2,125</w:t>
            </w:r>
          </w:p>
        </w:tc>
      </w:tr>
      <w:tr>
        <w:trPr>
          <w:trHeight w:val="27"/>
        </w:trPr>
        <w:tc>
          <w:tcPr>
            <w:tcW w:w="9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4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2027</w:t>
            </w:r>
          </w:p>
        </w:tc>
        <w:tc>
          <w:tcPr>
            <w:tcW w:w="6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r>
      <w:tr>
        <w:trPr>
          <w:trHeight w:val="243"/>
        </w:trPr>
        <w:tc>
          <w:tcPr>
            <w:tcW w:w="9440" w:type="dxa"/>
            <w:vAlign w:val="bottom"/>
          </w:tcPr>
          <w:p>
            <w:pPr>
              <w:ind w:left="140"/>
              <w:spacing w:after="0"/>
              <w:rPr>
                <w:sz w:val="20"/>
                <w:szCs w:val="20"/>
                <w:color w:val="auto"/>
              </w:rPr>
            </w:pPr>
            <w:r>
              <w:rPr>
                <w:rFonts w:ascii="Arial" w:cs="Arial" w:eastAsia="Arial" w:hAnsi="Arial"/>
                <w:sz w:val="18"/>
                <w:szCs w:val="18"/>
                <w:color w:val="auto"/>
              </w:rPr>
              <w:t>Thereafter</w:t>
            </w:r>
          </w:p>
        </w:tc>
        <w:tc>
          <w:tcPr>
            <w:tcW w:w="6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688</w:t>
            </w:r>
          </w:p>
        </w:tc>
      </w:tr>
      <w:tr>
        <w:trPr>
          <w:trHeight w:val="27"/>
        </w:trPr>
        <w:tc>
          <w:tcPr>
            <w:tcW w:w="944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89"/>
        </w:trPr>
        <w:tc>
          <w:tcPr>
            <w:tcW w:w="9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future minimum payments due</w:t>
            </w:r>
          </w:p>
        </w:tc>
        <w:tc>
          <w:tcPr>
            <w:tcW w:w="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41,125</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From time to time, the Company may become involved in various lawsuits and legal proceedings which arise in the ordinary course of business. However, litigation is subject to inherent uncertainties, and an adverse result in these or other matters may arise from time to time that may harm our business. We are currently not aware of any such legal proceedings or claims that we believe will have, individually or in the aggregate, a material adverse effect on our business, financial condition or operating results.</w:t>
      </w:r>
    </w:p>
    <w:p>
      <w:pPr>
        <w:sectPr>
          <w:pgSz w:w="11900" w:h="16838" w:orient="portrait"/>
          <w:cols w:equalWidth="0" w:num="1">
            <w:col w:w="11240"/>
          </w:cols>
          <w:pgMar w:left="320" w:top="3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type w:val="continuous"/>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EverCommerce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assesses the applicability of nexus in jurisdictions in which the Company sells products and services. As of December 31, 2022 and 2021, the Company recorded a liability in the amount of $11.2 million and $13.0 million, respectively, within current liabilities and other long-term liabilities as a provision for sales and use and gross receipts tax. In connection with the Company's accounting for acquisitions, the Company has recorded liabilities and corresponding provisional escrow or indemnity receivables within the purchase price allocations for instances in which the Company is indemnified for tax matters.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00" w:type="dxa"/>
            <w:vAlign w:val="bottom"/>
          </w:tcPr>
          <w:p>
            <w:pPr>
              <w:spacing w:after="0"/>
              <w:rPr>
                <w:sz w:val="20"/>
                <w:szCs w:val="20"/>
                <w:color w:val="auto"/>
              </w:rPr>
            </w:pPr>
            <w:r>
              <w:rPr>
                <w:rFonts w:ascii="Arial" w:cs="Arial" w:eastAsia="Arial" w:hAnsi="Arial"/>
                <w:sz w:val="18"/>
                <w:szCs w:val="18"/>
                <w:b w:val="1"/>
                <w:bCs w:val="1"/>
                <w:color w:val="auto"/>
              </w:rPr>
              <w:t>Note 18. Geographic Areas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05"/>
        </w:trPr>
        <w:tc>
          <w:tcPr>
            <w:tcW w:w="7800" w:type="dxa"/>
            <w:vAlign w:val="bottom"/>
          </w:tcPr>
          <w:p>
            <w:pPr>
              <w:spacing w:after="0"/>
              <w:rPr>
                <w:sz w:val="20"/>
                <w:szCs w:val="20"/>
                <w:color w:val="auto"/>
              </w:rPr>
            </w:pPr>
            <w:r>
              <w:rPr>
                <w:rFonts w:ascii="Arial" w:cs="Arial" w:eastAsia="Arial" w:hAnsi="Arial"/>
                <w:sz w:val="18"/>
                <w:szCs w:val="18"/>
                <w:color w:val="auto"/>
              </w:rPr>
              <w:t>The following table sets forth long-lived assets by geographic area:</w:t>
            </w: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73"/>
        </w:trPr>
        <w:tc>
          <w:tcPr>
            <w:tcW w:w="7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December 31,</w:t>
            </w:r>
          </w:p>
        </w:tc>
        <w:tc>
          <w:tcPr>
            <w:tcW w:w="1100" w:type="dxa"/>
            <w:vAlign w:val="bottom"/>
          </w:tcPr>
          <w:p>
            <w:pPr>
              <w:spacing w:after="0"/>
              <w:rPr>
                <w:sz w:val="24"/>
                <w:szCs w:val="24"/>
                <w:color w:val="auto"/>
              </w:rPr>
            </w:pPr>
          </w:p>
        </w:tc>
      </w:tr>
      <w:tr>
        <w:trPr>
          <w:trHeight w:val="27"/>
        </w:trPr>
        <w:tc>
          <w:tcPr>
            <w:tcW w:w="7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2022</w:t>
            </w:r>
          </w:p>
        </w:tc>
        <w:tc>
          <w:tcPr>
            <w:tcW w:w="640" w:type="dxa"/>
            <w:vAlign w:val="bottom"/>
          </w:tcPr>
          <w:p>
            <w:pPr>
              <w:spacing w:after="0"/>
              <w:rPr>
                <w:sz w:val="20"/>
                <w:szCs w:val="20"/>
                <w:color w:val="auto"/>
              </w:rPr>
            </w:pPr>
          </w:p>
        </w:tc>
        <w:tc>
          <w:tcPr>
            <w:tcW w:w="1100" w:type="dxa"/>
            <w:vAlign w:val="bottom"/>
          </w:tcPr>
          <w:p>
            <w:pPr>
              <w:jc w:val="right"/>
              <w:ind w:right="570"/>
              <w:spacing w:after="0"/>
              <w:rPr>
                <w:sz w:val="20"/>
                <w:szCs w:val="20"/>
                <w:color w:val="auto"/>
              </w:rPr>
            </w:pPr>
            <w:r>
              <w:rPr>
                <w:rFonts w:ascii="Arial" w:cs="Arial" w:eastAsia="Arial" w:hAnsi="Arial"/>
                <w:sz w:val="18"/>
                <w:szCs w:val="18"/>
                <w:b w:val="1"/>
                <w:bCs w:val="1"/>
                <w:color w:val="auto"/>
              </w:rPr>
              <w:t>2021</w:t>
            </w:r>
          </w:p>
        </w:tc>
      </w:tr>
      <w:tr>
        <w:trPr>
          <w:trHeight w:val="27"/>
        </w:trPr>
        <w:tc>
          <w:tcPr>
            <w:tcW w:w="78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960" w:type="dxa"/>
            <w:vAlign w:val="bottom"/>
            <w:gridSpan w:val="2"/>
          </w:tcPr>
          <w:p>
            <w:pPr>
              <w:jc w:val="right"/>
              <w:ind w:right="10"/>
              <w:spacing w:after="0"/>
              <w:rPr>
                <w:sz w:val="20"/>
                <w:szCs w:val="20"/>
                <w:color w:val="auto"/>
              </w:rPr>
            </w:pPr>
            <w:r>
              <w:rPr>
                <w:rFonts w:ascii="Arial" w:cs="Arial" w:eastAsia="Arial" w:hAnsi="Arial"/>
                <w:sz w:val="18"/>
                <w:szCs w:val="18"/>
                <w:i w:val="1"/>
                <w:iCs w:val="1"/>
                <w:color w:val="auto"/>
              </w:rPr>
              <w:t>(in thousands)</w:t>
            </w:r>
          </w:p>
        </w:tc>
        <w:tc>
          <w:tcPr>
            <w:tcW w:w="1100" w:type="dxa"/>
            <w:vAlign w:val="bottom"/>
          </w:tcPr>
          <w:p>
            <w:pPr>
              <w:spacing w:after="0"/>
              <w:rPr>
                <w:sz w:val="20"/>
                <w:szCs w:val="20"/>
                <w:color w:val="auto"/>
              </w:rPr>
            </w:pPr>
          </w:p>
        </w:tc>
      </w:tr>
      <w:tr>
        <w:trPr>
          <w:trHeight w:val="81"/>
        </w:trPr>
        <w:tc>
          <w:tcPr>
            <w:tcW w:w="78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100" w:type="dxa"/>
            <w:vAlign w:val="bottom"/>
          </w:tcPr>
          <w:p>
            <w:pPr>
              <w:spacing w:after="0"/>
              <w:rPr>
                <w:sz w:val="7"/>
                <w:szCs w:val="7"/>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36,226</w:t>
            </w:r>
          </w:p>
        </w:tc>
        <w:tc>
          <w:tcPr>
            <w:tcW w:w="6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34,906</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8,258</w:t>
            </w:r>
          </w:p>
        </w:tc>
        <w:tc>
          <w:tcPr>
            <w:tcW w:w="64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2,603</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25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On March 14, 2023, the Company entered into an interest rate swap agreement in connection with the Company’s Credit Facilities for a notional amount of $100.0 million to convert a portion of the Term Loans from a floating rate to a fixed rate. This swap agreement is effective March 31, 2023 and has a term of approximately 4.5 years with a fixed rate in the agreement of 3.969%.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29" w:name="page130"/>
    <w:bookmarkEnd w:id="129"/>
    <w:p>
      <w:pPr>
        <w:spacing w:after="0" w:line="194" w:lineRule="exact"/>
        <w:rPr>
          <w:sz w:val="20"/>
          <w:szCs w:val="20"/>
          <w:color w:val="auto"/>
        </w:rPr>
      </w:pPr>
    </w:p>
    <w:p>
      <w:pPr>
        <w:ind w:right="3680"/>
        <w:spacing w:after="0" w:line="485"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5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(as defined in Rules 13a-15(e) and 15d-15(e) under the Exchange Act) as of the end of the period covered by this Annual Report on Form 10-K. Based on such evaluation, our principal executive officer and principal financial officer have concluded that as of December 31, 2022, our disclosure controls and procedures were not effective as a result of material weaknesses in our internal control over financial reporting as described below.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 13a-15(f) under the Exchange Act.</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supervision of and with the participation of our principal executive officer and principal financial officer, our management assessed the effectiveness of our internal control over financial reporting as of December 31, 2022 based on the criteria set forth in Internal Control – Integrated Framework (2013) issued by the Committee of Sponsoring Organizations of the Treadway Commission. Based on this assessment, management concluded that our internal control over financial reporting was not effective as of December 31, 2022 due to the existence of the material weaknesses described below.</w:t>
      </w:r>
    </w:p>
    <w:p>
      <w:pPr>
        <w:spacing w:after="0" w:line="21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preparation of the financial statements for this Annual Report on Form 10-K, we identified a material weakness in our internal control over financial reporting as of December 31, 2022. The material weakness identified related to certain information technology general controls (“ITGCs”) that support certain of the Company’s solution organizations’ revenue processes which were found to be not operating effectively. As a result, certain of the Company’s related information technology-dependent manual and application controls that rely upon the affected ITGCs, or information coming from information technology (“IT”) systems with affected ITGCs, for continued operation were also deemed ineffective. We have concluded that the material weakness arose due to acquired IT infrastructure. The material weakness did not result in any identified misstatements to our consolidated financial statements or changes to previously disclosed financial results.</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independent registered public accounting firm will not be required to opine on the effectiveness of our internal control over financial reporting pursuant to Section 404 until we are no longer an “emerging growth company” as defined in the JOBS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Efforts to Address Material Weakness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To remediate the material weakness described above, we plan to improve the performance of our ITGCs by enhancing our training for ITGC owners regarding their roles and responsibilities. We are also working with the application owners to bolster the systems and improve our documentation supporting the related ITGCs.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8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Other than the remediation efforts described above, there have been no changes in internal control over financial reporting during the quarter ended December 31, 2022 that have materially affected, or are reasonably likely to materially affect, our internal control over financial reporting.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239"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Our board of directors has adopted a written Code of Conduct and Ethics applicable to all officers, directors and employees, including our principal executive officer, principal financial officer, principal accounting officer and controller, or persons performing similar functions. We have posted a current copy of our Code of Conduct and Ethics on our Investor Relations website at investors.evercommerce.com. We intend to satisfy the disclosure requirement under Item 5.05 of Form 8-K regarding amendment to, or waiver from, a provision of our Code of Business Conduct and Ethics, as well as Nasdaq’s requirement to disclose waivers with respect to directors and executive officers, by posting such information on our website at the address specified above. The information contained on our website is not incorporated by reference into this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and Directors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 and Directors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position(s) of each of our executive officers and directors as of March 15, 2023:</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740" w:type="dxa"/>
            <w:vAlign w:val="bottom"/>
            <w:gridSpan w:val="2"/>
          </w:tcPr>
          <w:p>
            <w:pPr>
              <w:ind w:left="20"/>
              <w:spacing w:after="0"/>
              <w:rPr>
                <w:sz w:val="20"/>
                <w:szCs w:val="20"/>
                <w:color w:val="auto"/>
              </w:rPr>
            </w:pPr>
            <w:r>
              <w:rPr>
                <w:rFonts w:ascii="Arial" w:cs="Arial" w:eastAsia="Arial" w:hAnsi="Arial"/>
                <w:sz w:val="16"/>
                <w:szCs w:val="16"/>
                <w:b w:val="1"/>
                <w:bCs w:val="1"/>
                <w:color w:val="auto"/>
              </w:rPr>
              <w:t>Name</w:t>
            </w:r>
          </w:p>
        </w:tc>
        <w:tc>
          <w:tcPr>
            <w:tcW w:w="960" w:type="dxa"/>
            <w:vAlign w:val="bottom"/>
            <w:gridSpan w:val="2"/>
          </w:tcPr>
          <w:p>
            <w:pPr>
              <w:ind w:left="20"/>
              <w:spacing w:after="0"/>
              <w:rPr>
                <w:sz w:val="20"/>
                <w:szCs w:val="20"/>
                <w:color w:val="auto"/>
              </w:rPr>
            </w:pPr>
            <w:r>
              <w:rPr>
                <w:rFonts w:ascii="Arial" w:cs="Arial" w:eastAsia="Arial" w:hAnsi="Arial"/>
                <w:sz w:val="16"/>
                <w:szCs w:val="16"/>
                <w:b w:val="1"/>
                <w:bCs w:val="1"/>
                <w:color w:val="auto"/>
              </w:rPr>
              <w:t>Age</w:t>
            </w:r>
          </w:p>
        </w:tc>
        <w:tc>
          <w:tcPr>
            <w:tcW w:w="3540" w:type="dxa"/>
            <w:vAlign w:val="bottom"/>
            <w:gridSpan w:val="2"/>
          </w:tcPr>
          <w:p>
            <w:pPr>
              <w:ind w:left="20"/>
              <w:spacing w:after="0"/>
              <w:rPr>
                <w:sz w:val="20"/>
                <w:szCs w:val="20"/>
                <w:color w:val="auto"/>
              </w:rPr>
            </w:pPr>
            <w:r>
              <w:rPr>
                <w:rFonts w:ascii="Arial" w:cs="Arial" w:eastAsia="Arial" w:hAnsi="Arial"/>
                <w:sz w:val="16"/>
                <w:szCs w:val="16"/>
                <w:b w:val="1"/>
                <w:bCs w:val="1"/>
                <w:color w:val="auto"/>
              </w:rPr>
              <w:t>Position(s) with EverCommerce</w:t>
            </w:r>
          </w:p>
        </w:tc>
        <w:tc>
          <w:tcPr>
            <w:tcW w:w="4000" w:type="dxa"/>
            <w:vAlign w:val="bottom"/>
          </w:tcPr>
          <w:p>
            <w:pPr>
              <w:spacing w:after="0"/>
              <w:rPr>
                <w:sz w:val="20"/>
                <w:szCs w:val="20"/>
                <w:color w:val="auto"/>
              </w:rPr>
            </w:pPr>
            <w:r>
              <w:rPr>
                <w:rFonts w:ascii="Arial" w:cs="Arial" w:eastAsia="Arial" w:hAnsi="Arial"/>
                <w:sz w:val="16"/>
                <w:szCs w:val="16"/>
                <w:b w:val="1"/>
                <w:bCs w:val="1"/>
                <w:color w:val="auto"/>
              </w:rPr>
              <w:t>Principal Employment</w:t>
            </w:r>
          </w:p>
        </w:tc>
      </w:tr>
      <w:tr>
        <w:trPr>
          <w:trHeight w:val="257"/>
        </w:trPr>
        <w:tc>
          <w:tcPr>
            <w:tcW w:w="26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3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4000" w:type="dxa"/>
            <w:vAlign w:val="bottom"/>
            <w:tcBorders>
              <w:top w:val="single" w:sz="8" w:color="auto"/>
            </w:tcBorders>
          </w:tcPr>
          <w:p>
            <w:pPr>
              <w:spacing w:after="0"/>
              <w:rPr>
                <w:sz w:val="22"/>
                <w:szCs w:val="22"/>
                <w:color w:val="auto"/>
              </w:rPr>
            </w:pPr>
          </w:p>
        </w:tc>
      </w:tr>
      <w:tr>
        <w:trPr>
          <w:trHeight w:val="24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Executive Officers</w:t>
            </w: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0" w:type="dxa"/>
            <w:vAlign w:val="bottom"/>
            <w:shd w:val="clear" w:color="auto" w:fill="CCEEFF"/>
          </w:tcPr>
          <w:p>
            <w:pPr>
              <w:spacing w:after="0"/>
              <w:rPr>
                <w:sz w:val="21"/>
                <w:szCs w:val="21"/>
                <w:color w:val="auto"/>
              </w:rPr>
            </w:pPr>
          </w:p>
        </w:tc>
      </w:tr>
      <w:tr>
        <w:trPr>
          <w:trHeight w:val="243"/>
        </w:trPr>
        <w:tc>
          <w:tcPr>
            <w:tcW w:w="2740" w:type="dxa"/>
            <w:vAlign w:val="bottom"/>
            <w:gridSpan w:val="2"/>
          </w:tcPr>
          <w:p>
            <w:pPr>
              <w:ind w:left="140"/>
              <w:spacing w:after="0"/>
              <w:rPr>
                <w:sz w:val="20"/>
                <w:szCs w:val="20"/>
                <w:color w:val="auto"/>
              </w:rPr>
            </w:pPr>
            <w:r>
              <w:rPr>
                <w:rFonts w:ascii="Arial" w:cs="Arial" w:eastAsia="Arial" w:hAnsi="Arial"/>
                <w:sz w:val="16"/>
                <w:szCs w:val="16"/>
                <w:color w:val="auto"/>
              </w:rPr>
              <w:t>Eric Remer</w:t>
            </w:r>
            <w:r>
              <w:rPr>
                <w:rFonts w:ascii="Arial" w:cs="Arial" w:eastAsia="Arial" w:hAnsi="Arial"/>
                <w:sz w:val="21"/>
                <w:szCs w:val="21"/>
                <w:color w:val="auto"/>
                <w:vertAlign w:val="superscript"/>
              </w:rPr>
              <w:t>(1)</w:t>
            </w: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21"/>
                <w:szCs w:val="21"/>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Chief Executive Officer and Director</w:t>
            </w:r>
          </w:p>
        </w:tc>
        <w:tc>
          <w:tcPr>
            <w:tcW w:w="4000" w:type="dxa"/>
            <w:vAlign w:val="bottom"/>
          </w:tcPr>
          <w:p>
            <w:pPr>
              <w:spacing w:after="0"/>
              <w:rPr>
                <w:sz w:val="20"/>
                <w:szCs w:val="20"/>
                <w:color w:val="auto"/>
              </w:rPr>
            </w:pPr>
            <w:r>
              <w:rPr>
                <w:rFonts w:ascii="Arial" w:cs="Arial" w:eastAsia="Arial" w:hAnsi="Arial"/>
                <w:sz w:val="16"/>
                <w:szCs w:val="16"/>
                <w:color w:val="auto"/>
              </w:rPr>
              <w:t>Same</w:t>
            </w:r>
          </w:p>
        </w:tc>
      </w:tr>
      <w:tr>
        <w:trPr>
          <w:trHeight w:val="243"/>
        </w:trPr>
        <w:tc>
          <w:tcPr>
            <w:tcW w:w="2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Matthew Feierstein</w:t>
            </w:r>
          </w:p>
        </w:tc>
        <w:tc>
          <w:tcPr>
            <w:tcW w:w="8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President</w:t>
            </w: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Same</w:t>
            </w:r>
          </w:p>
        </w:tc>
      </w:tr>
      <w:tr>
        <w:trPr>
          <w:trHeight w:val="233"/>
        </w:trPr>
        <w:tc>
          <w:tcPr>
            <w:tcW w:w="2740" w:type="dxa"/>
            <w:vAlign w:val="bottom"/>
            <w:gridSpan w:val="2"/>
          </w:tcPr>
          <w:p>
            <w:pPr>
              <w:ind w:left="140"/>
              <w:spacing w:after="0"/>
              <w:rPr>
                <w:sz w:val="20"/>
                <w:szCs w:val="20"/>
                <w:color w:val="auto"/>
              </w:rPr>
            </w:pPr>
            <w:r>
              <w:rPr>
                <w:rFonts w:ascii="Arial" w:cs="Arial" w:eastAsia="Arial" w:hAnsi="Arial"/>
                <w:sz w:val="16"/>
                <w:szCs w:val="16"/>
                <w:color w:val="auto"/>
              </w:rPr>
              <w:t>Marc Thompson</w:t>
            </w: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Chief Financial Officer</w:t>
            </w:r>
          </w:p>
        </w:tc>
        <w:tc>
          <w:tcPr>
            <w:tcW w:w="4000" w:type="dxa"/>
            <w:vAlign w:val="bottom"/>
          </w:tcPr>
          <w:p>
            <w:pPr>
              <w:spacing w:after="0"/>
              <w:rPr>
                <w:sz w:val="20"/>
                <w:szCs w:val="20"/>
                <w:color w:val="auto"/>
              </w:rPr>
            </w:pPr>
            <w:r>
              <w:rPr>
                <w:rFonts w:ascii="Arial" w:cs="Arial" w:eastAsia="Arial" w:hAnsi="Arial"/>
                <w:sz w:val="16"/>
                <w:szCs w:val="16"/>
                <w:color w:val="auto"/>
              </w:rPr>
              <w:t>Same</w:t>
            </w:r>
          </w:p>
        </w:tc>
      </w:tr>
      <w:tr>
        <w:trPr>
          <w:trHeight w:val="253"/>
        </w:trPr>
        <w:tc>
          <w:tcPr>
            <w:tcW w:w="2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Chris Alaimo</w:t>
            </w:r>
          </w:p>
        </w:tc>
        <w:tc>
          <w:tcPr>
            <w:tcW w:w="8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55</w:t>
            </w:r>
          </w:p>
        </w:tc>
        <w:tc>
          <w:tcPr>
            <w:tcW w:w="8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Chief Technology Officer</w:t>
            </w: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Same</w:t>
            </w:r>
          </w:p>
        </w:tc>
      </w:tr>
      <w:tr>
        <w:trPr>
          <w:trHeight w:val="233"/>
        </w:trPr>
        <w:tc>
          <w:tcPr>
            <w:tcW w:w="2740" w:type="dxa"/>
            <w:vAlign w:val="bottom"/>
            <w:gridSpan w:val="2"/>
          </w:tcPr>
          <w:p>
            <w:pPr>
              <w:ind w:left="140"/>
              <w:spacing w:after="0"/>
              <w:rPr>
                <w:sz w:val="20"/>
                <w:szCs w:val="20"/>
                <w:color w:val="auto"/>
              </w:rPr>
            </w:pPr>
            <w:r>
              <w:rPr>
                <w:rFonts w:ascii="Arial" w:cs="Arial" w:eastAsia="Arial" w:hAnsi="Arial"/>
                <w:sz w:val="16"/>
                <w:szCs w:val="16"/>
                <w:color w:val="auto"/>
              </w:rPr>
              <w:t>Sarah Jordan</w:t>
            </w: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38</w:t>
            </w:r>
          </w:p>
        </w:tc>
        <w:tc>
          <w:tcPr>
            <w:tcW w:w="8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Chief Marketing Officer</w:t>
            </w:r>
          </w:p>
        </w:tc>
        <w:tc>
          <w:tcPr>
            <w:tcW w:w="4000" w:type="dxa"/>
            <w:vAlign w:val="bottom"/>
          </w:tcPr>
          <w:p>
            <w:pPr>
              <w:spacing w:after="0"/>
              <w:rPr>
                <w:sz w:val="20"/>
                <w:szCs w:val="20"/>
                <w:color w:val="auto"/>
              </w:rPr>
            </w:pPr>
            <w:r>
              <w:rPr>
                <w:rFonts w:ascii="Arial" w:cs="Arial" w:eastAsia="Arial" w:hAnsi="Arial"/>
                <w:sz w:val="16"/>
                <w:szCs w:val="16"/>
                <w:color w:val="auto"/>
              </w:rPr>
              <w:t>Same</w:t>
            </w:r>
          </w:p>
        </w:tc>
      </w:tr>
      <w:tr>
        <w:trPr>
          <w:trHeight w:val="253"/>
        </w:trPr>
        <w:tc>
          <w:tcPr>
            <w:tcW w:w="2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Shane Driggers</w:t>
            </w:r>
          </w:p>
        </w:tc>
        <w:tc>
          <w:tcPr>
            <w:tcW w:w="8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Chief Human Resource Officer</w:t>
            </w: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Same</w:t>
            </w:r>
          </w:p>
        </w:tc>
      </w:tr>
      <w:tr>
        <w:trPr>
          <w:trHeight w:val="233"/>
        </w:trPr>
        <w:tc>
          <w:tcPr>
            <w:tcW w:w="2740" w:type="dxa"/>
            <w:vAlign w:val="bottom"/>
            <w:gridSpan w:val="2"/>
          </w:tcPr>
          <w:p>
            <w:pPr>
              <w:ind w:left="140"/>
              <w:spacing w:after="0"/>
              <w:rPr>
                <w:sz w:val="20"/>
                <w:szCs w:val="20"/>
                <w:color w:val="auto"/>
              </w:rPr>
            </w:pPr>
            <w:r>
              <w:rPr>
                <w:rFonts w:ascii="Arial" w:cs="Arial" w:eastAsia="Arial" w:hAnsi="Arial"/>
                <w:sz w:val="16"/>
                <w:szCs w:val="16"/>
                <w:color w:val="auto"/>
              </w:rPr>
              <w:t>Lisa Storey</w:t>
            </w: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General Counsel</w:t>
            </w:r>
          </w:p>
        </w:tc>
        <w:tc>
          <w:tcPr>
            <w:tcW w:w="4000" w:type="dxa"/>
            <w:vAlign w:val="bottom"/>
          </w:tcPr>
          <w:p>
            <w:pPr>
              <w:spacing w:after="0"/>
              <w:rPr>
                <w:sz w:val="20"/>
                <w:szCs w:val="20"/>
                <w:color w:val="auto"/>
              </w:rPr>
            </w:pPr>
            <w:r>
              <w:rPr>
                <w:rFonts w:ascii="Arial" w:cs="Arial" w:eastAsia="Arial" w:hAnsi="Arial"/>
                <w:sz w:val="16"/>
                <w:szCs w:val="16"/>
                <w:color w:val="auto"/>
              </w:rPr>
              <w:t>Same</w:t>
            </w:r>
          </w:p>
        </w:tc>
      </w:tr>
      <w:tr>
        <w:trPr>
          <w:trHeight w:val="253"/>
        </w:trPr>
        <w:tc>
          <w:tcPr>
            <w:tcW w:w="2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Non-Employee Directors</w:t>
            </w:r>
          </w:p>
        </w:tc>
        <w:tc>
          <w:tcPr>
            <w:tcW w:w="8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0" w:type="dxa"/>
            <w:vAlign w:val="bottom"/>
            <w:shd w:val="clear" w:color="auto" w:fill="CCEEFF"/>
          </w:tcPr>
          <w:p>
            <w:pPr>
              <w:spacing w:after="0"/>
              <w:rPr>
                <w:sz w:val="21"/>
                <w:szCs w:val="21"/>
                <w:color w:val="auto"/>
              </w:rPr>
            </w:pPr>
          </w:p>
        </w:tc>
      </w:tr>
      <w:tr>
        <w:trPr>
          <w:trHeight w:val="206"/>
        </w:trPr>
        <w:tc>
          <w:tcPr>
            <w:tcW w:w="2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6"/>
                <w:szCs w:val="16"/>
                <w:color w:val="auto"/>
              </w:rPr>
              <w:t>Former SVP and Chief Marketing Officer of Qualcomm</w:t>
            </w:r>
          </w:p>
        </w:tc>
      </w:tr>
      <w:tr>
        <w:trPr>
          <w:trHeight w:val="239"/>
        </w:trPr>
        <w:tc>
          <w:tcPr>
            <w:tcW w:w="2740" w:type="dxa"/>
            <w:vAlign w:val="bottom"/>
            <w:gridSpan w:val="2"/>
          </w:tcPr>
          <w:p>
            <w:pPr>
              <w:ind w:left="140"/>
              <w:spacing w:after="0" w:line="239" w:lineRule="exact"/>
              <w:rPr>
                <w:sz w:val="20"/>
                <w:szCs w:val="20"/>
                <w:color w:val="auto"/>
              </w:rPr>
            </w:pPr>
            <w:r>
              <w:rPr>
                <w:rFonts w:ascii="Arial" w:cs="Arial" w:eastAsia="Arial" w:hAnsi="Arial"/>
                <w:sz w:val="16"/>
                <w:szCs w:val="16"/>
                <w:color w:val="auto"/>
              </w:rPr>
              <w:t>Penny Baldwin-Leonard</w:t>
            </w:r>
            <w:r>
              <w:rPr>
                <w:rFonts w:ascii="Arial" w:cs="Arial" w:eastAsia="Arial" w:hAnsi="Arial"/>
                <w:sz w:val="21"/>
                <w:szCs w:val="21"/>
                <w:color w:val="auto"/>
                <w:vertAlign w:val="superscript"/>
              </w:rPr>
              <w:t>(3)</w:t>
            </w: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4000" w:type="dxa"/>
            <w:vAlign w:val="bottom"/>
          </w:tcPr>
          <w:p>
            <w:pPr>
              <w:spacing w:after="0"/>
              <w:rPr>
                <w:sz w:val="20"/>
                <w:szCs w:val="20"/>
                <w:color w:val="auto"/>
              </w:rPr>
            </w:pPr>
            <w:r>
              <w:rPr>
                <w:rFonts w:ascii="Arial" w:cs="Arial" w:eastAsia="Arial" w:hAnsi="Arial"/>
                <w:sz w:val="16"/>
                <w:szCs w:val="16"/>
                <w:color w:val="auto"/>
              </w:rPr>
              <w:t>Incorporated</w:t>
            </w:r>
          </w:p>
        </w:tc>
      </w:tr>
      <w:tr>
        <w:trPr>
          <w:trHeight w:val="243"/>
        </w:trPr>
        <w:tc>
          <w:tcPr>
            <w:tcW w:w="2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Kimberly Ellison-Taylor</w:t>
            </w:r>
            <w:r>
              <w:rPr>
                <w:rFonts w:ascii="Arial" w:cs="Arial" w:eastAsia="Arial" w:hAnsi="Arial"/>
                <w:sz w:val="21"/>
                <w:szCs w:val="21"/>
                <w:color w:val="auto"/>
                <w:vertAlign w:val="superscript"/>
              </w:rPr>
              <w:t>(2)</w:t>
            </w:r>
          </w:p>
        </w:tc>
        <w:tc>
          <w:tcPr>
            <w:tcW w:w="8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 Officer of KET Solutions, LLC</w:t>
            </w:r>
          </w:p>
        </w:tc>
      </w:tr>
      <w:tr>
        <w:trPr>
          <w:trHeight w:val="243"/>
        </w:trPr>
        <w:tc>
          <w:tcPr>
            <w:tcW w:w="2740" w:type="dxa"/>
            <w:vAlign w:val="bottom"/>
            <w:gridSpan w:val="2"/>
          </w:tcPr>
          <w:p>
            <w:pPr>
              <w:ind w:left="140"/>
              <w:spacing w:after="0"/>
              <w:rPr>
                <w:sz w:val="20"/>
                <w:szCs w:val="20"/>
                <w:color w:val="auto"/>
              </w:rPr>
            </w:pPr>
            <w:r>
              <w:rPr>
                <w:rFonts w:ascii="Arial" w:cs="Arial" w:eastAsia="Arial" w:hAnsi="Arial"/>
                <w:sz w:val="16"/>
                <w:szCs w:val="16"/>
                <w:color w:val="auto"/>
              </w:rPr>
              <w:t>Mark Hastings</w:t>
            </w:r>
            <w:r>
              <w:rPr>
                <w:rFonts w:ascii="Arial" w:cs="Arial" w:eastAsia="Arial" w:hAnsi="Arial"/>
                <w:sz w:val="21"/>
                <w:szCs w:val="21"/>
                <w:color w:val="auto"/>
                <w:vertAlign w:val="superscript"/>
              </w:rPr>
              <w:t>(3)</w:t>
            </w: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55</w:t>
            </w:r>
          </w:p>
        </w:tc>
        <w:tc>
          <w:tcPr>
            <w:tcW w:w="80" w:type="dxa"/>
            <w:vAlign w:val="bottom"/>
          </w:tcPr>
          <w:p>
            <w:pPr>
              <w:spacing w:after="0"/>
              <w:rPr>
                <w:sz w:val="21"/>
                <w:szCs w:val="21"/>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4000" w:type="dxa"/>
            <w:vAlign w:val="bottom"/>
          </w:tcPr>
          <w:p>
            <w:pPr>
              <w:spacing w:after="0"/>
              <w:rPr>
                <w:sz w:val="20"/>
                <w:szCs w:val="20"/>
                <w:color w:val="auto"/>
              </w:rPr>
            </w:pPr>
            <w:r>
              <w:rPr>
                <w:rFonts w:ascii="Arial" w:cs="Arial" w:eastAsia="Arial" w:hAnsi="Arial"/>
                <w:sz w:val="16"/>
                <w:szCs w:val="16"/>
                <w:color w:val="auto"/>
              </w:rPr>
              <w:t>Chief Executive Officer of PSG Equity L.L.C.</w:t>
            </w:r>
          </w:p>
        </w:tc>
      </w:tr>
      <w:tr>
        <w:trPr>
          <w:trHeight w:val="243"/>
        </w:trPr>
        <w:tc>
          <w:tcPr>
            <w:tcW w:w="2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John Marquis</w:t>
            </w:r>
            <w:r>
              <w:rPr>
                <w:rFonts w:ascii="Arial" w:cs="Arial" w:eastAsia="Arial" w:hAnsi="Arial"/>
                <w:sz w:val="21"/>
                <w:szCs w:val="21"/>
                <w:color w:val="auto"/>
                <w:vertAlign w:val="superscript"/>
              </w:rPr>
              <w:t>(1)</w:t>
            </w:r>
          </w:p>
        </w:tc>
        <w:tc>
          <w:tcPr>
            <w:tcW w:w="8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Managing Director of PSG Equity L.L.C.</w:t>
            </w:r>
          </w:p>
        </w:tc>
      </w:tr>
      <w:tr>
        <w:trPr>
          <w:trHeight w:val="243"/>
        </w:trPr>
        <w:tc>
          <w:tcPr>
            <w:tcW w:w="2740" w:type="dxa"/>
            <w:vAlign w:val="bottom"/>
            <w:gridSpan w:val="2"/>
          </w:tcPr>
          <w:p>
            <w:pPr>
              <w:ind w:left="140"/>
              <w:spacing w:after="0"/>
              <w:rPr>
                <w:sz w:val="20"/>
                <w:szCs w:val="20"/>
                <w:color w:val="auto"/>
              </w:rPr>
            </w:pPr>
            <w:r>
              <w:rPr>
                <w:rFonts w:ascii="Arial" w:cs="Arial" w:eastAsia="Arial" w:hAnsi="Arial"/>
                <w:sz w:val="16"/>
                <w:szCs w:val="16"/>
                <w:color w:val="auto"/>
              </w:rPr>
              <w:t>Joseph Osnoss</w:t>
            </w:r>
            <w:r>
              <w:rPr>
                <w:rFonts w:ascii="Arial" w:cs="Arial" w:eastAsia="Arial" w:hAnsi="Arial"/>
                <w:sz w:val="21"/>
                <w:szCs w:val="21"/>
                <w:color w:val="auto"/>
                <w:vertAlign w:val="superscript"/>
              </w:rPr>
              <w:t>(3)</w:t>
            </w: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45</w:t>
            </w:r>
          </w:p>
        </w:tc>
        <w:tc>
          <w:tcPr>
            <w:tcW w:w="80" w:type="dxa"/>
            <w:vAlign w:val="bottom"/>
          </w:tcPr>
          <w:p>
            <w:pPr>
              <w:spacing w:after="0"/>
              <w:rPr>
                <w:sz w:val="21"/>
                <w:szCs w:val="21"/>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4000" w:type="dxa"/>
            <w:vAlign w:val="bottom"/>
          </w:tcPr>
          <w:p>
            <w:pPr>
              <w:spacing w:after="0"/>
              <w:rPr>
                <w:sz w:val="20"/>
                <w:szCs w:val="20"/>
                <w:color w:val="auto"/>
              </w:rPr>
            </w:pPr>
            <w:r>
              <w:rPr>
                <w:rFonts w:ascii="Arial" w:cs="Arial" w:eastAsia="Arial" w:hAnsi="Arial"/>
                <w:sz w:val="16"/>
                <w:szCs w:val="16"/>
                <w:color w:val="auto"/>
              </w:rPr>
              <w:t>Managing Partner of Silver Lake</w:t>
            </w:r>
          </w:p>
        </w:tc>
      </w:tr>
      <w:tr>
        <w:trPr>
          <w:trHeight w:val="243"/>
        </w:trPr>
        <w:tc>
          <w:tcPr>
            <w:tcW w:w="2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John Rudella</w:t>
            </w:r>
          </w:p>
        </w:tc>
        <w:tc>
          <w:tcPr>
            <w:tcW w:w="8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51</w:t>
            </w:r>
          </w:p>
        </w:tc>
        <w:tc>
          <w:tcPr>
            <w:tcW w:w="8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Director of Silver Lake</w:t>
            </w:r>
          </w:p>
        </w:tc>
      </w:tr>
      <w:tr>
        <w:trPr>
          <w:trHeight w:val="243"/>
        </w:trPr>
        <w:tc>
          <w:tcPr>
            <w:tcW w:w="2740" w:type="dxa"/>
            <w:vAlign w:val="bottom"/>
            <w:gridSpan w:val="2"/>
          </w:tcPr>
          <w:p>
            <w:pPr>
              <w:ind w:left="140"/>
              <w:spacing w:after="0"/>
              <w:rPr>
                <w:sz w:val="20"/>
                <w:szCs w:val="20"/>
                <w:color w:val="auto"/>
              </w:rPr>
            </w:pPr>
            <w:r>
              <w:rPr>
                <w:rFonts w:ascii="Arial" w:cs="Arial" w:eastAsia="Arial" w:hAnsi="Arial"/>
                <w:sz w:val="16"/>
                <w:szCs w:val="16"/>
                <w:color w:val="auto"/>
              </w:rPr>
              <w:t>Richard A. Simonson</w:t>
            </w:r>
            <w:r>
              <w:rPr>
                <w:rFonts w:ascii="Arial" w:cs="Arial" w:eastAsia="Arial" w:hAnsi="Arial"/>
                <w:sz w:val="21"/>
                <w:szCs w:val="21"/>
                <w:color w:val="auto"/>
                <w:vertAlign w:val="superscript"/>
              </w:rPr>
              <w:t>(2)</w:t>
            </w:r>
          </w:p>
        </w:tc>
        <w:tc>
          <w:tcPr>
            <w:tcW w:w="880" w:type="dxa"/>
            <w:vAlign w:val="bottom"/>
          </w:tcPr>
          <w:p>
            <w:pPr>
              <w:jc w:val="right"/>
              <w:ind w:right="279"/>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21"/>
                <w:szCs w:val="21"/>
                <w:color w:val="auto"/>
              </w:rPr>
            </w:pPr>
          </w:p>
        </w:tc>
        <w:tc>
          <w:tcPr>
            <w:tcW w:w="3540" w:type="dxa"/>
            <w:vAlign w:val="bottom"/>
            <w:gridSpan w:val="2"/>
          </w:tcPr>
          <w:p>
            <w:pPr>
              <w:ind w:left="20"/>
              <w:spacing w:after="0"/>
              <w:rPr>
                <w:sz w:val="20"/>
                <w:szCs w:val="20"/>
                <w:color w:val="auto"/>
              </w:rPr>
            </w:pPr>
            <w:r>
              <w:rPr>
                <w:rFonts w:ascii="Arial" w:cs="Arial" w:eastAsia="Arial" w:hAnsi="Arial"/>
                <w:sz w:val="16"/>
                <w:szCs w:val="16"/>
                <w:color w:val="auto"/>
              </w:rPr>
              <w:t>Director</w:t>
            </w:r>
          </w:p>
        </w:tc>
        <w:tc>
          <w:tcPr>
            <w:tcW w:w="4000" w:type="dxa"/>
            <w:vAlign w:val="bottom"/>
          </w:tcPr>
          <w:p>
            <w:pPr>
              <w:spacing w:after="0"/>
              <w:rPr>
                <w:sz w:val="20"/>
                <w:szCs w:val="20"/>
                <w:color w:val="auto"/>
              </w:rPr>
            </w:pPr>
            <w:r>
              <w:rPr>
                <w:rFonts w:ascii="Arial" w:cs="Arial" w:eastAsia="Arial" w:hAnsi="Arial"/>
                <w:sz w:val="16"/>
                <w:szCs w:val="16"/>
                <w:color w:val="auto"/>
              </w:rPr>
              <w:t>Managing Partner of Specie Mesa L.L.C.</w:t>
            </w:r>
          </w:p>
        </w:tc>
      </w:tr>
      <w:tr>
        <w:trPr>
          <w:trHeight w:val="243"/>
        </w:trPr>
        <w:tc>
          <w:tcPr>
            <w:tcW w:w="27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Debby Soo</w:t>
            </w:r>
            <w:r>
              <w:rPr>
                <w:rFonts w:ascii="Arial" w:cs="Arial" w:eastAsia="Arial" w:hAnsi="Arial"/>
                <w:sz w:val="21"/>
                <w:szCs w:val="21"/>
                <w:color w:val="auto"/>
                <w:vertAlign w:val="superscript"/>
              </w:rPr>
              <w:t>(1)</w:t>
            </w:r>
          </w:p>
        </w:tc>
        <w:tc>
          <w:tcPr>
            <w:tcW w:w="8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Chief Executive Officer of OpenTable, Inc.</w:t>
            </w:r>
          </w:p>
        </w:tc>
      </w:tr>
    </w:tbl>
    <w:p>
      <w:pPr>
        <w:spacing w:after="0" w:line="323" w:lineRule="exact"/>
        <w:rPr>
          <w:sz w:val="20"/>
          <w:szCs w:val="20"/>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3" w:lineRule="exact"/>
        <w:rPr>
          <w:rFonts w:ascii="Arial" w:cs="Arial" w:eastAsia="Arial" w:hAnsi="Arial"/>
          <w:sz w:val="18"/>
          <w:szCs w:val="18"/>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9" w:lineRule="exact"/>
        <w:rPr>
          <w:rFonts w:ascii="Arial" w:cs="Arial" w:eastAsia="Arial" w:hAnsi="Arial"/>
          <w:sz w:val="18"/>
          <w:szCs w:val="18"/>
          <w:color w:val="auto"/>
        </w:rPr>
      </w:pPr>
    </w:p>
    <w:p>
      <w:pPr>
        <w:ind w:left="640" w:hanging="308"/>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22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remainder of the information required to be disclosed by this Item 10 will be included in our definitive proxy statement to be filed with the SEC with respect to our 2023 Annual Meeting of Stockholders and is incorporated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2" w:name="page133"/>
    <w:bookmarkEnd w:id="13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herein by reference.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11 will be included in our definitive proxy statement to be filed with the SEC with respect to our 2023 Annual Meeting of Stockholders and is incorporated herein by reference.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12 will be included in our definitive proxy statement to be filed with the SEC with respect to our 2023 Annual Meeting of Stockholders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13 will be included in our definitive proxy statement to be filed with the SEC with respect to our 2023 Annual Meeting of Stockholders and is incorporated herein by reference.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4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information required by this Item 14 will be included in our definitive proxy statement to be filed with the SEC with respect to our 2023 Annual Meeting of Stockholders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320" w:type="dxa"/>
            <w:vAlign w:val="bottom"/>
            <w:gridSpan w:val="2"/>
          </w:tcPr>
          <w:p>
            <w:pPr>
              <w:ind w:left="5260"/>
              <w:spacing w:after="0"/>
              <w:rPr>
                <w:sz w:val="20"/>
                <w:szCs w:val="20"/>
                <w:color w:val="auto"/>
              </w:rPr>
            </w:pPr>
            <w:r>
              <w:rPr>
                <w:rFonts w:ascii="Arial" w:cs="Arial" w:eastAsia="Arial" w:hAnsi="Arial"/>
                <w:sz w:val="18"/>
                <w:szCs w:val="18"/>
                <w:b w:val="1"/>
                <w:bCs w:val="1"/>
                <w:color w:val="auto"/>
              </w:rPr>
              <w:t>PART IV</w:t>
            </w:r>
          </w:p>
        </w:tc>
        <w:tc>
          <w:tcPr>
            <w:tcW w:w="920" w:type="dxa"/>
            <w:vAlign w:val="bottom"/>
          </w:tcPr>
          <w:p>
            <w:pPr>
              <w:spacing w:after="0"/>
              <w:rPr>
                <w:sz w:val="20"/>
                <w:szCs w:val="20"/>
                <w:color w:val="auto"/>
              </w:rPr>
            </w:pPr>
          </w:p>
        </w:tc>
      </w:tr>
      <w:tr>
        <w:trPr>
          <w:trHeight w:val="486"/>
        </w:trPr>
        <w:tc>
          <w:tcPr>
            <w:tcW w:w="10320" w:type="dxa"/>
            <w:vAlign w:val="bottom"/>
            <w:gridSpan w:val="2"/>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920" w:type="dxa"/>
            <w:vAlign w:val="bottom"/>
          </w:tcPr>
          <w:p>
            <w:pPr>
              <w:spacing w:after="0"/>
              <w:rPr>
                <w:sz w:val="24"/>
                <w:szCs w:val="24"/>
                <w:color w:val="auto"/>
              </w:rPr>
            </w:pPr>
          </w:p>
        </w:tc>
      </w:tr>
      <w:tr>
        <w:trPr>
          <w:trHeight w:val="446"/>
        </w:trPr>
        <w:tc>
          <w:tcPr>
            <w:tcW w:w="103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920" w:type="dxa"/>
            <w:vAlign w:val="bottom"/>
          </w:tcPr>
          <w:p>
            <w:pPr>
              <w:spacing w:after="0"/>
              <w:rPr>
                <w:sz w:val="24"/>
                <w:szCs w:val="24"/>
                <w:color w:val="auto"/>
              </w:rPr>
            </w:pPr>
          </w:p>
        </w:tc>
      </w:tr>
      <w:tr>
        <w:trPr>
          <w:trHeight w:val="445"/>
        </w:trPr>
        <w:tc>
          <w:tcPr>
            <w:tcW w:w="10320" w:type="dxa"/>
            <w:vAlign w:val="bottom"/>
            <w:gridSpan w:val="2"/>
          </w:tcPr>
          <w:p>
            <w:pPr>
              <w:spacing w:after="0" w:line="207" w:lineRule="exact"/>
              <w:rPr>
                <w:sz w:val="20"/>
                <w:szCs w:val="20"/>
                <w:color w:val="auto"/>
              </w:rPr>
            </w:pPr>
            <w:r>
              <w:rPr>
                <w:rFonts w:ascii="Arial" w:cs="Arial" w:eastAsia="Arial" w:hAnsi="Arial"/>
                <w:sz w:val="18"/>
                <w:szCs w:val="18"/>
                <w:color w:val="auto"/>
              </w:rPr>
              <w:t>The following consolidated financial statements are included in Part II, Item 8. of this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w:t>
            </w:r>
          </w:p>
        </w:tc>
        <w:tc>
          <w:tcPr>
            <w:tcW w:w="920" w:type="dxa"/>
            <w:vAlign w:val="bottom"/>
          </w:tcPr>
          <w:p>
            <w:pPr>
              <w:spacing w:after="0"/>
              <w:rPr>
                <w:sz w:val="24"/>
                <w:szCs w:val="24"/>
                <w:color w:val="auto"/>
              </w:rPr>
            </w:pPr>
          </w:p>
        </w:tc>
      </w:tr>
      <w:tr>
        <w:trPr>
          <w:trHeight w:val="513"/>
        </w:trPr>
        <w:tc>
          <w:tcPr>
            <w:tcW w:w="10320" w:type="dxa"/>
            <w:vAlign w:val="bottom"/>
            <w:gridSpan w:val="2"/>
          </w:tcPr>
          <w:p>
            <w:pPr>
              <w:ind w:left="20"/>
              <w:spacing w:after="0"/>
              <w:rPr>
                <w:sz w:val="20"/>
                <w:szCs w:val="20"/>
                <w:color w:val="auto"/>
              </w:rPr>
            </w:pPr>
            <w:r>
              <w:rPr>
                <w:rFonts w:ascii="Arial" w:cs="Arial" w:eastAsia="Arial" w:hAnsi="Arial"/>
                <w:sz w:val="18"/>
                <w:szCs w:val="18"/>
                <w:b w:val="1"/>
                <w:bCs w:val="1"/>
                <w:color w:val="auto"/>
              </w:rPr>
              <w:t>Index to Consolidated Financial Statements</w:t>
            </w:r>
          </w:p>
        </w:tc>
        <w:tc>
          <w:tcPr>
            <w:tcW w:w="920" w:type="dxa"/>
            <w:vAlign w:val="bottom"/>
          </w:tcPr>
          <w:p>
            <w:pPr>
              <w:ind w:left="20"/>
              <w:spacing w:after="0"/>
              <w:rPr>
                <w:sz w:val="20"/>
                <w:szCs w:val="20"/>
                <w:color w:val="auto"/>
              </w:rPr>
            </w:pPr>
            <w:r>
              <w:rPr>
                <w:rFonts w:ascii="Arial" w:cs="Arial" w:eastAsia="Arial" w:hAnsi="Arial"/>
                <w:sz w:val="18"/>
                <w:szCs w:val="18"/>
                <w:b w:val="1"/>
                <w:bCs w:val="1"/>
                <w:color w:val="auto"/>
              </w:rPr>
              <w:t>Page</w:t>
            </w:r>
          </w:p>
        </w:tc>
      </w:tr>
      <w:tr>
        <w:trPr>
          <w:trHeight w:val="27"/>
        </w:trPr>
        <w:tc>
          <w:tcPr>
            <w:tcW w:w="10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4"/>
        </w:trPr>
        <w:tc>
          <w:tcPr>
            <w:tcW w:w="10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Report of Independent Registered Public Accounting Firm (PCAOB ID 0042)</w:t>
            </w:r>
          </w:p>
        </w:tc>
        <w:tc>
          <w:tcPr>
            <w:tcW w:w="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III-26</w:t>
            </w:r>
          </w:p>
        </w:tc>
      </w:tr>
      <w:tr>
        <w:trPr>
          <w:trHeight w:val="243"/>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Consolidated Balance Sheets as of December 31, 2022 and 2021</w:t>
            </w:r>
          </w:p>
        </w:tc>
        <w:tc>
          <w:tcPr>
            <w:tcW w:w="920" w:type="dxa"/>
            <w:vAlign w:val="bottom"/>
          </w:tcPr>
          <w:p>
            <w:pPr>
              <w:ind w:left="260"/>
              <w:spacing w:after="0"/>
              <w:rPr>
                <w:sz w:val="20"/>
                <w:szCs w:val="20"/>
                <w:color w:val="auto"/>
              </w:rPr>
            </w:pPr>
            <w:r>
              <w:rPr>
                <w:rFonts w:ascii="Arial" w:cs="Arial" w:eastAsia="Arial" w:hAnsi="Arial"/>
                <w:sz w:val="18"/>
                <w:szCs w:val="18"/>
                <w:color w:val="auto"/>
              </w:rPr>
              <w:t>III-28</w:t>
            </w:r>
          </w:p>
        </w:tc>
      </w:tr>
      <w:tr>
        <w:trPr>
          <w:trHeight w:val="27"/>
        </w:trPr>
        <w:tc>
          <w:tcPr>
            <w:tcW w:w="10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Operations and Comprehensive Loss for the years ended December 31, 2022, 2021 and 2020</w:t>
            </w:r>
          </w:p>
        </w:tc>
        <w:tc>
          <w:tcPr>
            <w:tcW w:w="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III-29</w:t>
            </w:r>
          </w:p>
        </w:tc>
      </w:tr>
      <w:tr>
        <w:trPr>
          <w:trHeight w:val="229"/>
        </w:trPr>
        <w:tc>
          <w:tcPr>
            <w:tcW w:w="10320" w:type="dxa"/>
            <w:vAlign w:val="bottom"/>
            <w:gridSpan w:val="2"/>
          </w:tcPr>
          <w:p>
            <w:pPr>
              <w:ind w:left="20"/>
              <w:spacing w:after="0"/>
              <w:rPr>
                <w:sz w:val="20"/>
                <w:szCs w:val="20"/>
                <w:color w:val="auto"/>
              </w:rPr>
            </w:pPr>
            <w:r>
              <w:rPr>
                <w:rFonts w:ascii="Arial" w:cs="Arial" w:eastAsia="Arial" w:hAnsi="Arial"/>
                <w:sz w:val="18"/>
                <w:szCs w:val="18"/>
                <w:color w:val="auto"/>
                <w:w w:val="94"/>
              </w:rPr>
              <w:t>Consolidated Statements of Convertible Preferred Stock and Stockholders’ Equity (Deficit) for the years ended December 31, 2022, 2021</w:t>
            </w:r>
          </w:p>
        </w:tc>
        <w:tc>
          <w:tcPr>
            <w:tcW w:w="920" w:type="dxa"/>
            <w:vAlign w:val="bottom"/>
          </w:tcPr>
          <w:p>
            <w:pPr>
              <w:spacing w:after="0"/>
              <w:rPr>
                <w:sz w:val="19"/>
                <w:szCs w:val="19"/>
                <w:color w:val="auto"/>
              </w:rPr>
            </w:pPr>
          </w:p>
        </w:tc>
      </w:tr>
      <w:tr>
        <w:trPr>
          <w:trHeight w:val="230"/>
        </w:trPr>
        <w:tc>
          <w:tcPr>
            <w:tcW w:w="10320" w:type="dxa"/>
            <w:vAlign w:val="bottom"/>
            <w:gridSpan w:val="2"/>
          </w:tcPr>
          <w:p>
            <w:pPr>
              <w:ind w:left="100"/>
              <w:spacing w:after="0"/>
              <w:rPr>
                <w:sz w:val="20"/>
                <w:szCs w:val="20"/>
                <w:color w:val="auto"/>
              </w:rPr>
            </w:pPr>
            <w:r>
              <w:rPr>
                <w:rFonts w:ascii="Arial" w:cs="Arial" w:eastAsia="Arial" w:hAnsi="Arial"/>
                <w:sz w:val="18"/>
                <w:szCs w:val="18"/>
                <w:color w:val="auto"/>
              </w:rPr>
              <w:t>and 2020</w:t>
            </w:r>
          </w:p>
        </w:tc>
        <w:tc>
          <w:tcPr>
            <w:tcW w:w="920" w:type="dxa"/>
            <w:vAlign w:val="bottom"/>
          </w:tcPr>
          <w:p>
            <w:pPr>
              <w:ind w:left="260"/>
              <w:spacing w:after="0"/>
              <w:rPr>
                <w:sz w:val="20"/>
                <w:szCs w:val="20"/>
                <w:color w:val="auto"/>
              </w:rPr>
            </w:pPr>
            <w:r>
              <w:rPr>
                <w:rFonts w:ascii="Arial" w:cs="Arial" w:eastAsia="Arial" w:hAnsi="Arial"/>
                <w:sz w:val="18"/>
                <w:szCs w:val="18"/>
                <w:color w:val="auto"/>
              </w:rPr>
              <w:t>III-30</w:t>
            </w:r>
          </w:p>
        </w:tc>
      </w:tr>
      <w:tr>
        <w:trPr>
          <w:trHeight w:val="27"/>
        </w:trPr>
        <w:tc>
          <w:tcPr>
            <w:tcW w:w="10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0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Consolidated Statements of Cash Flows for the years ended December 31, 2022, 2021 and 2020</w:t>
            </w:r>
          </w:p>
        </w:tc>
        <w:tc>
          <w:tcPr>
            <w:tcW w:w="9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III-33</w:t>
            </w:r>
          </w:p>
        </w:tc>
      </w:tr>
      <w:tr>
        <w:trPr>
          <w:trHeight w:val="243"/>
        </w:trPr>
        <w:tc>
          <w:tcPr>
            <w:tcW w:w="10320" w:type="dxa"/>
            <w:vAlign w:val="bottom"/>
            <w:gridSpan w:val="2"/>
          </w:tcPr>
          <w:p>
            <w:pPr>
              <w:ind w:left="20"/>
              <w:spacing w:after="0"/>
              <w:rPr>
                <w:sz w:val="20"/>
                <w:szCs w:val="20"/>
                <w:color w:val="auto"/>
              </w:rPr>
            </w:pPr>
            <w:r>
              <w:rPr>
                <w:rFonts w:ascii="Arial" w:cs="Arial" w:eastAsia="Arial" w:hAnsi="Arial"/>
                <w:sz w:val="18"/>
                <w:szCs w:val="18"/>
                <w:color w:val="auto"/>
              </w:rPr>
              <w:t>Notes to Consolidated Financial Statements</w:t>
            </w:r>
          </w:p>
        </w:tc>
        <w:tc>
          <w:tcPr>
            <w:tcW w:w="920" w:type="dxa"/>
            <w:vAlign w:val="bottom"/>
          </w:tcPr>
          <w:p>
            <w:pPr>
              <w:ind w:left="260"/>
              <w:spacing w:after="0"/>
              <w:rPr>
                <w:sz w:val="20"/>
                <w:szCs w:val="20"/>
                <w:color w:val="auto"/>
              </w:rPr>
            </w:pPr>
            <w:r>
              <w:rPr>
                <w:rFonts w:ascii="Arial" w:cs="Arial" w:eastAsia="Arial" w:hAnsi="Arial"/>
                <w:sz w:val="18"/>
                <w:szCs w:val="18"/>
                <w:color w:val="auto"/>
              </w:rPr>
              <w:t>III-34</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4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All financial statement schedules have been omitted because they are not applicable, not material or because the information required is already included in the consolidated financial statements or the notes thereto.</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43"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The following is a list of exhibits filed as part of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or are incorporated herein by reference, in each case as indicated below.</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80" w:type="dxa"/>
            <w:vAlign w:val="bottom"/>
            <w:gridSpan w:val="4"/>
          </w:tcPr>
          <w:p>
            <w:pPr>
              <w:ind w:left="280"/>
              <w:spacing w:after="0"/>
              <w:rPr>
                <w:sz w:val="20"/>
                <w:szCs w:val="20"/>
                <w:color w:val="auto"/>
              </w:rPr>
            </w:pPr>
            <w:r>
              <w:rPr>
                <w:rFonts w:ascii="Arial" w:cs="Arial" w:eastAsia="Arial" w:hAnsi="Arial"/>
                <w:sz w:val="14"/>
                <w:szCs w:val="14"/>
                <w:b w:val="1"/>
                <w:bCs w:val="1"/>
                <w:color w:val="auto"/>
                <w:w w:val="94"/>
              </w:rPr>
              <w:t>Incorporated by Reference</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8"/>
              </w:rPr>
              <w:t>Filed/</w:t>
            </w:r>
          </w:p>
        </w:tc>
        <w:tc>
          <w:tcPr>
            <w:tcW w:w="0" w:type="dxa"/>
            <w:vAlign w:val="bottom"/>
          </w:tcPr>
          <w:p>
            <w:pPr>
              <w:spacing w:after="0"/>
              <w:rPr>
                <w:sz w:val="1"/>
                <w:szCs w:val="1"/>
                <w:color w:val="auto"/>
              </w:rPr>
            </w:pPr>
          </w:p>
        </w:tc>
      </w:tr>
      <w:tr>
        <w:trPr>
          <w:trHeight w:val="25"/>
        </w:trPr>
        <w:tc>
          <w:tcPr>
            <w:tcW w:w="9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Exhibit</w:t>
            </w:r>
          </w:p>
        </w:tc>
        <w:tc>
          <w:tcPr>
            <w:tcW w:w="5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Furnished</w:t>
            </w:r>
          </w:p>
        </w:tc>
        <w:tc>
          <w:tcPr>
            <w:tcW w:w="0" w:type="dxa"/>
            <w:vAlign w:val="bottom"/>
          </w:tcPr>
          <w:p>
            <w:pPr>
              <w:spacing w:after="0"/>
              <w:rPr>
                <w:sz w:val="1"/>
                <w:szCs w:val="1"/>
                <w:color w:val="auto"/>
              </w:rPr>
            </w:pPr>
          </w:p>
        </w:tc>
      </w:tr>
      <w:tr>
        <w:trPr>
          <w:trHeight w:val="146"/>
        </w:trPr>
        <w:tc>
          <w:tcPr>
            <w:tcW w:w="960" w:type="dxa"/>
            <w:vAlign w:val="bottom"/>
            <w:gridSpan w:val="2"/>
            <w:vMerge w:val="continue"/>
          </w:tcPr>
          <w:p>
            <w:pPr>
              <w:spacing w:after="0"/>
              <w:rPr>
                <w:sz w:val="12"/>
                <w:szCs w:val="12"/>
                <w:color w:val="auto"/>
              </w:rPr>
            </w:pPr>
          </w:p>
        </w:tc>
        <w:tc>
          <w:tcPr>
            <w:tcW w:w="5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80"/>
              <w:spacing w:after="0" w:line="147" w:lineRule="exact"/>
              <w:rPr>
                <w:sz w:val="20"/>
                <w:szCs w:val="20"/>
                <w:color w:val="auto"/>
              </w:rPr>
            </w:pPr>
            <w:r>
              <w:rPr>
                <w:rFonts w:ascii="Arial" w:cs="Arial" w:eastAsia="Arial" w:hAnsi="Arial"/>
                <w:sz w:val="14"/>
                <w:szCs w:val="14"/>
                <w:b w:val="1"/>
                <w:bCs w:val="1"/>
                <w:color w:val="auto"/>
                <w:w w:val="96"/>
              </w:rPr>
              <w:t>Filing</w:t>
            </w: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9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Description</w:t>
            </w:r>
          </w:p>
        </w:tc>
        <w:tc>
          <w:tcPr>
            <w:tcW w:w="740" w:type="dxa"/>
            <w:vAlign w:val="bottom"/>
            <w:gridSpan w:val="2"/>
          </w:tcPr>
          <w:p>
            <w:pPr>
              <w:ind w:left="160"/>
              <w:spacing w:after="0"/>
              <w:rPr>
                <w:sz w:val="20"/>
                <w:szCs w:val="20"/>
                <w:color w:val="auto"/>
              </w:rPr>
            </w:pPr>
            <w:r>
              <w:rPr>
                <w:rFonts w:ascii="Arial" w:cs="Arial" w:eastAsia="Arial" w:hAnsi="Arial"/>
                <w:sz w:val="14"/>
                <w:szCs w:val="14"/>
                <w:b w:val="1"/>
                <w:bCs w:val="1"/>
                <w:color w:val="auto"/>
              </w:rPr>
              <w:t>Form</w:t>
            </w: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File No.</w:t>
            </w:r>
          </w:p>
        </w:tc>
        <w:tc>
          <w:tcPr>
            <w:tcW w:w="840" w:type="dxa"/>
            <w:vAlign w:val="bottom"/>
            <w:gridSpan w:val="2"/>
          </w:tcPr>
          <w:p>
            <w:pPr>
              <w:ind w:left="140"/>
              <w:spacing w:after="0"/>
              <w:rPr>
                <w:sz w:val="20"/>
                <w:szCs w:val="20"/>
                <w:color w:val="auto"/>
              </w:rPr>
            </w:pPr>
            <w:r>
              <w:rPr>
                <w:rFonts w:ascii="Arial" w:cs="Arial" w:eastAsia="Arial" w:hAnsi="Arial"/>
                <w:sz w:val="14"/>
                <w:szCs w:val="14"/>
                <w:b w:val="1"/>
                <w:bCs w:val="1"/>
                <w:color w:val="auto"/>
              </w:rPr>
              <w:t>Exhibit</w:t>
            </w: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5"/>
        </w:trPr>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454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26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3.1</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3.2</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4.1</w:t>
      </w:r>
    </w:p>
    <w:p>
      <w:pPr>
        <w:spacing w:after="0" w:line="15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4.2</w:t>
      </w:r>
    </w:p>
    <w:p>
      <w:pPr>
        <w:spacing w:after="0" w:line="163" w:lineRule="exact"/>
        <w:rPr>
          <w:sz w:val="20"/>
          <w:szCs w:val="20"/>
          <w:color w:val="auto"/>
        </w:rPr>
      </w:pPr>
    </w:p>
    <w:p>
      <w:pPr>
        <w:ind w:left="360"/>
        <w:spacing w:after="0"/>
        <w:rPr>
          <w:sz w:val="20"/>
          <w:szCs w:val="20"/>
          <w:color w:val="auto"/>
        </w:rPr>
      </w:pPr>
      <w:r>
        <w:rPr>
          <w:rFonts w:ascii="Arial" w:cs="Arial" w:eastAsia="Arial" w:hAnsi="Arial"/>
          <w:sz w:val="14"/>
          <w:szCs w:val="14"/>
          <w:color w:val="auto"/>
        </w:rPr>
        <w:t>4.3</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4.4</w:t>
      </w:r>
    </w:p>
    <w:p>
      <w:pPr>
        <w:spacing w:after="0" w:line="6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4.5</w:t>
      </w:r>
    </w:p>
    <w:p>
      <w:pPr>
        <w:spacing w:after="0" w:line="150" w:lineRule="exact"/>
        <w:rPr>
          <w:sz w:val="20"/>
          <w:szCs w:val="20"/>
          <w:color w:val="auto"/>
        </w:rPr>
      </w:pPr>
    </w:p>
    <w:p>
      <w:pPr>
        <w:ind w:left="280"/>
        <w:spacing w:after="0"/>
        <w:rPr>
          <w:sz w:val="20"/>
          <w:szCs w:val="20"/>
          <w:color w:val="auto"/>
        </w:rPr>
      </w:pPr>
      <w:r>
        <w:rPr>
          <w:rFonts w:ascii="Arial" w:cs="Arial" w:eastAsia="Arial" w:hAnsi="Arial"/>
          <w:sz w:val="12"/>
          <w:szCs w:val="12"/>
          <w:color w:val="auto"/>
        </w:rPr>
        <w:t>10.1#</w:t>
      </w:r>
    </w:p>
    <w:p>
      <w:pPr>
        <w:spacing w:after="0" w:line="186" w:lineRule="exact"/>
        <w:rPr>
          <w:sz w:val="20"/>
          <w:szCs w:val="20"/>
          <w:color w:val="auto"/>
        </w:rPr>
      </w:pPr>
    </w:p>
    <w:p>
      <w:pPr>
        <w:ind w:left="280"/>
        <w:spacing w:after="0"/>
        <w:rPr>
          <w:sz w:val="20"/>
          <w:szCs w:val="20"/>
          <w:color w:val="auto"/>
        </w:rPr>
      </w:pPr>
      <w:r>
        <w:rPr>
          <w:rFonts w:ascii="Arial" w:cs="Arial" w:eastAsia="Arial" w:hAnsi="Arial"/>
          <w:sz w:val="12"/>
          <w:szCs w:val="12"/>
          <w:color w:val="auto"/>
        </w:rPr>
        <w:t>10.2#</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12"/>
          <w:szCs w:val="12"/>
          <w:color w:val="auto"/>
        </w:rPr>
        <w:t>10.3#</w:t>
      </w:r>
    </w:p>
    <w:p>
      <w:pPr>
        <w:spacing w:after="0" w:line="267" w:lineRule="exact"/>
        <w:rPr>
          <w:sz w:val="20"/>
          <w:szCs w:val="20"/>
          <w:color w:val="auto"/>
        </w:rPr>
      </w:pPr>
    </w:p>
    <w:p>
      <w:pPr>
        <w:ind w:left="280"/>
        <w:spacing w:after="0"/>
        <w:rPr>
          <w:sz w:val="20"/>
          <w:szCs w:val="20"/>
          <w:color w:val="auto"/>
        </w:rPr>
      </w:pPr>
      <w:r>
        <w:rPr>
          <w:rFonts w:ascii="Arial" w:cs="Arial" w:eastAsia="Arial" w:hAnsi="Arial"/>
          <w:sz w:val="12"/>
          <w:szCs w:val="12"/>
          <w:color w:val="auto"/>
        </w:rPr>
        <w:t>10.4#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Borders>
              <w:bottom w:val="single" w:sz="8" w:color="0000FF"/>
            </w:tcBorders>
            <w:gridSpan w:val="12"/>
          </w:tcPr>
          <w:p>
            <w:pPr>
              <w:spacing w:after="0"/>
              <w:rPr>
                <w:rFonts w:ascii="Arial" w:cs="Arial" w:eastAsia="Arial" w:hAnsi="Arial"/>
                <w:sz w:val="14"/>
                <w:szCs w:val="14"/>
                <w:color w:val="0000FF"/>
                <w:w w:val="93"/>
              </w:rPr>
            </w:pPr>
            <w:hyperlink r:id="rId253">
              <w:r>
                <w:rPr>
                  <w:rFonts w:ascii="Arial" w:cs="Arial" w:eastAsia="Arial" w:hAnsi="Arial"/>
                  <w:sz w:val="14"/>
                  <w:szCs w:val="14"/>
                  <w:color w:val="0000FF"/>
                  <w:w w:val="93"/>
                </w:rPr>
                <w:t>Amended and Restated Certificate of Incorporation of EverCommerce Inc</w:t>
              </w:r>
            </w:hyperlink>
          </w:p>
        </w:tc>
        <w:tc>
          <w:tcPr>
            <w:tcW w:w="1140" w:type="dxa"/>
            <w:vAlign w:val="bottom"/>
            <w:gridSpan w:val="5"/>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001-40575</w:t>
            </w:r>
          </w:p>
        </w:tc>
        <w:tc>
          <w:tcPr>
            <w:tcW w:w="760" w:type="dxa"/>
            <w:vAlign w:val="bottom"/>
          </w:tcPr>
          <w:p>
            <w:pPr>
              <w:jc w:val="center"/>
              <w:spacing w:after="0"/>
              <w:rPr>
                <w:sz w:val="20"/>
                <w:szCs w:val="20"/>
                <w:color w:val="auto"/>
              </w:rPr>
            </w:pPr>
            <w:r>
              <w:rPr>
                <w:rFonts w:ascii="Arial" w:cs="Arial" w:eastAsia="Arial" w:hAnsi="Arial"/>
                <w:sz w:val="14"/>
                <w:szCs w:val="14"/>
                <w:color w:val="auto"/>
                <w:w w:val="92"/>
              </w:rPr>
              <w:t>3.1</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w w:val="92"/>
              </w:rPr>
              <w:t>7/9/21</w:t>
            </w:r>
          </w:p>
        </w:tc>
      </w:tr>
      <w:tr>
        <w:trPr>
          <w:trHeight w:val="210"/>
        </w:trPr>
        <w:tc>
          <w:tcPr>
            <w:tcW w:w="5420" w:type="dxa"/>
            <w:vAlign w:val="bottom"/>
            <w:gridSpan w:val="17"/>
          </w:tcPr>
          <w:p>
            <w:pPr>
              <w:spacing w:after="0"/>
              <w:rPr>
                <w:rFonts w:ascii="Arial" w:cs="Arial" w:eastAsia="Arial" w:hAnsi="Arial"/>
                <w:sz w:val="14"/>
                <w:szCs w:val="14"/>
                <w:color w:val="0000FF"/>
              </w:rPr>
            </w:pPr>
            <w:hyperlink r:id="rId254">
              <w:r>
                <w:rPr>
                  <w:rFonts w:ascii="Arial" w:cs="Arial" w:eastAsia="Arial" w:hAnsi="Arial"/>
                  <w:sz w:val="14"/>
                  <w:szCs w:val="14"/>
                  <w:color w:val="0000FF"/>
                </w:rPr>
                <w:t>Amended and Restated Bylaws of EverCommerce Inc</w:t>
              </w:r>
            </w:hyperlink>
          </w:p>
        </w:tc>
        <w:tc>
          <w:tcPr>
            <w:tcW w:w="780" w:type="dxa"/>
            <w:vAlign w:val="bottom"/>
          </w:tcPr>
          <w:p>
            <w:pPr>
              <w:jc w:val="center"/>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001-40575</w:t>
            </w:r>
          </w:p>
        </w:tc>
        <w:tc>
          <w:tcPr>
            <w:tcW w:w="760" w:type="dxa"/>
            <w:vAlign w:val="bottom"/>
          </w:tcPr>
          <w:p>
            <w:pPr>
              <w:jc w:val="center"/>
              <w:spacing w:after="0"/>
              <w:rPr>
                <w:sz w:val="20"/>
                <w:szCs w:val="20"/>
                <w:color w:val="auto"/>
              </w:rPr>
            </w:pPr>
            <w:r>
              <w:rPr>
                <w:rFonts w:ascii="Arial" w:cs="Arial" w:eastAsia="Arial" w:hAnsi="Arial"/>
                <w:sz w:val="14"/>
                <w:szCs w:val="14"/>
                <w:color w:val="auto"/>
                <w:w w:val="92"/>
              </w:rPr>
              <w:t>3.2</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w w:val="92"/>
              </w:rPr>
              <w:t>7/9/21</w:t>
            </w:r>
          </w:p>
        </w:tc>
      </w:tr>
      <w:tr>
        <w:trPr>
          <w:trHeight w:val="210"/>
        </w:trPr>
        <w:tc>
          <w:tcPr>
            <w:tcW w:w="3120" w:type="dxa"/>
            <w:vAlign w:val="bottom"/>
            <w:tcBorders>
              <w:top w:val="single" w:sz="8" w:color="0000FF"/>
            </w:tcBorders>
            <w:gridSpan w:val="7"/>
          </w:tcPr>
          <w:p>
            <w:pPr>
              <w:spacing w:after="0"/>
              <w:rPr>
                <w:rFonts w:ascii="Arial" w:cs="Arial" w:eastAsia="Arial" w:hAnsi="Arial"/>
                <w:sz w:val="14"/>
                <w:szCs w:val="14"/>
                <w:color w:val="0000FF"/>
              </w:rPr>
            </w:pPr>
            <w:hyperlink r:id="rId255">
              <w:r>
                <w:rPr>
                  <w:rFonts w:ascii="Arial" w:cs="Arial" w:eastAsia="Arial" w:hAnsi="Arial"/>
                  <w:sz w:val="14"/>
                  <w:szCs w:val="14"/>
                  <w:color w:val="0000FF"/>
                </w:rPr>
                <w:t>Form of Certificate of Common Stock</w:t>
              </w:r>
            </w:hyperlink>
          </w:p>
        </w:tc>
        <w:tc>
          <w:tcPr>
            <w:tcW w:w="2300" w:type="dxa"/>
            <w:vAlign w:val="bottom"/>
            <w:gridSpan w:val="10"/>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S-1/A</w:t>
            </w: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333-256641</w:t>
            </w:r>
          </w:p>
        </w:tc>
        <w:tc>
          <w:tcPr>
            <w:tcW w:w="760" w:type="dxa"/>
            <w:vAlign w:val="bottom"/>
          </w:tcPr>
          <w:p>
            <w:pPr>
              <w:jc w:val="center"/>
              <w:spacing w:after="0"/>
              <w:rPr>
                <w:sz w:val="20"/>
                <w:szCs w:val="20"/>
                <w:color w:val="auto"/>
              </w:rPr>
            </w:pPr>
            <w:r>
              <w:rPr>
                <w:rFonts w:ascii="Arial" w:cs="Arial" w:eastAsia="Arial" w:hAnsi="Arial"/>
                <w:sz w:val="14"/>
                <w:szCs w:val="14"/>
                <w:color w:val="auto"/>
                <w:w w:val="92"/>
              </w:rPr>
              <w:t>4.1</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w w:val="94"/>
              </w:rPr>
              <w:t>6/23/21</w:t>
            </w:r>
          </w:p>
        </w:tc>
      </w:tr>
      <w:tr>
        <w:trPr>
          <w:trHeight w:val="20"/>
        </w:trPr>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5420" w:type="dxa"/>
            <w:vAlign w:val="bottom"/>
            <w:gridSpan w:val="17"/>
          </w:tcPr>
          <w:p>
            <w:pPr>
              <w:spacing w:after="0"/>
              <w:rPr>
                <w:rFonts w:ascii="Arial" w:cs="Arial" w:eastAsia="Arial" w:hAnsi="Arial"/>
                <w:sz w:val="14"/>
                <w:szCs w:val="14"/>
                <w:color w:val="0000FF"/>
                <w:w w:val="98"/>
              </w:rPr>
            </w:pPr>
            <w:hyperlink r:id="rId256">
              <w:r>
                <w:rPr>
                  <w:rFonts w:ascii="Arial" w:cs="Arial" w:eastAsia="Arial" w:hAnsi="Arial"/>
                  <w:sz w:val="14"/>
                  <w:szCs w:val="14"/>
                  <w:color w:val="0000FF"/>
                  <w:w w:val="98"/>
                </w:rPr>
                <w:t>Registration Rights Agreement by and between EverCommerce Inc. and certain security</w:t>
              </w:r>
            </w:hyperlink>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55"/>
        </w:trPr>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940" w:type="dxa"/>
            <w:vAlign w:val="bottom"/>
            <w:tcBorders>
              <w:top w:val="single" w:sz="8" w:color="0000FF"/>
              <w:bottom w:val="single" w:sz="8" w:color="0000FF"/>
            </w:tcBorders>
            <w:gridSpan w:val="4"/>
          </w:tcPr>
          <w:p>
            <w:pPr>
              <w:spacing w:after="0" w:line="155" w:lineRule="exact"/>
              <w:rPr>
                <w:rFonts w:ascii="Arial" w:cs="Arial" w:eastAsia="Arial" w:hAnsi="Arial"/>
                <w:sz w:val="14"/>
                <w:szCs w:val="14"/>
                <w:color w:val="0000FF"/>
                <w:w w:val="93"/>
              </w:rPr>
            </w:pPr>
            <w:hyperlink r:id="rId256">
              <w:r>
                <w:rPr>
                  <w:rFonts w:ascii="Arial" w:cs="Arial" w:eastAsia="Arial" w:hAnsi="Arial"/>
                  <w:sz w:val="14"/>
                  <w:szCs w:val="14"/>
                  <w:color w:val="0000FF"/>
                  <w:w w:val="93"/>
                </w:rPr>
                <w:t>holders of EverCommerce Inc., dated May 7, 2021</w:t>
              </w:r>
            </w:hyperlink>
          </w:p>
        </w:tc>
        <w:tc>
          <w:tcPr>
            <w:tcW w:w="1980" w:type="dxa"/>
            <w:vAlign w:val="bottom"/>
            <w:tcBorders>
              <w:top w:val="single" w:sz="8" w:color="0000FF"/>
            </w:tcBorders>
            <w:gridSpan w:val="8"/>
          </w:tcPr>
          <w:p>
            <w:pPr>
              <w:spacing w:after="0"/>
              <w:rPr>
                <w:sz w:val="13"/>
                <w:szCs w:val="13"/>
                <w:color w:val="auto"/>
              </w:rPr>
            </w:pPr>
          </w:p>
        </w:tc>
        <w:tc>
          <w:tcPr>
            <w:tcW w:w="340" w:type="dxa"/>
            <w:vAlign w:val="bottom"/>
            <w:gridSpan w:val="3"/>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4"/>
                <w:szCs w:val="14"/>
                <w:color w:val="auto"/>
                <w:w w:val="91"/>
              </w:rPr>
              <w:t>S-1</w:t>
            </w:r>
          </w:p>
        </w:tc>
        <w:tc>
          <w:tcPr>
            <w:tcW w:w="1180" w:type="dxa"/>
            <w:vAlign w:val="bottom"/>
          </w:tcPr>
          <w:p>
            <w:pPr>
              <w:jc w:val="center"/>
              <w:spacing w:after="0" w:line="155" w:lineRule="exact"/>
              <w:rPr>
                <w:sz w:val="20"/>
                <w:szCs w:val="20"/>
                <w:color w:val="auto"/>
              </w:rPr>
            </w:pPr>
            <w:r>
              <w:rPr>
                <w:rFonts w:ascii="Arial" w:cs="Arial" w:eastAsia="Arial" w:hAnsi="Arial"/>
                <w:sz w:val="14"/>
                <w:szCs w:val="14"/>
                <w:color w:val="auto"/>
                <w:w w:val="93"/>
              </w:rPr>
              <w:t>333-256641</w:t>
            </w:r>
          </w:p>
        </w:tc>
        <w:tc>
          <w:tcPr>
            <w:tcW w:w="760" w:type="dxa"/>
            <w:vAlign w:val="bottom"/>
          </w:tcPr>
          <w:p>
            <w:pPr>
              <w:jc w:val="center"/>
              <w:spacing w:after="0" w:line="155" w:lineRule="exact"/>
              <w:rPr>
                <w:sz w:val="20"/>
                <w:szCs w:val="20"/>
                <w:color w:val="auto"/>
              </w:rPr>
            </w:pPr>
            <w:r>
              <w:rPr>
                <w:rFonts w:ascii="Arial" w:cs="Arial" w:eastAsia="Arial" w:hAnsi="Arial"/>
                <w:sz w:val="14"/>
                <w:szCs w:val="14"/>
                <w:color w:val="auto"/>
                <w:w w:val="92"/>
              </w:rPr>
              <w:t>4.3</w:t>
            </w:r>
          </w:p>
        </w:tc>
        <w:tc>
          <w:tcPr>
            <w:tcW w:w="840" w:type="dxa"/>
            <w:vAlign w:val="bottom"/>
          </w:tcPr>
          <w:p>
            <w:pPr>
              <w:jc w:val="center"/>
              <w:ind w:left="208"/>
              <w:spacing w:after="0" w:line="155" w:lineRule="exact"/>
              <w:rPr>
                <w:sz w:val="20"/>
                <w:szCs w:val="20"/>
                <w:color w:val="auto"/>
              </w:rPr>
            </w:pPr>
            <w:r>
              <w:rPr>
                <w:rFonts w:ascii="Arial" w:cs="Arial" w:eastAsia="Arial" w:hAnsi="Arial"/>
                <w:sz w:val="14"/>
                <w:szCs w:val="14"/>
                <w:color w:val="auto"/>
                <w:w w:val="94"/>
              </w:rPr>
              <w:t>5/28/21</w:t>
            </w:r>
          </w:p>
        </w:tc>
      </w:tr>
      <w:tr>
        <w:trPr>
          <w:trHeight w:val="210"/>
        </w:trPr>
        <w:tc>
          <w:tcPr>
            <w:tcW w:w="3480" w:type="dxa"/>
            <w:vAlign w:val="bottom"/>
            <w:tcBorders>
              <w:bottom w:val="single" w:sz="8" w:color="0000FF"/>
            </w:tcBorders>
            <w:gridSpan w:val="8"/>
          </w:tcPr>
          <w:p>
            <w:pPr>
              <w:spacing w:after="0"/>
              <w:rPr>
                <w:rFonts w:ascii="Arial" w:cs="Arial" w:eastAsia="Arial" w:hAnsi="Arial"/>
                <w:sz w:val="14"/>
                <w:szCs w:val="14"/>
                <w:color w:val="0000FF"/>
                <w:w w:val="91"/>
              </w:rPr>
            </w:pPr>
            <w:hyperlink r:id="rId257">
              <w:r>
                <w:rPr>
                  <w:rFonts w:ascii="Arial" w:cs="Arial" w:eastAsia="Arial" w:hAnsi="Arial"/>
                  <w:sz w:val="14"/>
                  <w:szCs w:val="14"/>
                  <w:color w:val="0000FF"/>
                  <w:w w:val="91"/>
                </w:rPr>
                <w:t>Sponsor Stockholders Agreement, dated as of June 30, 2021</w:t>
              </w:r>
            </w:hyperlink>
          </w:p>
        </w:tc>
        <w:tc>
          <w:tcPr>
            <w:tcW w:w="1940" w:type="dxa"/>
            <w:vAlign w:val="bottom"/>
            <w:gridSpan w:val="9"/>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001-40575</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10.1</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w w:val="92"/>
              </w:rPr>
              <w:t>7/9/21</w:t>
            </w:r>
          </w:p>
        </w:tc>
      </w:tr>
      <w:tr>
        <w:trPr>
          <w:trHeight w:val="209"/>
        </w:trPr>
        <w:tc>
          <w:tcPr>
            <w:tcW w:w="3760" w:type="dxa"/>
            <w:vAlign w:val="bottom"/>
            <w:tcBorders>
              <w:bottom w:val="single" w:sz="8" w:color="0000FF"/>
            </w:tcBorders>
            <w:gridSpan w:val="11"/>
          </w:tcPr>
          <w:p>
            <w:pPr>
              <w:spacing w:after="0"/>
              <w:rPr>
                <w:rFonts w:ascii="Arial" w:cs="Arial" w:eastAsia="Arial" w:hAnsi="Arial"/>
                <w:sz w:val="14"/>
                <w:szCs w:val="14"/>
                <w:color w:val="0000FF"/>
                <w:w w:val="91"/>
              </w:rPr>
            </w:pPr>
            <w:hyperlink r:id="rId258">
              <w:r>
                <w:rPr>
                  <w:rFonts w:ascii="Arial" w:cs="Arial" w:eastAsia="Arial" w:hAnsi="Arial"/>
                  <w:sz w:val="14"/>
                  <w:szCs w:val="14"/>
                  <w:color w:val="0000FF"/>
                  <w:w w:val="91"/>
                </w:rPr>
                <w:t>Management Stockholders Agreement, dated as of June 30, 2021</w:t>
              </w:r>
            </w:hyperlink>
          </w:p>
        </w:tc>
        <w:tc>
          <w:tcPr>
            <w:tcW w:w="1660" w:type="dxa"/>
            <w:vAlign w:val="bottom"/>
            <w:gridSpan w:val="6"/>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rPr>
              <w:t>8-K</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001-40575</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w w:val="92"/>
              </w:rPr>
              <w:t>7/9/21</w:t>
            </w:r>
          </w:p>
        </w:tc>
      </w:tr>
      <w:tr>
        <w:trPr>
          <w:trHeight w:val="209"/>
        </w:trPr>
        <w:tc>
          <w:tcPr>
            <w:tcW w:w="5420" w:type="dxa"/>
            <w:vAlign w:val="bottom"/>
            <w:gridSpan w:val="17"/>
          </w:tcPr>
          <w:p>
            <w:pPr>
              <w:spacing w:after="0"/>
              <w:rPr>
                <w:rFonts w:ascii="Arial" w:cs="Arial" w:eastAsia="Arial" w:hAnsi="Arial"/>
                <w:sz w:val="14"/>
                <w:szCs w:val="14"/>
                <w:color w:val="0000FF"/>
              </w:rPr>
            </w:pPr>
            <w:hyperlink r:id="rId259">
              <w:r>
                <w:rPr>
                  <w:rFonts w:ascii="Arial" w:cs="Arial" w:eastAsia="Arial" w:hAnsi="Arial"/>
                  <w:sz w:val="14"/>
                  <w:szCs w:val="14"/>
                  <w:color w:val="0000FF"/>
                </w:rPr>
                <w:t>Description of Capital Stock</w:t>
              </w:r>
            </w:hyperlink>
          </w:p>
        </w:tc>
        <w:tc>
          <w:tcPr>
            <w:tcW w:w="780" w:type="dxa"/>
            <w:vAlign w:val="bottom"/>
          </w:tcPr>
          <w:p>
            <w:pPr>
              <w:jc w:val="center"/>
              <w:spacing w:after="0"/>
              <w:rPr>
                <w:sz w:val="20"/>
                <w:szCs w:val="20"/>
                <w:color w:val="auto"/>
              </w:rPr>
            </w:pPr>
            <w:r>
              <w:rPr>
                <w:rFonts w:ascii="Arial" w:cs="Arial" w:eastAsia="Arial" w:hAnsi="Arial"/>
                <w:sz w:val="14"/>
                <w:szCs w:val="14"/>
                <w:color w:val="auto"/>
              </w:rPr>
              <w:t>10-K</w:t>
            </w:r>
          </w:p>
        </w:tc>
        <w:tc>
          <w:tcPr>
            <w:tcW w:w="1180" w:type="dxa"/>
            <w:vAlign w:val="bottom"/>
          </w:tcPr>
          <w:p>
            <w:pPr>
              <w:jc w:val="center"/>
              <w:spacing w:after="0"/>
              <w:rPr>
                <w:sz w:val="20"/>
                <w:szCs w:val="20"/>
                <w:color w:val="auto"/>
              </w:rPr>
            </w:pPr>
            <w:r>
              <w:rPr>
                <w:rFonts w:ascii="Arial" w:cs="Arial" w:eastAsia="Arial" w:hAnsi="Arial"/>
                <w:sz w:val="14"/>
                <w:szCs w:val="14"/>
                <w:color w:val="auto"/>
                <w:w w:val="92"/>
              </w:rPr>
              <w:t>001-40575</w:t>
            </w:r>
          </w:p>
        </w:tc>
        <w:tc>
          <w:tcPr>
            <w:tcW w:w="760" w:type="dxa"/>
            <w:vAlign w:val="bottom"/>
          </w:tcPr>
          <w:p>
            <w:pPr>
              <w:jc w:val="center"/>
              <w:spacing w:after="0"/>
              <w:rPr>
                <w:sz w:val="20"/>
                <w:szCs w:val="20"/>
                <w:color w:val="auto"/>
              </w:rPr>
            </w:pPr>
            <w:r>
              <w:rPr>
                <w:rFonts w:ascii="Arial" w:cs="Arial" w:eastAsia="Arial" w:hAnsi="Arial"/>
                <w:sz w:val="14"/>
                <w:szCs w:val="14"/>
                <w:color w:val="auto"/>
                <w:w w:val="92"/>
              </w:rPr>
              <w:t>4.5</w:t>
            </w:r>
          </w:p>
        </w:tc>
        <w:tc>
          <w:tcPr>
            <w:tcW w:w="840" w:type="dxa"/>
            <w:vAlign w:val="bottom"/>
          </w:tcPr>
          <w:p>
            <w:pPr>
              <w:jc w:val="center"/>
              <w:ind w:left="188"/>
              <w:spacing w:after="0"/>
              <w:rPr>
                <w:sz w:val="20"/>
                <w:szCs w:val="20"/>
                <w:color w:val="auto"/>
              </w:rPr>
            </w:pPr>
            <w:r>
              <w:rPr>
                <w:rFonts w:ascii="Arial" w:cs="Arial" w:eastAsia="Arial" w:hAnsi="Arial"/>
                <w:sz w:val="14"/>
                <w:szCs w:val="14"/>
                <w:color w:val="auto"/>
                <w:w w:val="93"/>
              </w:rPr>
              <w:t>3/15/2022</w:t>
            </w:r>
          </w:p>
        </w:tc>
      </w:tr>
      <w:tr>
        <w:trPr>
          <w:trHeight w:val="20"/>
        </w:trPr>
        <w:tc>
          <w:tcPr>
            <w:tcW w:w="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8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5420" w:type="dxa"/>
            <w:vAlign w:val="bottom"/>
            <w:gridSpan w:val="17"/>
          </w:tcPr>
          <w:p>
            <w:pPr>
              <w:spacing w:after="0"/>
              <w:rPr>
                <w:rFonts w:ascii="Arial" w:cs="Arial" w:eastAsia="Arial" w:hAnsi="Arial"/>
                <w:sz w:val="14"/>
                <w:szCs w:val="14"/>
                <w:color w:val="0000FF"/>
              </w:rPr>
            </w:pPr>
            <w:hyperlink r:id="rId260">
              <w:r>
                <w:rPr>
                  <w:rFonts w:ascii="Arial" w:cs="Arial" w:eastAsia="Arial" w:hAnsi="Arial"/>
                  <w:sz w:val="14"/>
                  <w:szCs w:val="14"/>
                  <w:color w:val="0000FF"/>
                </w:rPr>
                <w:t>Form of Indemnification Agreement between EverCommerce Inc. and its directors and</w:t>
              </w:r>
            </w:hyperlink>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55"/>
        </w:trPr>
        <w:tc>
          <w:tcPr>
            <w:tcW w:w="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840" w:type="dxa"/>
            <w:vAlign w:val="bottom"/>
            <w:tcBorders>
              <w:top w:val="single" w:sz="8" w:color="0000FF"/>
            </w:tcBorders>
            <w:gridSpan w:val="11"/>
          </w:tcPr>
          <w:p>
            <w:pPr>
              <w:spacing w:after="0" w:line="155" w:lineRule="exact"/>
              <w:rPr>
                <w:rFonts w:ascii="Arial" w:cs="Arial" w:eastAsia="Arial" w:hAnsi="Arial"/>
                <w:sz w:val="14"/>
                <w:szCs w:val="14"/>
                <w:color w:val="0000FF"/>
              </w:rPr>
            </w:pPr>
            <w:hyperlink r:id="rId260">
              <w:r>
                <w:rPr>
                  <w:rFonts w:ascii="Arial" w:cs="Arial" w:eastAsia="Arial" w:hAnsi="Arial"/>
                  <w:sz w:val="14"/>
                  <w:szCs w:val="14"/>
                  <w:color w:val="0000FF"/>
                </w:rPr>
                <w:t>officers</w:t>
              </w:r>
            </w:hyperlink>
          </w:p>
        </w:tc>
        <w:tc>
          <w:tcPr>
            <w:tcW w:w="420" w:type="dxa"/>
            <w:vAlign w:val="bottom"/>
            <w:gridSpan w:val="4"/>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4"/>
                <w:szCs w:val="14"/>
                <w:color w:val="auto"/>
                <w:w w:val="96"/>
              </w:rPr>
              <w:t>S-1/A</w:t>
            </w:r>
          </w:p>
        </w:tc>
        <w:tc>
          <w:tcPr>
            <w:tcW w:w="1180" w:type="dxa"/>
            <w:vAlign w:val="bottom"/>
          </w:tcPr>
          <w:p>
            <w:pPr>
              <w:jc w:val="center"/>
              <w:spacing w:after="0" w:line="155" w:lineRule="exact"/>
              <w:rPr>
                <w:sz w:val="20"/>
                <w:szCs w:val="20"/>
                <w:color w:val="auto"/>
              </w:rPr>
            </w:pPr>
            <w:r>
              <w:rPr>
                <w:rFonts w:ascii="Arial" w:cs="Arial" w:eastAsia="Arial" w:hAnsi="Arial"/>
                <w:sz w:val="14"/>
                <w:szCs w:val="14"/>
                <w:color w:val="auto"/>
                <w:w w:val="93"/>
              </w:rPr>
              <w:t>333-256641</w:t>
            </w:r>
          </w:p>
        </w:tc>
        <w:tc>
          <w:tcPr>
            <w:tcW w:w="760" w:type="dxa"/>
            <w:vAlign w:val="bottom"/>
          </w:tcPr>
          <w:p>
            <w:pPr>
              <w:jc w:val="center"/>
              <w:spacing w:after="0" w:line="155" w:lineRule="exact"/>
              <w:rPr>
                <w:sz w:val="20"/>
                <w:szCs w:val="20"/>
                <w:color w:val="auto"/>
              </w:rPr>
            </w:pPr>
            <w:r>
              <w:rPr>
                <w:rFonts w:ascii="Arial" w:cs="Arial" w:eastAsia="Arial" w:hAnsi="Arial"/>
                <w:sz w:val="14"/>
                <w:szCs w:val="14"/>
                <w:color w:val="auto"/>
                <w:w w:val="95"/>
              </w:rPr>
              <w:t>10.1</w:t>
            </w:r>
          </w:p>
        </w:tc>
        <w:tc>
          <w:tcPr>
            <w:tcW w:w="840" w:type="dxa"/>
            <w:vAlign w:val="bottom"/>
          </w:tcPr>
          <w:p>
            <w:pPr>
              <w:jc w:val="center"/>
              <w:ind w:left="208"/>
              <w:spacing w:after="0" w:line="155" w:lineRule="exact"/>
              <w:rPr>
                <w:sz w:val="20"/>
                <w:szCs w:val="20"/>
                <w:color w:val="auto"/>
              </w:rPr>
            </w:pPr>
            <w:r>
              <w:rPr>
                <w:rFonts w:ascii="Arial" w:cs="Arial" w:eastAsia="Arial" w:hAnsi="Arial"/>
                <w:sz w:val="14"/>
                <w:szCs w:val="14"/>
                <w:color w:val="auto"/>
                <w:w w:val="94"/>
              </w:rPr>
              <w:t>6/23/21</w:t>
            </w:r>
          </w:p>
        </w:tc>
      </w:tr>
      <w:tr>
        <w:trPr>
          <w:trHeight w:val="20"/>
        </w:trPr>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9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10"/>
        </w:trPr>
        <w:tc>
          <w:tcPr>
            <w:tcW w:w="5180" w:type="dxa"/>
            <w:vAlign w:val="bottom"/>
            <w:tcBorders>
              <w:bottom w:val="single" w:sz="8" w:color="0000FF"/>
            </w:tcBorders>
            <w:gridSpan w:val="16"/>
          </w:tcPr>
          <w:p>
            <w:pPr>
              <w:spacing w:after="0"/>
              <w:rPr>
                <w:rFonts w:ascii="Arial" w:cs="Arial" w:eastAsia="Arial" w:hAnsi="Arial"/>
                <w:sz w:val="14"/>
                <w:szCs w:val="14"/>
                <w:color w:val="0000FF"/>
                <w:w w:val="92"/>
              </w:rPr>
            </w:pPr>
            <w:hyperlink r:id="rId261">
              <w:r>
                <w:rPr>
                  <w:rFonts w:ascii="Arial" w:cs="Arial" w:eastAsia="Arial" w:hAnsi="Arial"/>
                  <w:sz w:val="14"/>
                  <w:szCs w:val="14"/>
                  <w:color w:val="0000FF"/>
                  <w:w w:val="92"/>
                </w:rPr>
                <w:t>Amended &amp; Restated 2016 Equity Incentive Plan and related form agreements thereunder</w:t>
              </w:r>
            </w:hyperlink>
          </w:p>
        </w:tc>
        <w:tc>
          <w:tcPr>
            <w:tcW w:w="24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S-1/A</w:t>
            </w:r>
          </w:p>
        </w:tc>
        <w:tc>
          <w:tcPr>
            <w:tcW w:w="1180" w:type="dxa"/>
            <w:vAlign w:val="bottom"/>
          </w:tcPr>
          <w:p>
            <w:pPr>
              <w:jc w:val="center"/>
              <w:spacing w:after="0"/>
              <w:rPr>
                <w:sz w:val="20"/>
                <w:szCs w:val="20"/>
                <w:color w:val="auto"/>
              </w:rPr>
            </w:pPr>
            <w:r>
              <w:rPr>
                <w:rFonts w:ascii="Arial" w:cs="Arial" w:eastAsia="Arial" w:hAnsi="Arial"/>
                <w:sz w:val="14"/>
                <w:szCs w:val="14"/>
                <w:color w:val="auto"/>
                <w:w w:val="93"/>
              </w:rPr>
              <w:t>333-256641</w:t>
            </w:r>
          </w:p>
        </w:tc>
        <w:tc>
          <w:tcPr>
            <w:tcW w:w="760" w:type="dxa"/>
            <w:vAlign w:val="bottom"/>
          </w:tcPr>
          <w:p>
            <w:pPr>
              <w:jc w:val="center"/>
              <w:spacing w:after="0"/>
              <w:rPr>
                <w:sz w:val="20"/>
                <w:szCs w:val="20"/>
                <w:color w:val="auto"/>
              </w:rPr>
            </w:pPr>
            <w:r>
              <w:rPr>
                <w:rFonts w:ascii="Arial" w:cs="Arial" w:eastAsia="Arial" w:hAnsi="Arial"/>
                <w:sz w:val="14"/>
                <w:szCs w:val="14"/>
                <w:color w:val="auto"/>
                <w:w w:val="95"/>
              </w:rPr>
              <w:t>10.2</w:t>
            </w:r>
          </w:p>
        </w:tc>
        <w:tc>
          <w:tcPr>
            <w:tcW w:w="840" w:type="dxa"/>
            <w:vAlign w:val="bottom"/>
          </w:tcPr>
          <w:p>
            <w:pPr>
              <w:jc w:val="center"/>
              <w:ind w:left="208"/>
              <w:spacing w:after="0"/>
              <w:rPr>
                <w:sz w:val="20"/>
                <w:szCs w:val="20"/>
                <w:color w:val="auto"/>
              </w:rPr>
            </w:pPr>
            <w:r>
              <w:rPr>
                <w:rFonts w:ascii="Arial" w:cs="Arial" w:eastAsia="Arial" w:hAnsi="Arial"/>
                <w:sz w:val="14"/>
                <w:szCs w:val="14"/>
                <w:color w:val="auto"/>
                <w:w w:val="94"/>
              </w:rPr>
              <w:t>6/23/21</w:t>
            </w:r>
          </w:p>
        </w:tc>
      </w:tr>
      <w:tr>
        <w:trPr>
          <w:trHeight w:val="210"/>
        </w:trPr>
        <w:tc>
          <w:tcPr>
            <w:tcW w:w="5160" w:type="dxa"/>
            <w:vAlign w:val="bottom"/>
            <w:tcBorders>
              <w:bottom w:val="single" w:sz="8" w:color="0000FF"/>
            </w:tcBorders>
            <w:gridSpan w:val="15"/>
          </w:tcPr>
          <w:p>
            <w:pPr>
              <w:spacing w:after="0"/>
              <w:rPr>
                <w:rFonts w:ascii="Arial" w:cs="Arial" w:eastAsia="Arial" w:hAnsi="Arial"/>
                <w:sz w:val="14"/>
                <w:szCs w:val="14"/>
                <w:color w:val="0000FF"/>
                <w:w w:val="91"/>
              </w:rPr>
            </w:pPr>
            <w:hyperlink r:id="rId262">
              <w:r>
                <w:rPr>
                  <w:rFonts w:ascii="Arial" w:cs="Arial" w:eastAsia="Arial" w:hAnsi="Arial"/>
                  <w:sz w:val="14"/>
                  <w:szCs w:val="14"/>
                  <w:color w:val="0000FF"/>
                  <w:w w:val="91"/>
                </w:rPr>
                <w:t>Amended and Restated Restricted Stock Award Agreement by and between the Company</w:t>
              </w:r>
            </w:hyperlink>
          </w:p>
        </w:tc>
        <w:tc>
          <w:tcPr>
            <w:tcW w:w="2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55"/>
        </w:trPr>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340" w:type="dxa"/>
            <w:vAlign w:val="bottom"/>
            <w:tcBorders>
              <w:bottom w:val="single" w:sz="8" w:color="0000FF"/>
            </w:tcBorders>
            <w:gridSpan w:val="7"/>
          </w:tcPr>
          <w:p>
            <w:pPr>
              <w:spacing w:after="0" w:line="155" w:lineRule="exact"/>
              <w:rPr>
                <w:rFonts w:ascii="Arial" w:cs="Arial" w:eastAsia="Arial" w:hAnsi="Arial"/>
                <w:sz w:val="14"/>
                <w:szCs w:val="14"/>
                <w:color w:val="0000FF"/>
                <w:w w:val="90"/>
              </w:rPr>
            </w:pPr>
            <w:hyperlink r:id="rId262">
              <w:r>
                <w:rPr>
                  <w:rFonts w:ascii="Arial" w:cs="Arial" w:eastAsia="Arial" w:hAnsi="Arial"/>
                  <w:sz w:val="14"/>
                  <w:szCs w:val="14"/>
                  <w:color w:val="0000FF"/>
                  <w:w w:val="90"/>
                </w:rPr>
                <w:t>and Eric Remer, dated as of August 23, 2019, as amended</w:t>
              </w:r>
            </w:hyperlink>
          </w:p>
        </w:tc>
        <w:tc>
          <w:tcPr>
            <w:tcW w:w="1920" w:type="dxa"/>
            <w:vAlign w:val="bottom"/>
            <w:gridSpan w:val="8"/>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4"/>
                <w:szCs w:val="14"/>
                <w:color w:val="auto"/>
                <w:w w:val="96"/>
              </w:rPr>
              <w:t>S-1/A</w:t>
            </w:r>
          </w:p>
        </w:tc>
        <w:tc>
          <w:tcPr>
            <w:tcW w:w="1180" w:type="dxa"/>
            <w:vAlign w:val="bottom"/>
          </w:tcPr>
          <w:p>
            <w:pPr>
              <w:jc w:val="center"/>
              <w:spacing w:after="0" w:line="155" w:lineRule="exact"/>
              <w:rPr>
                <w:sz w:val="20"/>
                <w:szCs w:val="20"/>
                <w:color w:val="auto"/>
              </w:rPr>
            </w:pPr>
            <w:r>
              <w:rPr>
                <w:rFonts w:ascii="Arial" w:cs="Arial" w:eastAsia="Arial" w:hAnsi="Arial"/>
                <w:sz w:val="14"/>
                <w:szCs w:val="14"/>
                <w:color w:val="auto"/>
                <w:w w:val="93"/>
              </w:rPr>
              <w:t>333-256641</w:t>
            </w:r>
          </w:p>
        </w:tc>
        <w:tc>
          <w:tcPr>
            <w:tcW w:w="760" w:type="dxa"/>
            <w:vAlign w:val="bottom"/>
          </w:tcPr>
          <w:p>
            <w:pPr>
              <w:jc w:val="center"/>
              <w:spacing w:after="0" w:line="155" w:lineRule="exact"/>
              <w:rPr>
                <w:sz w:val="20"/>
                <w:szCs w:val="20"/>
                <w:color w:val="auto"/>
              </w:rPr>
            </w:pPr>
            <w:r>
              <w:rPr>
                <w:rFonts w:ascii="Arial" w:cs="Arial" w:eastAsia="Arial" w:hAnsi="Arial"/>
                <w:sz w:val="14"/>
                <w:szCs w:val="14"/>
                <w:color w:val="auto"/>
                <w:w w:val="95"/>
              </w:rPr>
              <w:t>10.3</w:t>
            </w:r>
          </w:p>
        </w:tc>
        <w:tc>
          <w:tcPr>
            <w:tcW w:w="840" w:type="dxa"/>
            <w:vAlign w:val="bottom"/>
          </w:tcPr>
          <w:p>
            <w:pPr>
              <w:jc w:val="center"/>
              <w:ind w:left="208"/>
              <w:spacing w:after="0" w:line="155" w:lineRule="exact"/>
              <w:rPr>
                <w:sz w:val="20"/>
                <w:szCs w:val="20"/>
                <w:color w:val="auto"/>
              </w:rPr>
            </w:pPr>
            <w:r>
              <w:rPr>
                <w:rFonts w:ascii="Arial" w:cs="Arial" w:eastAsia="Arial" w:hAnsi="Arial"/>
                <w:sz w:val="14"/>
                <w:szCs w:val="14"/>
                <w:color w:val="auto"/>
                <w:w w:val="94"/>
              </w:rPr>
              <w:t>6/23/21</w:t>
            </w:r>
          </w:p>
        </w:tc>
      </w:tr>
      <w:tr>
        <w:trPr>
          <w:trHeight w:val="210"/>
        </w:trPr>
        <w:tc>
          <w:tcPr>
            <w:tcW w:w="5160" w:type="dxa"/>
            <w:vAlign w:val="bottom"/>
            <w:tcBorders>
              <w:bottom w:val="single" w:sz="8" w:color="0000FF"/>
            </w:tcBorders>
            <w:gridSpan w:val="15"/>
          </w:tcPr>
          <w:p>
            <w:pPr>
              <w:spacing w:after="0"/>
              <w:rPr>
                <w:rFonts w:ascii="Arial" w:cs="Arial" w:eastAsia="Arial" w:hAnsi="Arial"/>
                <w:sz w:val="14"/>
                <w:szCs w:val="14"/>
                <w:color w:val="0000FF"/>
                <w:w w:val="91"/>
              </w:rPr>
            </w:pPr>
            <w:hyperlink r:id="rId263">
              <w:r>
                <w:rPr>
                  <w:rFonts w:ascii="Arial" w:cs="Arial" w:eastAsia="Arial" w:hAnsi="Arial"/>
                  <w:sz w:val="14"/>
                  <w:szCs w:val="14"/>
                  <w:color w:val="0000FF"/>
                  <w:w w:val="91"/>
                </w:rPr>
                <w:t>Amended and Restated Restricted Stock Award Agreement by and between the Company</w:t>
              </w:r>
            </w:hyperlink>
          </w:p>
        </w:tc>
        <w:tc>
          <w:tcPr>
            <w:tcW w:w="26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155"/>
        </w:trPr>
        <w:tc>
          <w:tcPr>
            <w:tcW w:w="80" w:type="dxa"/>
            <w:vAlign w:val="bottom"/>
          </w:tcPr>
          <w:p>
            <w:pPr>
              <w:spacing w:after="0"/>
              <w:rPr>
                <w:sz w:val="13"/>
                <w:szCs w:val="13"/>
                <w:color w:val="auto"/>
              </w:rPr>
            </w:pPr>
          </w:p>
        </w:tc>
        <w:tc>
          <w:tcPr>
            <w:tcW w:w="3560" w:type="dxa"/>
            <w:vAlign w:val="bottom"/>
            <w:tcBorders>
              <w:bottom w:val="single" w:sz="8" w:color="0000FF"/>
            </w:tcBorders>
            <w:gridSpan w:val="9"/>
          </w:tcPr>
          <w:p>
            <w:pPr>
              <w:spacing w:after="0" w:line="155" w:lineRule="exact"/>
              <w:rPr>
                <w:rFonts w:ascii="Arial" w:cs="Arial" w:eastAsia="Arial" w:hAnsi="Arial"/>
                <w:sz w:val="14"/>
                <w:szCs w:val="14"/>
                <w:color w:val="0000FF"/>
                <w:w w:val="91"/>
              </w:rPr>
            </w:pPr>
            <w:hyperlink r:id="rId263">
              <w:r>
                <w:rPr>
                  <w:rFonts w:ascii="Arial" w:cs="Arial" w:eastAsia="Arial" w:hAnsi="Arial"/>
                  <w:sz w:val="14"/>
                  <w:szCs w:val="14"/>
                  <w:color w:val="0000FF"/>
                  <w:w w:val="91"/>
                </w:rPr>
                <w:t>and Matt Feierstein, dated as of August 23, 2019, as amended</w:t>
              </w:r>
            </w:hyperlink>
          </w:p>
        </w:tc>
        <w:tc>
          <w:tcPr>
            <w:tcW w:w="1780" w:type="dxa"/>
            <w:vAlign w:val="bottom"/>
            <w:gridSpan w:val="7"/>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4"/>
                <w:szCs w:val="14"/>
                <w:color w:val="auto"/>
                <w:w w:val="96"/>
              </w:rPr>
              <w:t>S-1/A</w:t>
            </w:r>
          </w:p>
        </w:tc>
        <w:tc>
          <w:tcPr>
            <w:tcW w:w="1180" w:type="dxa"/>
            <w:vAlign w:val="bottom"/>
          </w:tcPr>
          <w:p>
            <w:pPr>
              <w:jc w:val="center"/>
              <w:spacing w:after="0" w:line="155" w:lineRule="exact"/>
              <w:rPr>
                <w:sz w:val="20"/>
                <w:szCs w:val="20"/>
                <w:color w:val="auto"/>
              </w:rPr>
            </w:pPr>
            <w:r>
              <w:rPr>
                <w:rFonts w:ascii="Arial" w:cs="Arial" w:eastAsia="Arial" w:hAnsi="Arial"/>
                <w:sz w:val="14"/>
                <w:szCs w:val="14"/>
                <w:color w:val="auto"/>
                <w:w w:val="93"/>
              </w:rPr>
              <w:t>333-256641</w:t>
            </w:r>
          </w:p>
        </w:tc>
        <w:tc>
          <w:tcPr>
            <w:tcW w:w="760" w:type="dxa"/>
            <w:vAlign w:val="bottom"/>
          </w:tcPr>
          <w:p>
            <w:pPr>
              <w:jc w:val="center"/>
              <w:spacing w:after="0" w:line="155" w:lineRule="exact"/>
              <w:rPr>
                <w:sz w:val="20"/>
                <w:szCs w:val="20"/>
                <w:color w:val="auto"/>
              </w:rPr>
            </w:pPr>
            <w:r>
              <w:rPr>
                <w:rFonts w:ascii="Arial" w:cs="Arial" w:eastAsia="Arial" w:hAnsi="Arial"/>
                <w:sz w:val="14"/>
                <w:szCs w:val="14"/>
                <w:color w:val="auto"/>
                <w:w w:val="95"/>
              </w:rPr>
              <w:t>10.4</w:t>
            </w:r>
          </w:p>
        </w:tc>
        <w:tc>
          <w:tcPr>
            <w:tcW w:w="840" w:type="dxa"/>
            <w:vAlign w:val="bottom"/>
          </w:tcPr>
          <w:p>
            <w:pPr>
              <w:jc w:val="center"/>
              <w:ind w:left="208"/>
              <w:spacing w:after="0" w:line="155" w:lineRule="exact"/>
              <w:rPr>
                <w:sz w:val="20"/>
                <w:szCs w:val="20"/>
                <w:color w:val="auto"/>
              </w:rPr>
            </w:pPr>
            <w:r>
              <w:rPr>
                <w:rFonts w:ascii="Arial" w:cs="Arial" w:eastAsia="Arial" w:hAnsi="Arial"/>
                <w:sz w:val="14"/>
                <w:szCs w:val="14"/>
                <w:color w:val="auto"/>
                <w:w w:val="94"/>
              </w:rPr>
              <w:t>6/23/21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-1722120</wp:posOffset>
            </wp:positionV>
            <wp:extent cx="7132320"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-1319530</wp:posOffset>
            </wp:positionV>
            <wp:extent cx="7132320" cy="14605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-1028065</wp:posOffset>
            </wp:positionV>
            <wp:extent cx="7132320"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-624840</wp:posOffset>
            </wp:positionV>
            <wp:extent cx="7132320" cy="146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-616585</wp:posOffset>
            </wp:positionH>
            <wp:positionV relativeFrom="paragraph">
              <wp:posOffset>-222250</wp:posOffset>
            </wp:positionV>
            <wp:extent cx="7132320" cy="2571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 w:space="380"/>
            <w:col w:w="1026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34" w:name="page135"/>
    <w:bookmarkEnd w:id="134"/>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vMerge w:val="restart"/>
          </w:tcPr>
          <w:p>
            <w:pPr>
              <w:jc w:val="center"/>
              <w:ind w:right="48"/>
              <w:spacing w:after="0"/>
              <w:rPr>
                <w:sz w:val="20"/>
                <w:szCs w:val="20"/>
                <w:color w:val="auto"/>
              </w:rPr>
            </w:pPr>
            <w:r>
              <w:rPr>
                <w:rFonts w:ascii="Arial" w:cs="Arial" w:eastAsia="Arial" w:hAnsi="Arial"/>
                <w:sz w:val="14"/>
                <w:szCs w:val="14"/>
                <w:color w:val="auto"/>
                <w:w w:val="91"/>
              </w:rPr>
              <w:t>10.5#</w:t>
            </w:r>
          </w:p>
        </w:tc>
        <w:tc>
          <w:tcPr>
            <w:tcW w:w="5160" w:type="dxa"/>
            <w:vAlign w:val="bottom"/>
            <w:tcBorders>
              <w:bottom w:val="single" w:sz="8" w:color="0000FF"/>
            </w:tcBorders>
            <w:gridSpan w:val="22"/>
          </w:tcPr>
          <w:p>
            <w:pPr>
              <w:spacing w:after="0"/>
              <w:rPr>
                <w:rFonts w:ascii="Arial" w:cs="Arial" w:eastAsia="Arial" w:hAnsi="Arial"/>
                <w:sz w:val="14"/>
                <w:szCs w:val="14"/>
                <w:color w:val="0000FF"/>
                <w:w w:val="91"/>
              </w:rPr>
            </w:pPr>
            <w:hyperlink r:id="rId270">
              <w:r>
                <w:rPr>
                  <w:rFonts w:ascii="Arial" w:cs="Arial" w:eastAsia="Arial" w:hAnsi="Arial"/>
                  <w:sz w:val="14"/>
                  <w:szCs w:val="14"/>
                  <w:color w:val="0000FF"/>
                  <w:w w:val="91"/>
                </w:rPr>
                <w:t>Amended and Restated Restricted Stock Award Agreement by and between the Company</w:t>
              </w:r>
            </w:hyperlink>
          </w:p>
        </w:tc>
        <w:tc>
          <w:tcPr>
            <w:tcW w:w="360" w:type="dxa"/>
            <w:vAlign w:val="bottom"/>
            <w:gridSpan w:val="7"/>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0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360" w:type="dxa"/>
            <w:vAlign w:val="bottom"/>
            <w:gridSpan w:val="28"/>
            <w:vMerge w:val="restart"/>
          </w:tcPr>
          <w:p>
            <w:pPr>
              <w:spacing w:after="0" w:line="155" w:lineRule="exact"/>
              <w:rPr>
                <w:rFonts w:ascii="Arial" w:cs="Arial" w:eastAsia="Arial" w:hAnsi="Arial"/>
                <w:sz w:val="14"/>
                <w:szCs w:val="14"/>
                <w:color w:val="0000FF"/>
              </w:rPr>
            </w:pPr>
            <w:hyperlink r:id="rId270">
              <w:r>
                <w:rPr>
                  <w:rFonts w:ascii="Arial" w:cs="Arial" w:eastAsia="Arial" w:hAnsi="Arial"/>
                  <w:sz w:val="14"/>
                  <w:szCs w:val="14"/>
                  <w:color w:val="0000FF"/>
                </w:rPr>
                <w:t>and Marc Thompson, dated as of August 23, 2019, as amended</w:t>
              </w:r>
            </w:hyperlink>
          </w:p>
        </w:tc>
        <w:tc>
          <w:tcPr>
            <w:tcW w:w="680" w:type="dxa"/>
            <w:vAlign w:val="bottom"/>
            <w:vMerge w:val="restart"/>
          </w:tcPr>
          <w:p>
            <w:pPr>
              <w:jc w:val="center"/>
              <w:ind w:right="8"/>
              <w:spacing w:after="0" w:line="155" w:lineRule="exact"/>
              <w:rPr>
                <w:sz w:val="20"/>
                <w:szCs w:val="20"/>
                <w:color w:val="auto"/>
              </w:rPr>
            </w:pPr>
            <w:r>
              <w:rPr>
                <w:rFonts w:ascii="Arial" w:cs="Arial" w:eastAsia="Arial" w:hAnsi="Arial"/>
                <w:sz w:val="14"/>
                <w:szCs w:val="14"/>
                <w:color w:val="auto"/>
              </w:rPr>
              <w:t>S-1/A</w:t>
            </w:r>
          </w:p>
        </w:tc>
        <w:tc>
          <w:tcPr>
            <w:tcW w:w="112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93"/>
              </w:rPr>
              <w:t>333-256641</w:t>
            </w:r>
          </w:p>
        </w:tc>
        <w:tc>
          <w:tcPr>
            <w:tcW w:w="88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95"/>
              </w:rPr>
              <w:t>10.5</w:t>
            </w:r>
          </w:p>
        </w:tc>
        <w:tc>
          <w:tcPr>
            <w:tcW w:w="2040" w:type="dxa"/>
            <w:vAlign w:val="bottom"/>
            <w:vMerge w:val="restart"/>
          </w:tcPr>
          <w:p>
            <w:pPr>
              <w:jc w:val="center"/>
              <w:ind w:right="1008"/>
              <w:spacing w:after="0" w:line="155" w:lineRule="exact"/>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66"/>
        </w:trPr>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360" w:type="dxa"/>
            <w:vAlign w:val="bottom"/>
            <w:gridSpan w:val="28"/>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00" w:type="dxa"/>
            <w:vAlign w:val="bottom"/>
            <w:tcBorders>
              <w:bottom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color w:val="auto"/>
                <w:w w:val="91"/>
              </w:rPr>
              <w:t>10.6#</w:t>
            </w:r>
          </w:p>
        </w:tc>
        <w:tc>
          <w:tcPr>
            <w:tcW w:w="2760" w:type="dxa"/>
            <w:vAlign w:val="bottom"/>
            <w:tcBorders>
              <w:bottom w:val="single" w:sz="8" w:color="0000FF"/>
            </w:tcBorders>
            <w:gridSpan w:val="11"/>
            <w:shd w:val="clear" w:color="auto" w:fill="CCEEFF"/>
          </w:tcPr>
          <w:p>
            <w:pPr>
              <w:spacing w:after="0"/>
              <w:rPr>
                <w:rFonts w:ascii="Arial" w:cs="Arial" w:eastAsia="Arial" w:hAnsi="Arial"/>
                <w:sz w:val="14"/>
                <w:szCs w:val="14"/>
                <w:color w:val="0000FF"/>
                <w:w w:val="93"/>
              </w:rPr>
            </w:pPr>
            <w:hyperlink r:id="rId271">
              <w:r>
                <w:rPr>
                  <w:rFonts w:ascii="Arial" w:cs="Arial" w:eastAsia="Arial" w:hAnsi="Arial"/>
                  <w:sz w:val="14"/>
                  <w:szCs w:val="14"/>
                  <w:color w:val="0000FF"/>
                  <w:w w:val="93"/>
                </w:rPr>
                <w:t>EverCommerce Inc. 2021 Incentive Award Plan</w:t>
              </w:r>
            </w:hyperlink>
          </w:p>
        </w:tc>
        <w:tc>
          <w:tcPr>
            <w:tcW w:w="2760" w:type="dxa"/>
            <w:vAlign w:val="bottom"/>
            <w:tcBorders>
              <w:bottom w:val="single" w:sz="8" w:color="CCEEFF"/>
            </w:tcBorders>
            <w:gridSpan w:val="18"/>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ind w:right="8"/>
              <w:spacing w:after="0"/>
              <w:rPr>
                <w:sz w:val="20"/>
                <w:szCs w:val="20"/>
                <w:color w:val="auto"/>
              </w:rPr>
            </w:pPr>
            <w:r>
              <w:rPr>
                <w:rFonts w:ascii="Arial" w:cs="Arial" w:eastAsia="Arial" w:hAnsi="Arial"/>
                <w:sz w:val="14"/>
                <w:szCs w:val="14"/>
                <w:color w:val="auto"/>
              </w:rPr>
              <w:t>S-1/A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333-256641</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10.6</w:t>
            </w:r>
          </w:p>
        </w:tc>
        <w:tc>
          <w:tcPr>
            <w:tcW w:w="2040" w:type="dxa"/>
            <w:vAlign w:val="bottom"/>
            <w:tcBorders>
              <w:bottom w:val="single" w:sz="8" w:color="CCEEFF"/>
            </w:tcBorders>
            <w:shd w:val="clear" w:color="auto" w:fill="CCEEFF"/>
          </w:tcPr>
          <w:p>
            <w:pPr>
              <w:jc w:val="center"/>
              <w:ind w:right="1008"/>
              <w:spacing w:after="0"/>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162"/>
        </w:trPr>
        <w:tc>
          <w:tcPr>
            <w:tcW w:w="1000" w:type="dxa"/>
            <w:vAlign w:val="bottom"/>
          </w:tcPr>
          <w:p>
            <w:pPr>
              <w:jc w:val="center"/>
              <w:ind w:right="48"/>
              <w:spacing w:after="0"/>
              <w:rPr>
                <w:sz w:val="20"/>
                <w:szCs w:val="20"/>
                <w:color w:val="auto"/>
              </w:rPr>
            </w:pPr>
            <w:r>
              <w:rPr>
                <w:rFonts w:ascii="Arial" w:cs="Arial" w:eastAsia="Arial" w:hAnsi="Arial"/>
                <w:sz w:val="14"/>
                <w:szCs w:val="14"/>
                <w:color w:val="auto"/>
                <w:w w:val="91"/>
              </w:rPr>
              <w:t>10.7#</w:t>
            </w:r>
          </w:p>
        </w:tc>
        <w:tc>
          <w:tcPr>
            <w:tcW w:w="5520" w:type="dxa"/>
            <w:vAlign w:val="bottom"/>
            <w:gridSpan w:val="29"/>
          </w:tcPr>
          <w:p>
            <w:pPr>
              <w:spacing w:after="0"/>
              <w:rPr>
                <w:rFonts w:ascii="Arial" w:cs="Arial" w:eastAsia="Arial" w:hAnsi="Arial"/>
                <w:sz w:val="14"/>
                <w:szCs w:val="14"/>
                <w:color w:val="0000FF"/>
              </w:rPr>
            </w:pPr>
            <w:hyperlink r:id="rId272">
              <w:r>
                <w:rPr>
                  <w:rFonts w:ascii="Arial" w:cs="Arial" w:eastAsia="Arial" w:hAnsi="Arial"/>
                  <w:sz w:val="14"/>
                  <w:szCs w:val="14"/>
                  <w:color w:val="0000FF"/>
                </w:rPr>
                <w:t>Form of RSU Agreement under the EverCommerce Inc. 2021 Incentive Award Plan</w:t>
              </w:r>
            </w:hyperlink>
          </w:p>
        </w:tc>
        <w:tc>
          <w:tcPr>
            <w:tcW w:w="680" w:type="dxa"/>
            <w:vAlign w:val="bottom"/>
          </w:tcPr>
          <w:p>
            <w:pPr>
              <w:jc w:val="center"/>
              <w:ind w:right="8"/>
              <w:spacing w:after="0"/>
              <w:rPr>
                <w:sz w:val="20"/>
                <w:szCs w:val="20"/>
                <w:color w:val="auto"/>
              </w:rPr>
            </w:pPr>
            <w:r>
              <w:rPr>
                <w:rFonts w:ascii="Arial" w:cs="Arial" w:eastAsia="Arial" w:hAnsi="Arial"/>
                <w:sz w:val="14"/>
                <w:szCs w:val="14"/>
                <w:color w:val="auto"/>
              </w:rPr>
              <w:t>S-1/A</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333-256641</w:t>
            </w:r>
          </w:p>
        </w:tc>
        <w:tc>
          <w:tcPr>
            <w:tcW w:w="880" w:type="dxa"/>
            <w:vAlign w:val="bottom"/>
          </w:tcPr>
          <w:p>
            <w:pPr>
              <w:jc w:val="center"/>
              <w:spacing w:after="0"/>
              <w:rPr>
                <w:sz w:val="20"/>
                <w:szCs w:val="20"/>
                <w:color w:val="auto"/>
              </w:rPr>
            </w:pPr>
            <w:r>
              <w:rPr>
                <w:rFonts w:ascii="Arial" w:cs="Arial" w:eastAsia="Arial" w:hAnsi="Arial"/>
                <w:sz w:val="14"/>
                <w:szCs w:val="14"/>
                <w:color w:val="auto"/>
                <w:w w:val="92"/>
              </w:rPr>
              <w:t>10.6.1</w:t>
            </w:r>
          </w:p>
        </w:tc>
        <w:tc>
          <w:tcPr>
            <w:tcW w:w="2040" w:type="dxa"/>
            <w:vAlign w:val="bottom"/>
          </w:tcPr>
          <w:p>
            <w:pPr>
              <w:jc w:val="center"/>
              <w:ind w:right="1008"/>
              <w:spacing w:after="0"/>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0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1"/>
              </w:rPr>
              <w:t>10.8#</w:t>
            </w:r>
          </w:p>
        </w:tc>
        <w:tc>
          <w:tcPr>
            <w:tcW w:w="5520" w:type="dxa"/>
            <w:vAlign w:val="bottom"/>
            <w:gridSpan w:val="29"/>
            <w:shd w:val="clear" w:color="auto" w:fill="CCEEFF"/>
          </w:tcPr>
          <w:p>
            <w:pPr>
              <w:spacing w:after="0"/>
              <w:rPr>
                <w:rFonts w:ascii="Arial" w:cs="Arial" w:eastAsia="Arial" w:hAnsi="Arial"/>
                <w:sz w:val="14"/>
                <w:szCs w:val="14"/>
                <w:color w:val="0000FF"/>
              </w:rPr>
            </w:pPr>
            <w:hyperlink r:id="rId273">
              <w:r>
                <w:rPr>
                  <w:rFonts w:ascii="Arial" w:cs="Arial" w:eastAsia="Arial" w:hAnsi="Arial"/>
                  <w:sz w:val="14"/>
                  <w:szCs w:val="14"/>
                  <w:color w:val="0000FF"/>
                </w:rPr>
                <w:t>Form of Option Agreement under the EverCommerce Inc. 2021 Incentive Award Plan</w:t>
              </w:r>
            </w:hyperlink>
          </w:p>
        </w:tc>
        <w:tc>
          <w:tcPr>
            <w:tcW w:w="68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rPr>
              <w:t>S-1/A</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333-256641</w:t>
            </w:r>
          </w:p>
        </w:tc>
        <w:tc>
          <w:tcPr>
            <w:tcW w:w="8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2"/>
              </w:rPr>
              <w:t>10.6.2</w:t>
            </w:r>
          </w:p>
        </w:tc>
        <w:tc>
          <w:tcPr>
            <w:tcW w:w="2040" w:type="dxa"/>
            <w:vAlign w:val="bottom"/>
            <w:shd w:val="clear" w:color="auto" w:fill="CCEEFF"/>
          </w:tcPr>
          <w:p>
            <w:pPr>
              <w:jc w:val="center"/>
              <w:ind w:right="1008"/>
              <w:spacing w:after="0"/>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162"/>
        </w:trPr>
        <w:tc>
          <w:tcPr>
            <w:tcW w:w="1000" w:type="dxa"/>
            <w:vAlign w:val="bottom"/>
            <w:tcBorders>
              <w:top w:val="single" w:sz="8" w:color="CCEEFF"/>
            </w:tcBorders>
          </w:tcPr>
          <w:p>
            <w:pPr>
              <w:jc w:val="center"/>
              <w:ind w:right="48"/>
              <w:spacing w:after="0"/>
              <w:rPr>
                <w:sz w:val="20"/>
                <w:szCs w:val="20"/>
                <w:color w:val="auto"/>
              </w:rPr>
            </w:pPr>
            <w:r>
              <w:rPr>
                <w:rFonts w:ascii="Arial" w:cs="Arial" w:eastAsia="Arial" w:hAnsi="Arial"/>
                <w:sz w:val="14"/>
                <w:szCs w:val="14"/>
                <w:color w:val="auto"/>
                <w:w w:val="91"/>
              </w:rPr>
              <w:t>10.9#</w:t>
            </w:r>
          </w:p>
        </w:tc>
        <w:tc>
          <w:tcPr>
            <w:tcW w:w="4940" w:type="dxa"/>
            <w:vAlign w:val="bottom"/>
            <w:tcBorders>
              <w:top w:val="single" w:sz="8" w:color="0000FF"/>
            </w:tcBorders>
            <w:gridSpan w:val="20"/>
          </w:tcPr>
          <w:p>
            <w:pPr>
              <w:spacing w:after="0"/>
              <w:rPr>
                <w:rFonts w:ascii="Arial" w:cs="Arial" w:eastAsia="Arial" w:hAnsi="Arial"/>
                <w:sz w:val="14"/>
                <w:szCs w:val="14"/>
                <w:color w:val="0000FF"/>
              </w:rPr>
            </w:pPr>
            <w:hyperlink r:id="rId274">
              <w:r>
                <w:rPr>
                  <w:rFonts w:ascii="Arial" w:cs="Arial" w:eastAsia="Arial" w:hAnsi="Arial"/>
                  <w:sz w:val="14"/>
                  <w:szCs w:val="14"/>
                  <w:color w:val="0000FF"/>
                </w:rPr>
                <w:t>EverCommerce Inc. 2021 Employee Stock Purchase Plan</w:t>
              </w:r>
            </w:hyperlink>
          </w:p>
        </w:tc>
        <w:tc>
          <w:tcPr>
            <w:tcW w:w="580" w:type="dxa"/>
            <w:vAlign w:val="bottom"/>
            <w:tcBorders>
              <w:top w:val="single" w:sz="8" w:color="CCEEFF"/>
            </w:tcBorders>
            <w:gridSpan w:val="9"/>
          </w:tcPr>
          <w:p>
            <w:pPr>
              <w:spacing w:after="0"/>
              <w:rPr>
                <w:sz w:val="14"/>
                <w:szCs w:val="14"/>
                <w:color w:val="auto"/>
              </w:rPr>
            </w:pPr>
          </w:p>
        </w:tc>
        <w:tc>
          <w:tcPr>
            <w:tcW w:w="680" w:type="dxa"/>
            <w:vAlign w:val="bottom"/>
            <w:tcBorders>
              <w:top w:val="single" w:sz="8" w:color="CCEEFF"/>
            </w:tcBorders>
          </w:tcPr>
          <w:p>
            <w:pPr>
              <w:jc w:val="center"/>
              <w:ind w:right="8"/>
              <w:spacing w:after="0"/>
              <w:rPr>
                <w:sz w:val="20"/>
                <w:szCs w:val="20"/>
                <w:color w:val="auto"/>
              </w:rPr>
            </w:pPr>
            <w:r>
              <w:rPr>
                <w:rFonts w:ascii="Arial" w:cs="Arial" w:eastAsia="Arial" w:hAnsi="Arial"/>
                <w:sz w:val="14"/>
                <w:szCs w:val="14"/>
                <w:color w:val="auto"/>
              </w:rPr>
              <w:t>S-1/A</w:t>
            </w:r>
          </w:p>
        </w:tc>
        <w:tc>
          <w:tcPr>
            <w:tcW w:w="112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3"/>
              </w:rPr>
              <w:t>333-256641</w:t>
            </w:r>
          </w:p>
        </w:tc>
        <w:tc>
          <w:tcPr>
            <w:tcW w:w="880" w:type="dxa"/>
            <w:vAlign w:val="bottom"/>
            <w:tcBorders>
              <w:top w:val="single" w:sz="8" w:color="CCEEFF"/>
            </w:tcBorders>
          </w:tcPr>
          <w:p>
            <w:pPr>
              <w:jc w:val="center"/>
              <w:spacing w:after="0"/>
              <w:rPr>
                <w:sz w:val="20"/>
                <w:szCs w:val="20"/>
                <w:color w:val="auto"/>
              </w:rPr>
            </w:pPr>
            <w:r>
              <w:rPr>
                <w:rFonts w:ascii="Arial" w:cs="Arial" w:eastAsia="Arial" w:hAnsi="Arial"/>
                <w:sz w:val="14"/>
                <w:szCs w:val="14"/>
                <w:color w:val="auto"/>
                <w:w w:val="95"/>
              </w:rPr>
              <w:t>10.7</w:t>
            </w:r>
          </w:p>
        </w:tc>
        <w:tc>
          <w:tcPr>
            <w:tcW w:w="2040" w:type="dxa"/>
            <w:vAlign w:val="bottom"/>
            <w:tcBorders>
              <w:top w:val="single" w:sz="8" w:color="CCEEFF"/>
            </w:tcBorders>
          </w:tcPr>
          <w:p>
            <w:pPr>
              <w:jc w:val="center"/>
              <w:ind w:right="1008"/>
              <w:spacing w:after="0"/>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000" w:type="dxa"/>
            <w:vAlign w:val="bottom"/>
            <w:tcBorders>
              <w:bottom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color w:val="auto"/>
                <w:w w:val="93"/>
              </w:rPr>
              <w:t>10.10#</w:t>
            </w:r>
          </w:p>
        </w:tc>
        <w:tc>
          <w:tcPr>
            <w:tcW w:w="3860" w:type="dxa"/>
            <w:vAlign w:val="bottom"/>
            <w:tcBorders>
              <w:bottom w:val="single" w:sz="8" w:color="0000FF"/>
            </w:tcBorders>
            <w:gridSpan w:val="14"/>
            <w:shd w:val="clear" w:color="auto" w:fill="CCEEFF"/>
          </w:tcPr>
          <w:p>
            <w:pPr>
              <w:spacing w:after="0"/>
              <w:rPr>
                <w:rFonts w:ascii="Arial" w:cs="Arial" w:eastAsia="Arial" w:hAnsi="Arial"/>
                <w:sz w:val="14"/>
                <w:szCs w:val="14"/>
                <w:color w:val="0000FF"/>
                <w:w w:val="94"/>
              </w:rPr>
            </w:pPr>
            <w:hyperlink r:id="rId275">
              <w:r>
                <w:rPr>
                  <w:rFonts w:ascii="Arial" w:cs="Arial" w:eastAsia="Arial" w:hAnsi="Arial"/>
                  <w:sz w:val="14"/>
                  <w:szCs w:val="14"/>
                  <w:color w:val="0000FF"/>
                  <w:w w:val="94"/>
                </w:rPr>
                <w:t>EverCommerce Inc. Non-Employee Director Compensation Policy</w:t>
              </w:r>
            </w:hyperlink>
          </w:p>
        </w:tc>
        <w:tc>
          <w:tcPr>
            <w:tcW w:w="1660" w:type="dxa"/>
            <w:vAlign w:val="bottom"/>
            <w:tcBorders>
              <w:bottom w:val="single" w:sz="8" w:color="CCEEFF"/>
            </w:tcBorders>
            <w:gridSpan w:val="15"/>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ind w:right="8"/>
              <w:spacing w:after="0"/>
              <w:rPr>
                <w:sz w:val="20"/>
                <w:szCs w:val="20"/>
                <w:color w:val="auto"/>
              </w:rPr>
            </w:pPr>
            <w:r>
              <w:rPr>
                <w:rFonts w:ascii="Arial" w:cs="Arial" w:eastAsia="Arial" w:hAnsi="Arial"/>
                <w:sz w:val="14"/>
                <w:szCs w:val="14"/>
                <w:color w:val="auto"/>
              </w:rPr>
              <w:t>S-1/A</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333-256641</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10.8</w:t>
            </w:r>
          </w:p>
        </w:tc>
        <w:tc>
          <w:tcPr>
            <w:tcW w:w="2040" w:type="dxa"/>
            <w:vAlign w:val="bottom"/>
            <w:tcBorders>
              <w:bottom w:val="single" w:sz="8" w:color="CCEEFF"/>
            </w:tcBorders>
            <w:shd w:val="clear" w:color="auto" w:fill="CCEEFF"/>
          </w:tcPr>
          <w:p>
            <w:pPr>
              <w:jc w:val="center"/>
              <w:ind w:right="1008"/>
              <w:spacing w:after="0"/>
              <w:rPr>
                <w:sz w:val="20"/>
                <w:szCs w:val="20"/>
                <w:color w:val="auto"/>
              </w:rPr>
            </w:pPr>
            <w:r>
              <w:rPr>
                <w:rFonts w:ascii="Arial" w:cs="Arial" w:eastAsia="Arial" w:hAnsi="Arial"/>
                <w:sz w:val="14"/>
                <w:szCs w:val="14"/>
                <w:color w:val="auto"/>
                <w:w w:val="94"/>
              </w:rPr>
              <w:t>6/23/21</w:t>
            </w:r>
          </w:p>
        </w:tc>
        <w:tc>
          <w:tcPr>
            <w:tcW w:w="0" w:type="dxa"/>
            <w:vAlign w:val="bottom"/>
          </w:tcPr>
          <w:p>
            <w:pPr>
              <w:spacing w:after="0"/>
              <w:rPr>
                <w:sz w:val="1"/>
                <w:szCs w:val="1"/>
                <w:color w:val="auto"/>
              </w:rPr>
            </w:pPr>
          </w:p>
        </w:tc>
      </w:tr>
      <w:tr>
        <w:trPr>
          <w:trHeight w:val="162"/>
        </w:trPr>
        <w:tc>
          <w:tcPr>
            <w:tcW w:w="1000" w:type="dxa"/>
            <w:vAlign w:val="bottom"/>
          </w:tcPr>
          <w:p>
            <w:pPr>
              <w:jc w:val="center"/>
              <w:ind w:right="28"/>
              <w:spacing w:after="0"/>
              <w:rPr>
                <w:sz w:val="20"/>
                <w:szCs w:val="20"/>
                <w:color w:val="auto"/>
              </w:rPr>
            </w:pPr>
            <w:r>
              <w:rPr>
                <w:rFonts w:ascii="Arial" w:cs="Arial" w:eastAsia="Arial" w:hAnsi="Arial"/>
                <w:sz w:val="14"/>
                <w:szCs w:val="14"/>
                <w:color w:val="auto"/>
                <w:w w:val="88"/>
              </w:rPr>
              <w:t>10.11#</w:t>
            </w:r>
          </w:p>
        </w:tc>
        <w:tc>
          <w:tcPr>
            <w:tcW w:w="5520" w:type="dxa"/>
            <w:vAlign w:val="bottom"/>
            <w:gridSpan w:val="29"/>
          </w:tcPr>
          <w:p>
            <w:pPr>
              <w:spacing w:after="0"/>
              <w:rPr>
                <w:rFonts w:ascii="Arial" w:cs="Arial" w:eastAsia="Arial" w:hAnsi="Arial"/>
                <w:sz w:val="14"/>
                <w:szCs w:val="14"/>
                <w:color w:val="0000FF"/>
                <w:w w:val="97"/>
              </w:rPr>
            </w:pPr>
            <w:hyperlink r:id="rId259">
              <w:r>
                <w:rPr>
                  <w:rFonts w:ascii="Arial" w:cs="Arial" w:eastAsia="Arial" w:hAnsi="Arial"/>
                  <w:sz w:val="14"/>
                  <w:szCs w:val="14"/>
                  <w:color w:val="0000FF"/>
                  <w:w w:val="97"/>
                </w:rPr>
                <w:t>Employment Agreement by and between the Company and Eric Remer, dated July 1, 2021</w:t>
              </w:r>
            </w:hyperlink>
          </w:p>
        </w:tc>
        <w:tc>
          <w:tcPr>
            <w:tcW w:w="680" w:type="dxa"/>
            <w:vAlign w:val="bottom"/>
          </w:tcPr>
          <w:p>
            <w:pPr>
              <w:jc w:val="center"/>
              <w:ind w:right="8"/>
              <w:spacing w:after="0"/>
              <w:rPr>
                <w:sz w:val="20"/>
                <w:szCs w:val="20"/>
                <w:color w:val="auto"/>
              </w:rPr>
            </w:pPr>
            <w:r>
              <w:rPr>
                <w:rFonts w:ascii="Arial" w:cs="Arial" w:eastAsia="Arial" w:hAnsi="Arial"/>
                <w:sz w:val="14"/>
                <w:szCs w:val="14"/>
                <w:color w:val="auto"/>
                <w:w w:val="94"/>
              </w:rPr>
              <w:t>10-K</w:t>
            </w: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001-40575</w:t>
            </w:r>
          </w:p>
        </w:tc>
        <w:tc>
          <w:tcPr>
            <w:tcW w:w="880" w:type="dxa"/>
            <w:vAlign w:val="bottom"/>
          </w:tcPr>
          <w:p>
            <w:pPr>
              <w:jc w:val="center"/>
              <w:spacing w:after="0"/>
              <w:rPr>
                <w:sz w:val="20"/>
                <w:szCs w:val="20"/>
                <w:color w:val="auto"/>
              </w:rPr>
            </w:pPr>
            <w:r>
              <w:rPr>
                <w:rFonts w:ascii="Arial" w:cs="Arial" w:eastAsia="Arial" w:hAnsi="Arial"/>
                <w:sz w:val="14"/>
                <w:szCs w:val="14"/>
                <w:color w:val="auto"/>
                <w:w w:val="88"/>
              </w:rPr>
              <w:t>10.11#</w:t>
            </w:r>
          </w:p>
        </w:tc>
        <w:tc>
          <w:tcPr>
            <w:tcW w:w="2040" w:type="dxa"/>
            <w:vAlign w:val="bottom"/>
          </w:tcPr>
          <w:p>
            <w:pPr>
              <w:jc w:val="center"/>
              <w:ind w:right="1008"/>
              <w:spacing w:after="0"/>
              <w:rPr>
                <w:sz w:val="20"/>
                <w:szCs w:val="20"/>
                <w:color w:val="auto"/>
              </w:rPr>
            </w:pPr>
            <w:r>
              <w:rPr>
                <w:rFonts w:ascii="Arial" w:cs="Arial" w:eastAsia="Arial" w:hAnsi="Arial"/>
                <w:sz w:val="14"/>
                <w:szCs w:val="14"/>
                <w:color w:val="auto"/>
                <w:w w:val="94"/>
              </w:rPr>
              <w:t>3/15/22</w:t>
            </w: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3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000" w:type="dxa"/>
            <w:vAlign w:val="bottom"/>
            <w:vMerge w:val="restart"/>
            <w:shd w:val="clear" w:color="auto" w:fill="CCEEFF"/>
          </w:tcPr>
          <w:p>
            <w:pPr>
              <w:jc w:val="center"/>
              <w:ind w:right="48"/>
              <w:spacing w:after="0"/>
              <w:rPr>
                <w:sz w:val="20"/>
                <w:szCs w:val="20"/>
                <w:color w:val="auto"/>
              </w:rPr>
            </w:pPr>
            <w:r>
              <w:rPr>
                <w:rFonts w:ascii="Arial" w:cs="Arial" w:eastAsia="Arial" w:hAnsi="Arial"/>
                <w:sz w:val="14"/>
                <w:szCs w:val="14"/>
                <w:color w:val="auto"/>
                <w:w w:val="93"/>
              </w:rPr>
              <w:t>10.12#</w:t>
            </w:r>
          </w:p>
        </w:tc>
        <w:tc>
          <w:tcPr>
            <w:tcW w:w="5520" w:type="dxa"/>
            <w:vAlign w:val="bottom"/>
            <w:gridSpan w:val="29"/>
            <w:shd w:val="clear" w:color="auto" w:fill="CCEEFF"/>
          </w:tcPr>
          <w:p>
            <w:pPr>
              <w:spacing w:after="0"/>
              <w:rPr>
                <w:rFonts w:ascii="Arial" w:cs="Arial" w:eastAsia="Arial" w:hAnsi="Arial"/>
                <w:sz w:val="14"/>
                <w:szCs w:val="14"/>
                <w:color w:val="0000FF"/>
                <w:w w:val="95"/>
              </w:rPr>
            </w:pPr>
            <w:hyperlink r:id="rId259">
              <w:r>
                <w:rPr>
                  <w:rFonts w:ascii="Arial" w:cs="Arial" w:eastAsia="Arial" w:hAnsi="Arial"/>
                  <w:sz w:val="14"/>
                  <w:szCs w:val="14"/>
                  <w:color w:val="0000FF"/>
                  <w:w w:val="95"/>
                </w:rPr>
                <w:t>Employment Agreement by and between the Company and Matthew Feierstein, dated July 1,</w:t>
              </w:r>
            </w:hyperlink>
          </w:p>
        </w:tc>
        <w:tc>
          <w:tcPr>
            <w:tcW w:w="6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000" w:type="dxa"/>
            <w:vAlign w:val="bottom"/>
            <w:tcBorders>
              <w:top w:val="single" w:sz="8" w:color="CCEEFF"/>
            </w:tcBorders>
            <w:vMerge w:val="continue"/>
            <w:shd w:val="clear" w:color="auto" w:fill="CCEEFF"/>
          </w:tcPr>
          <w:p>
            <w:pPr>
              <w:spacing w:after="0"/>
              <w:rPr>
                <w:sz w:val="7"/>
                <w:szCs w:val="7"/>
                <w:color w:val="auto"/>
              </w:rPr>
            </w:pPr>
          </w:p>
        </w:tc>
        <w:tc>
          <w:tcPr>
            <w:tcW w:w="160" w:type="dxa"/>
            <w:vAlign w:val="bottom"/>
            <w:tcBorders>
              <w:top w:val="single" w:sz="8" w:color="0000FF"/>
            </w:tcBorders>
            <w:vMerge w:val="restart"/>
            <w:shd w:val="clear" w:color="auto" w:fill="CCEEFF"/>
          </w:tcPr>
          <w:p>
            <w:pPr>
              <w:spacing w:after="0"/>
              <w:rPr>
                <w:sz w:val="7"/>
                <w:szCs w:val="7"/>
                <w:color w:val="auto"/>
              </w:rPr>
            </w:pPr>
          </w:p>
        </w:tc>
        <w:tc>
          <w:tcPr>
            <w:tcW w:w="280" w:type="dxa"/>
            <w:vAlign w:val="bottom"/>
            <w:tcBorders>
              <w:top w:val="single" w:sz="8" w:color="0000FF"/>
            </w:tcBorders>
            <w:vMerge w:val="restart"/>
            <w:shd w:val="clear" w:color="auto" w:fill="CCEEFF"/>
          </w:tcPr>
          <w:p>
            <w:pPr>
              <w:spacing w:after="0" w:line="155" w:lineRule="exact"/>
              <w:rPr>
                <w:rFonts w:ascii="Arial" w:cs="Arial" w:eastAsia="Arial" w:hAnsi="Arial"/>
                <w:sz w:val="14"/>
                <w:szCs w:val="14"/>
                <w:color w:val="0000FF"/>
                <w:w w:val="83"/>
              </w:rPr>
            </w:pPr>
            <w:hyperlink r:id="rId259">
              <w:r>
                <w:rPr>
                  <w:rFonts w:ascii="Arial" w:cs="Arial" w:eastAsia="Arial" w:hAnsi="Arial"/>
                  <w:sz w:val="14"/>
                  <w:szCs w:val="14"/>
                  <w:color w:val="0000FF"/>
                  <w:w w:val="83"/>
                </w:rPr>
                <w:t>2021</w:t>
              </w:r>
            </w:hyperlink>
          </w:p>
        </w:tc>
        <w:tc>
          <w:tcPr>
            <w:tcW w:w="88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480" w:type="dxa"/>
            <w:vAlign w:val="bottom"/>
            <w:tcBorders>
              <w:top w:val="single" w:sz="8" w:color="0000FF"/>
            </w:tcBorders>
            <w:shd w:val="clear" w:color="auto" w:fill="CCEEFF"/>
          </w:tcPr>
          <w:p>
            <w:pPr>
              <w:spacing w:after="0"/>
              <w:rPr>
                <w:sz w:val="7"/>
                <w:szCs w:val="7"/>
                <w:color w:val="auto"/>
              </w:rPr>
            </w:pPr>
          </w:p>
        </w:tc>
        <w:tc>
          <w:tcPr>
            <w:tcW w:w="30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20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240" w:type="dxa"/>
            <w:vAlign w:val="bottom"/>
            <w:tcBorders>
              <w:top w:val="single" w:sz="8" w:color="0000FF"/>
            </w:tcBorders>
            <w:shd w:val="clear" w:color="auto" w:fill="CCEEFF"/>
          </w:tcPr>
          <w:p>
            <w:pPr>
              <w:spacing w:after="0"/>
              <w:rPr>
                <w:sz w:val="7"/>
                <w:szCs w:val="7"/>
                <w:color w:val="auto"/>
              </w:rPr>
            </w:pPr>
          </w:p>
        </w:tc>
        <w:tc>
          <w:tcPr>
            <w:tcW w:w="540" w:type="dxa"/>
            <w:vAlign w:val="bottom"/>
            <w:tcBorders>
              <w:top w:val="single" w:sz="8" w:color="0000FF"/>
            </w:tcBorders>
            <w:shd w:val="clear" w:color="auto" w:fill="CCEEFF"/>
          </w:tcPr>
          <w:p>
            <w:pPr>
              <w:spacing w:after="0"/>
              <w:rPr>
                <w:sz w:val="7"/>
                <w:szCs w:val="7"/>
                <w:color w:val="auto"/>
              </w:rPr>
            </w:pPr>
          </w:p>
        </w:tc>
        <w:tc>
          <w:tcPr>
            <w:tcW w:w="50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48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6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340" w:type="dxa"/>
            <w:vAlign w:val="bottom"/>
            <w:tcBorders>
              <w:top w:val="single" w:sz="8" w:color="0000FF"/>
            </w:tcBorders>
            <w:shd w:val="clear" w:color="auto" w:fill="CCEEFF"/>
          </w:tcPr>
          <w:p>
            <w:pPr>
              <w:spacing w:after="0"/>
              <w:rPr>
                <w:sz w:val="7"/>
                <w:szCs w:val="7"/>
                <w:color w:val="auto"/>
              </w:rPr>
            </w:pPr>
          </w:p>
        </w:tc>
        <w:tc>
          <w:tcPr>
            <w:tcW w:w="120" w:type="dxa"/>
            <w:vAlign w:val="bottom"/>
            <w:tcBorders>
              <w:top w:val="single" w:sz="8" w:color="0000FF"/>
            </w:tcBorders>
            <w:shd w:val="clear" w:color="auto" w:fill="CCEEFF"/>
          </w:tcPr>
          <w:p>
            <w:pPr>
              <w:spacing w:after="0"/>
              <w:rPr>
                <w:sz w:val="7"/>
                <w:szCs w:val="7"/>
                <w:color w:val="auto"/>
              </w:rPr>
            </w:pPr>
          </w:p>
        </w:tc>
        <w:tc>
          <w:tcPr>
            <w:tcW w:w="20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4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0000FF"/>
            </w:tcBorders>
            <w:shd w:val="clear" w:color="auto" w:fill="CCEEFF"/>
          </w:tcPr>
          <w:p>
            <w:pPr>
              <w:spacing w:after="0"/>
              <w:rPr>
                <w:sz w:val="7"/>
                <w:szCs w:val="7"/>
                <w:color w:val="auto"/>
              </w:rPr>
            </w:pPr>
          </w:p>
        </w:tc>
        <w:tc>
          <w:tcPr>
            <w:tcW w:w="100" w:type="dxa"/>
            <w:vAlign w:val="bottom"/>
            <w:tcBorders>
              <w:top w:val="single" w:sz="8" w:color="0000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680" w:type="dxa"/>
            <w:vAlign w:val="bottom"/>
            <w:tcBorders>
              <w:top w:val="single" w:sz="8" w:color="CCEEFF"/>
            </w:tcBorders>
            <w:vMerge w:val="restart"/>
            <w:shd w:val="clear" w:color="auto" w:fill="CCEEFF"/>
          </w:tcPr>
          <w:p>
            <w:pPr>
              <w:jc w:val="center"/>
              <w:ind w:right="8"/>
              <w:spacing w:after="0" w:line="155" w:lineRule="exact"/>
              <w:rPr>
                <w:sz w:val="20"/>
                <w:szCs w:val="20"/>
                <w:color w:val="auto"/>
              </w:rPr>
            </w:pPr>
            <w:r>
              <w:rPr>
                <w:rFonts w:ascii="Arial" w:cs="Arial" w:eastAsia="Arial" w:hAnsi="Arial"/>
                <w:sz w:val="14"/>
                <w:szCs w:val="14"/>
                <w:color w:val="auto"/>
                <w:w w:val="94"/>
              </w:rPr>
              <w:t>10-K</w:t>
            </w:r>
          </w:p>
        </w:tc>
        <w:tc>
          <w:tcPr>
            <w:tcW w:w="1120" w:type="dxa"/>
            <w:vAlign w:val="bottom"/>
            <w:tcBorders>
              <w:top w:val="single" w:sz="8" w:color="CCEEFF"/>
            </w:tcBorders>
            <w:vMerge w:val="restart"/>
            <w:shd w:val="clear" w:color="auto" w:fill="CCEEFF"/>
          </w:tcPr>
          <w:p>
            <w:pPr>
              <w:jc w:val="center"/>
              <w:spacing w:after="0" w:line="155" w:lineRule="exact"/>
              <w:rPr>
                <w:sz w:val="20"/>
                <w:szCs w:val="20"/>
                <w:color w:val="auto"/>
              </w:rPr>
            </w:pPr>
            <w:r>
              <w:rPr>
                <w:rFonts w:ascii="Arial" w:cs="Arial" w:eastAsia="Arial" w:hAnsi="Arial"/>
                <w:sz w:val="14"/>
                <w:szCs w:val="14"/>
                <w:color w:val="auto"/>
                <w:w w:val="92"/>
              </w:rPr>
              <w:t>001-40575</w:t>
            </w:r>
          </w:p>
        </w:tc>
        <w:tc>
          <w:tcPr>
            <w:tcW w:w="880" w:type="dxa"/>
            <w:vAlign w:val="bottom"/>
            <w:tcBorders>
              <w:top w:val="single" w:sz="8" w:color="CCEEFF"/>
            </w:tcBorders>
            <w:vMerge w:val="restart"/>
            <w:shd w:val="clear" w:color="auto" w:fill="CCEEFF"/>
          </w:tcPr>
          <w:p>
            <w:pPr>
              <w:jc w:val="center"/>
              <w:spacing w:after="0" w:line="155" w:lineRule="exact"/>
              <w:rPr>
                <w:sz w:val="20"/>
                <w:szCs w:val="20"/>
                <w:color w:val="auto"/>
              </w:rPr>
            </w:pPr>
            <w:r>
              <w:rPr>
                <w:rFonts w:ascii="Arial" w:cs="Arial" w:eastAsia="Arial" w:hAnsi="Arial"/>
                <w:sz w:val="14"/>
                <w:szCs w:val="14"/>
                <w:color w:val="auto"/>
                <w:w w:val="88"/>
              </w:rPr>
              <w:t>10.12#</w:t>
            </w:r>
          </w:p>
        </w:tc>
        <w:tc>
          <w:tcPr>
            <w:tcW w:w="2040" w:type="dxa"/>
            <w:vAlign w:val="bottom"/>
            <w:tcBorders>
              <w:top w:val="single" w:sz="8" w:color="CCEEFF"/>
            </w:tcBorders>
            <w:vMerge w:val="restart"/>
            <w:shd w:val="clear" w:color="auto" w:fill="CCEEFF"/>
          </w:tcPr>
          <w:p>
            <w:pPr>
              <w:jc w:val="center"/>
              <w:ind w:right="1008"/>
              <w:spacing w:after="0" w:line="155" w:lineRule="exact"/>
              <w:rPr>
                <w:sz w:val="20"/>
                <w:szCs w:val="20"/>
                <w:color w:val="auto"/>
              </w:rPr>
            </w:pPr>
            <w:r>
              <w:rPr>
                <w:rFonts w:ascii="Arial" w:cs="Arial" w:eastAsia="Arial" w:hAnsi="Arial"/>
                <w:sz w:val="14"/>
                <w:szCs w:val="14"/>
                <w:color w:val="auto"/>
                <w:w w:val="94"/>
              </w:rPr>
              <w:t>3/15/22</w:t>
            </w:r>
          </w:p>
        </w:tc>
        <w:tc>
          <w:tcPr>
            <w:tcW w:w="0" w:type="dxa"/>
            <w:vAlign w:val="bottom"/>
          </w:tcPr>
          <w:p>
            <w:pPr>
              <w:spacing w:after="0"/>
              <w:rPr>
                <w:sz w:val="1"/>
                <w:szCs w:val="1"/>
                <w:color w:val="auto"/>
              </w:rPr>
            </w:pPr>
          </w:p>
        </w:tc>
      </w:tr>
      <w:tr>
        <w:trPr>
          <w:trHeight w:val="114"/>
        </w:trPr>
        <w:tc>
          <w:tcPr>
            <w:tcW w:w="10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vMerge w:val="continue"/>
            <w:shd w:val="clear" w:color="auto" w:fill="CCEEFF"/>
          </w:tcPr>
          <w:p>
            <w:pPr>
              <w:spacing w:after="0"/>
              <w:rPr>
                <w:sz w:val="9"/>
                <w:szCs w:val="9"/>
                <w:color w:val="auto"/>
              </w:rPr>
            </w:pPr>
          </w:p>
        </w:tc>
        <w:tc>
          <w:tcPr>
            <w:tcW w:w="280" w:type="dxa"/>
            <w:vAlign w:val="bottom"/>
            <w:tcBorders>
              <w:bottom w:val="single" w:sz="8" w:color="0000FF"/>
            </w:tcBorders>
            <w:vMerge w:val="continue"/>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CCEEFF"/>
            </w:tcBorders>
            <w:shd w:val="clear" w:color="auto" w:fill="CCEEFF"/>
          </w:tcPr>
          <w:p>
            <w:pPr>
              <w:spacing w:after="0"/>
              <w:rPr>
                <w:sz w:val="9"/>
                <w:szCs w:val="9"/>
                <w:color w:val="auto"/>
              </w:rPr>
            </w:pPr>
          </w:p>
        </w:tc>
        <w:tc>
          <w:tcPr>
            <w:tcW w:w="30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50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48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3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20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CCEEFF"/>
            </w:tcBorders>
            <w:shd w:val="clear" w:color="auto" w:fill="CCEEFF"/>
          </w:tcPr>
          <w:p>
            <w:pPr>
              <w:spacing w:after="0"/>
              <w:rPr>
                <w:sz w:val="9"/>
                <w:szCs w:val="9"/>
                <w:color w:val="auto"/>
              </w:rPr>
            </w:pPr>
          </w:p>
        </w:tc>
        <w:tc>
          <w:tcPr>
            <w:tcW w:w="680" w:type="dxa"/>
            <w:vAlign w:val="bottom"/>
            <w:tcBorders>
              <w:bottom w:val="single" w:sz="8" w:color="CCEEFF"/>
            </w:tcBorders>
            <w:vMerge w:val="continue"/>
            <w:shd w:val="clear" w:color="auto" w:fill="CCEEFF"/>
          </w:tcPr>
          <w:p>
            <w:pPr>
              <w:spacing w:after="0"/>
              <w:rPr>
                <w:sz w:val="9"/>
                <w:szCs w:val="9"/>
                <w:color w:val="auto"/>
              </w:rPr>
            </w:pPr>
          </w:p>
        </w:tc>
        <w:tc>
          <w:tcPr>
            <w:tcW w:w="1120" w:type="dxa"/>
            <w:vAlign w:val="bottom"/>
            <w:tcBorders>
              <w:bottom w:val="single" w:sz="8" w:color="CCEEFF"/>
            </w:tcBorders>
            <w:vMerge w:val="continue"/>
            <w:shd w:val="clear" w:color="auto" w:fill="CCEEFF"/>
          </w:tcPr>
          <w:p>
            <w:pPr>
              <w:spacing w:after="0"/>
              <w:rPr>
                <w:sz w:val="9"/>
                <w:szCs w:val="9"/>
                <w:color w:val="auto"/>
              </w:rPr>
            </w:pPr>
          </w:p>
        </w:tc>
        <w:tc>
          <w:tcPr>
            <w:tcW w:w="880" w:type="dxa"/>
            <w:vAlign w:val="bottom"/>
            <w:tcBorders>
              <w:bottom w:val="single" w:sz="8" w:color="CCEEFF"/>
            </w:tcBorders>
            <w:vMerge w:val="continue"/>
            <w:shd w:val="clear" w:color="auto" w:fill="CCEEFF"/>
          </w:tcPr>
          <w:p>
            <w:pPr>
              <w:spacing w:after="0"/>
              <w:rPr>
                <w:sz w:val="9"/>
                <w:szCs w:val="9"/>
                <w:color w:val="auto"/>
              </w:rPr>
            </w:pPr>
          </w:p>
        </w:tc>
        <w:tc>
          <w:tcPr>
            <w:tcW w:w="204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000" w:type="dxa"/>
            <w:vAlign w:val="bottom"/>
            <w:vMerge w:val="restart"/>
          </w:tcPr>
          <w:p>
            <w:pPr>
              <w:jc w:val="center"/>
              <w:ind w:right="48"/>
              <w:spacing w:after="0"/>
              <w:rPr>
                <w:sz w:val="20"/>
                <w:szCs w:val="20"/>
                <w:color w:val="auto"/>
              </w:rPr>
            </w:pPr>
            <w:r>
              <w:rPr>
                <w:rFonts w:ascii="Arial" w:cs="Arial" w:eastAsia="Arial" w:hAnsi="Arial"/>
                <w:sz w:val="14"/>
                <w:szCs w:val="14"/>
                <w:color w:val="auto"/>
                <w:w w:val="93"/>
              </w:rPr>
              <w:t>10.13#</w:t>
            </w:r>
          </w:p>
        </w:tc>
        <w:tc>
          <w:tcPr>
            <w:tcW w:w="5520" w:type="dxa"/>
            <w:vAlign w:val="bottom"/>
            <w:gridSpan w:val="29"/>
          </w:tcPr>
          <w:p>
            <w:pPr>
              <w:spacing w:after="0"/>
              <w:rPr>
                <w:rFonts w:ascii="Arial" w:cs="Arial" w:eastAsia="Arial" w:hAnsi="Arial"/>
                <w:sz w:val="14"/>
                <w:szCs w:val="14"/>
                <w:color w:val="0000FF"/>
                <w:w w:val="98"/>
              </w:rPr>
            </w:pPr>
            <w:hyperlink r:id="rId259">
              <w:r>
                <w:rPr>
                  <w:rFonts w:ascii="Arial" w:cs="Arial" w:eastAsia="Arial" w:hAnsi="Arial"/>
                  <w:sz w:val="14"/>
                  <w:szCs w:val="14"/>
                  <w:color w:val="0000FF"/>
                  <w:w w:val="98"/>
                </w:rPr>
                <w:t>Employment Agreement by and between the Company and Marc Thompson, dated July 1,</w:t>
              </w:r>
            </w:hyperlink>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1000" w:type="dxa"/>
            <w:vAlign w:val="bottom"/>
            <w:vMerge w:val="continue"/>
          </w:tcPr>
          <w:p>
            <w:pPr>
              <w:spacing w:after="0"/>
              <w:rPr>
                <w:sz w:val="7"/>
                <w:szCs w:val="7"/>
                <w:color w:val="auto"/>
              </w:rPr>
            </w:pPr>
          </w:p>
        </w:tc>
        <w:tc>
          <w:tcPr>
            <w:tcW w:w="440" w:type="dxa"/>
            <w:vAlign w:val="bottom"/>
            <w:tcBorders>
              <w:top w:val="single" w:sz="8" w:color="0000FF"/>
            </w:tcBorders>
            <w:gridSpan w:val="2"/>
            <w:vMerge w:val="restart"/>
          </w:tcPr>
          <w:p>
            <w:pPr>
              <w:ind w:left="160"/>
              <w:spacing w:after="0" w:line="155" w:lineRule="exact"/>
              <w:rPr>
                <w:rFonts w:ascii="Arial" w:cs="Arial" w:eastAsia="Arial" w:hAnsi="Arial"/>
                <w:sz w:val="14"/>
                <w:szCs w:val="14"/>
                <w:color w:val="0000FF"/>
                <w:w w:val="83"/>
              </w:rPr>
            </w:pPr>
            <w:hyperlink r:id="rId259">
              <w:r>
                <w:rPr>
                  <w:rFonts w:ascii="Arial" w:cs="Arial" w:eastAsia="Arial" w:hAnsi="Arial"/>
                  <w:sz w:val="14"/>
                  <w:szCs w:val="14"/>
                  <w:color w:val="0000FF"/>
                  <w:w w:val="83"/>
                </w:rPr>
                <w:t>2021</w:t>
              </w:r>
            </w:hyperlink>
          </w:p>
        </w:tc>
        <w:tc>
          <w:tcPr>
            <w:tcW w:w="88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80" w:type="dxa"/>
            <w:vAlign w:val="bottom"/>
            <w:tcBorders>
              <w:top w:val="single" w:sz="8" w:color="0000FF"/>
            </w:tcBorders>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0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240" w:type="dxa"/>
            <w:vAlign w:val="bottom"/>
            <w:tcBorders>
              <w:top w:val="single" w:sz="8" w:color="0000FF"/>
            </w:tcBorders>
          </w:tcPr>
          <w:p>
            <w:pPr>
              <w:spacing w:after="0"/>
              <w:rPr>
                <w:sz w:val="7"/>
                <w:szCs w:val="7"/>
                <w:color w:val="auto"/>
              </w:rPr>
            </w:pPr>
          </w:p>
        </w:tc>
        <w:tc>
          <w:tcPr>
            <w:tcW w:w="540" w:type="dxa"/>
            <w:vAlign w:val="bottom"/>
            <w:tcBorders>
              <w:top w:val="single" w:sz="8" w:color="0000FF"/>
            </w:tcBorders>
          </w:tcPr>
          <w:p>
            <w:pPr>
              <w:spacing w:after="0"/>
              <w:rPr>
                <w:sz w:val="7"/>
                <w:szCs w:val="7"/>
                <w:color w:val="auto"/>
              </w:rPr>
            </w:pPr>
          </w:p>
        </w:tc>
        <w:tc>
          <w:tcPr>
            <w:tcW w:w="50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48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6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340" w:type="dxa"/>
            <w:vAlign w:val="bottom"/>
            <w:tcBorders>
              <w:top w:val="single" w:sz="8" w:color="0000FF"/>
            </w:tcBorders>
          </w:tcPr>
          <w:p>
            <w:pPr>
              <w:spacing w:after="0"/>
              <w:rPr>
                <w:sz w:val="7"/>
                <w:szCs w:val="7"/>
                <w:color w:val="auto"/>
              </w:rPr>
            </w:pPr>
          </w:p>
        </w:tc>
        <w:tc>
          <w:tcPr>
            <w:tcW w:w="120" w:type="dxa"/>
            <w:vAlign w:val="bottom"/>
            <w:tcBorders>
              <w:top w:val="single" w:sz="8" w:color="0000FF"/>
            </w:tcBorders>
          </w:tcPr>
          <w:p>
            <w:pPr>
              <w:spacing w:after="0"/>
              <w:rPr>
                <w:sz w:val="7"/>
                <w:szCs w:val="7"/>
                <w:color w:val="auto"/>
              </w:rPr>
            </w:pPr>
          </w:p>
        </w:tc>
        <w:tc>
          <w:tcPr>
            <w:tcW w:w="200" w:type="dxa"/>
            <w:vAlign w:val="bottom"/>
            <w:tcBorders>
              <w:top w:val="single" w:sz="8" w:color="0000FF"/>
            </w:tcBorders>
          </w:tcPr>
          <w:p>
            <w:pPr>
              <w:spacing w:after="0"/>
              <w:rPr>
                <w:sz w:val="7"/>
                <w:szCs w:val="7"/>
                <w:color w:val="auto"/>
              </w:rPr>
            </w:pPr>
          </w:p>
        </w:tc>
        <w:tc>
          <w:tcPr>
            <w:tcW w:w="20" w:type="dxa"/>
            <w:vAlign w:val="bottom"/>
            <w:tcBorders>
              <w:top w:val="single" w:sz="8" w:color="0000FF"/>
            </w:tcBorders>
          </w:tcPr>
          <w:p>
            <w:pPr>
              <w:spacing w:after="0"/>
              <w:rPr>
                <w:sz w:val="7"/>
                <w:szCs w:val="7"/>
                <w:color w:val="auto"/>
              </w:rPr>
            </w:pPr>
          </w:p>
        </w:tc>
        <w:tc>
          <w:tcPr>
            <w:tcW w:w="40" w:type="dxa"/>
            <w:vAlign w:val="bottom"/>
            <w:tcBorders>
              <w:top w:val="single" w:sz="8" w:color="0000FF"/>
            </w:tcBorders>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80" w:type="dxa"/>
            <w:vAlign w:val="bottom"/>
            <w:vMerge w:val="restart"/>
          </w:tcPr>
          <w:p>
            <w:pPr>
              <w:jc w:val="center"/>
              <w:ind w:right="8"/>
              <w:spacing w:after="0" w:line="155" w:lineRule="exact"/>
              <w:rPr>
                <w:sz w:val="20"/>
                <w:szCs w:val="20"/>
                <w:color w:val="auto"/>
              </w:rPr>
            </w:pPr>
            <w:r>
              <w:rPr>
                <w:rFonts w:ascii="Arial" w:cs="Arial" w:eastAsia="Arial" w:hAnsi="Arial"/>
                <w:sz w:val="14"/>
                <w:szCs w:val="14"/>
                <w:color w:val="auto"/>
                <w:w w:val="94"/>
              </w:rPr>
              <w:t>10-K</w:t>
            </w:r>
          </w:p>
        </w:tc>
        <w:tc>
          <w:tcPr>
            <w:tcW w:w="112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92"/>
              </w:rPr>
              <w:t>001-40575</w:t>
            </w:r>
          </w:p>
        </w:tc>
        <w:tc>
          <w:tcPr>
            <w:tcW w:w="88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88"/>
              </w:rPr>
              <w:t>10.13#</w:t>
            </w:r>
          </w:p>
        </w:tc>
        <w:tc>
          <w:tcPr>
            <w:tcW w:w="2040" w:type="dxa"/>
            <w:vAlign w:val="bottom"/>
            <w:vMerge w:val="restart"/>
          </w:tcPr>
          <w:p>
            <w:pPr>
              <w:jc w:val="center"/>
              <w:ind w:right="1008"/>
              <w:spacing w:after="0" w:line="155" w:lineRule="exact"/>
              <w:rPr>
                <w:sz w:val="20"/>
                <w:szCs w:val="20"/>
                <w:color w:val="auto"/>
              </w:rPr>
            </w:pPr>
            <w:r>
              <w:rPr>
                <w:rFonts w:ascii="Arial" w:cs="Arial" w:eastAsia="Arial" w:hAnsi="Arial"/>
                <w:sz w:val="14"/>
                <w:szCs w:val="14"/>
                <w:color w:val="auto"/>
                <w:w w:val="94"/>
              </w:rPr>
              <w:t>3/15/22</w:t>
            </w:r>
          </w:p>
        </w:tc>
        <w:tc>
          <w:tcPr>
            <w:tcW w:w="0" w:type="dxa"/>
            <w:vAlign w:val="bottom"/>
          </w:tcPr>
          <w:p>
            <w:pPr>
              <w:spacing w:after="0"/>
              <w:rPr>
                <w:sz w:val="1"/>
                <w:szCs w:val="1"/>
                <w:color w:val="auto"/>
              </w:rPr>
            </w:pPr>
          </w:p>
        </w:tc>
      </w:tr>
      <w:tr>
        <w:trPr>
          <w:trHeight w:val="66"/>
        </w:trPr>
        <w:tc>
          <w:tcPr>
            <w:tcW w:w="100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4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8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000" w:type="dxa"/>
            <w:vAlign w:val="bottom"/>
            <w:tcBorders>
              <w:bottom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color w:val="auto"/>
                <w:w w:val="93"/>
              </w:rPr>
              <w:t>10.14#</w:t>
            </w:r>
          </w:p>
        </w:tc>
        <w:tc>
          <w:tcPr>
            <w:tcW w:w="2520" w:type="dxa"/>
            <w:vAlign w:val="bottom"/>
            <w:tcBorders>
              <w:bottom w:val="single" w:sz="8" w:color="0000FF"/>
            </w:tcBorders>
            <w:gridSpan w:val="10"/>
            <w:shd w:val="clear" w:color="auto" w:fill="CCEEFF"/>
          </w:tcPr>
          <w:p>
            <w:pPr>
              <w:spacing w:after="0"/>
              <w:rPr>
                <w:rFonts w:ascii="Arial" w:cs="Arial" w:eastAsia="Arial" w:hAnsi="Arial"/>
                <w:sz w:val="14"/>
                <w:szCs w:val="14"/>
                <w:color w:val="0000FF"/>
                <w:w w:val="93"/>
              </w:rPr>
            </w:pPr>
            <w:hyperlink r:id="rId276">
              <w:r>
                <w:rPr>
                  <w:rFonts w:ascii="Arial" w:cs="Arial" w:eastAsia="Arial" w:hAnsi="Arial"/>
                  <w:sz w:val="14"/>
                  <w:szCs w:val="14"/>
                  <w:color w:val="0000FF"/>
                  <w:w w:val="93"/>
                </w:rPr>
                <w:t>PaySimple, Inc. 2008 Equity Incentive Plan</w:t>
              </w:r>
            </w:hyperlink>
          </w:p>
        </w:tc>
        <w:tc>
          <w:tcPr>
            <w:tcW w:w="3000" w:type="dxa"/>
            <w:vAlign w:val="bottom"/>
            <w:tcBorders>
              <w:bottom w:val="single" w:sz="8" w:color="CCEEFF"/>
            </w:tcBorders>
            <w:gridSpan w:val="19"/>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ind w:right="8"/>
              <w:spacing w:after="0"/>
              <w:rPr>
                <w:sz w:val="20"/>
                <w:szCs w:val="20"/>
                <w:color w:val="auto"/>
              </w:rPr>
            </w:pPr>
            <w:r>
              <w:rPr>
                <w:rFonts w:ascii="Arial" w:cs="Arial" w:eastAsia="Arial" w:hAnsi="Arial"/>
                <w:sz w:val="14"/>
                <w:szCs w:val="14"/>
                <w:color w:val="auto"/>
                <w:w w:val="91"/>
              </w:rPr>
              <w:t>S-8</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333-268321</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99.3</w:t>
            </w:r>
          </w:p>
        </w:tc>
        <w:tc>
          <w:tcPr>
            <w:tcW w:w="2040" w:type="dxa"/>
            <w:vAlign w:val="bottom"/>
            <w:tcBorders>
              <w:bottom w:val="single" w:sz="8" w:color="CCEEFF"/>
            </w:tcBorders>
            <w:shd w:val="clear" w:color="auto" w:fill="CCEEFF"/>
          </w:tcPr>
          <w:p>
            <w:pPr>
              <w:jc w:val="center"/>
              <w:ind w:right="988"/>
              <w:spacing w:after="0"/>
              <w:rPr>
                <w:sz w:val="20"/>
                <w:szCs w:val="20"/>
                <w:color w:val="auto"/>
              </w:rPr>
            </w:pPr>
            <w:r>
              <w:rPr>
                <w:rFonts w:ascii="Arial" w:cs="Arial" w:eastAsia="Arial" w:hAnsi="Arial"/>
                <w:sz w:val="14"/>
                <w:szCs w:val="14"/>
                <w:color w:val="auto"/>
                <w:w w:val="91"/>
              </w:rPr>
              <w:t>11/14/22</w:t>
            </w:r>
          </w:p>
        </w:tc>
        <w:tc>
          <w:tcPr>
            <w:tcW w:w="0" w:type="dxa"/>
            <w:vAlign w:val="bottom"/>
          </w:tcPr>
          <w:p>
            <w:pPr>
              <w:spacing w:after="0"/>
              <w:rPr>
                <w:sz w:val="1"/>
                <w:szCs w:val="1"/>
                <w:color w:val="auto"/>
              </w:rPr>
            </w:pPr>
          </w:p>
        </w:tc>
      </w:tr>
      <w:tr>
        <w:trPr>
          <w:trHeight w:val="162"/>
        </w:trPr>
        <w:tc>
          <w:tcPr>
            <w:tcW w:w="1000" w:type="dxa"/>
            <w:vAlign w:val="bottom"/>
          </w:tcPr>
          <w:p>
            <w:pPr>
              <w:jc w:val="center"/>
              <w:ind w:right="48"/>
              <w:spacing w:after="0"/>
              <w:rPr>
                <w:sz w:val="20"/>
                <w:szCs w:val="20"/>
                <w:color w:val="auto"/>
              </w:rPr>
            </w:pPr>
            <w:r>
              <w:rPr>
                <w:rFonts w:ascii="Arial" w:cs="Arial" w:eastAsia="Arial" w:hAnsi="Arial"/>
                <w:sz w:val="14"/>
                <w:szCs w:val="14"/>
                <w:color w:val="auto"/>
                <w:w w:val="91"/>
              </w:rPr>
              <w:t>10.15</w:t>
            </w:r>
          </w:p>
        </w:tc>
        <w:tc>
          <w:tcPr>
            <w:tcW w:w="5520" w:type="dxa"/>
            <w:vAlign w:val="bottom"/>
            <w:gridSpan w:val="29"/>
          </w:tcPr>
          <w:p>
            <w:pPr>
              <w:spacing w:after="0"/>
              <w:rPr>
                <w:rFonts w:ascii="Arial" w:cs="Arial" w:eastAsia="Arial" w:hAnsi="Arial"/>
                <w:sz w:val="14"/>
                <w:szCs w:val="14"/>
                <w:color w:val="0000FF"/>
              </w:rPr>
            </w:pPr>
            <w:hyperlink r:id="rId277">
              <w:r>
                <w:rPr>
                  <w:rFonts w:ascii="Arial" w:cs="Arial" w:eastAsia="Arial" w:hAnsi="Arial"/>
                  <w:sz w:val="14"/>
                  <w:szCs w:val="14"/>
                  <w:color w:val="0000FF"/>
                </w:rPr>
                <w:t>Credit Agreement, dated July 6, 2021</w:t>
              </w:r>
            </w:hyperlink>
          </w:p>
        </w:tc>
        <w:tc>
          <w:tcPr>
            <w:tcW w:w="680" w:type="dxa"/>
            <w:vAlign w:val="bottom"/>
          </w:tcPr>
          <w:p>
            <w:pPr>
              <w:jc w:val="center"/>
              <w:ind w:right="8"/>
              <w:spacing w:after="0"/>
              <w:rPr>
                <w:sz w:val="20"/>
                <w:szCs w:val="20"/>
                <w:color w:val="auto"/>
              </w:rPr>
            </w:pPr>
            <w:r>
              <w:rPr>
                <w:rFonts w:ascii="Arial" w:cs="Arial" w:eastAsia="Arial" w:hAnsi="Arial"/>
                <w:sz w:val="14"/>
                <w:szCs w:val="14"/>
                <w:color w:val="auto"/>
              </w:rPr>
              <w:t>8-K</w:t>
            </w: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001-40575</w:t>
            </w:r>
          </w:p>
        </w:tc>
        <w:tc>
          <w:tcPr>
            <w:tcW w:w="880" w:type="dxa"/>
            <w:vAlign w:val="bottom"/>
          </w:tcPr>
          <w:p>
            <w:pPr>
              <w:jc w:val="center"/>
              <w:spacing w:after="0"/>
              <w:rPr>
                <w:sz w:val="20"/>
                <w:szCs w:val="20"/>
                <w:color w:val="auto"/>
              </w:rPr>
            </w:pPr>
            <w:r>
              <w:rPr>
                <w:rFonts w:ascii="Arial" w:cs="Arial" w:eastAsia="Arial" w:hAnsi="Arial"/>
                <w:sz w:val="14"/>
                <w:szCs w:val="14"/>
                <w:color w:val="auto"/>
                <w:w w:val="95"/>
              </w:rPr>
              <w:t>10.3</w:t>
            </w:r>
          </w:p>
        </w:tc>
        <w:tc>
          <w:tcPr>
            <w:tcW w:w="2040" w:type="dxa"/>
            <w:vAlign w:val="bottom"/>
          </w:tcPr>
          <w:p>
            <w:pPr>
              <w:jc w:val="center"/>
              <w:ind w:right="988"/>
              <w:spacing w:after="0"/>
              <w:rPr>
                <w:sz w:val="20"/>
                <w:szCs w:val="20"/>
                <w:color w:val="auto"/>
              </w:rPr>
            </w:pPr>
            <w:r>
              <w:rPr>
                <w:rFonts w:ascii="Arial" w:cs="Arial" w:eastAsia="Arial" w:hAnsi="Arial"/>
                <w:sz w:val="14"/>
                <w:szCs w:val="14"/>
                <w:color w:val="auto"/>
                <w:w w:val="97"/>
              </w:rPr>
              <w:t>7/9/21</w:t>
            </w: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000" w:type="dxa"/>
            <w:vAlign w:val="bottom"/>
            <w:tcBorders>
              <w:bottom w:val="single" w:sz="8" w:color="CCEEFF"/>
            </w:tcBorders>
            <w:shd w:val="clear" w:color="auto" w:fill="CCEEFF"/>
          </w:tcPr>
          <w:p>
            <w:pPr>
              <w:spacing w:after="0"/>
              <w:rPr>
                <w:sz w:val="14"/>
                <w:szCs w:val="14"/>
                <w:color w:val="auto"/>
              </w:rPr>
            </w:pPr>
          </w:p>
        </w:tc>
        <w:tc>
          <w:tcPr>
            <w:tcW w:w="5380" w:type="dxa"/>
            <w:vAlign w:val="bottom"/>
            <w:tcBorders>
              <w:bottom w:val="single" w:sz="8" w:color="0000FF"/>
            </w:tcBorders>
            <w:gridSpan w:val="28"/>
            <w:shd w:val="clear" w:color="auto" w:fill="CCEEFF"/>
          </w:tcPr>
          <w:p>
            <w:pPr>
              <w:spacing w:after="0"/>
              <w:rPr>
                <w:rFonts w:ascii="Arial" w:cs="Arial" w:eastAsia="Arial" w:hAnsi="Arial"/>
                <w:sz w:val="14"/>
                <w:szCs w:val="14"/>
                <w:color w:val="0000FF"/>
                <w:w w:val="92"/>
              </w:rPr>
            </w:pPr>
            <w:hyperlink r:id="rId278">
              <w:r>
                <w:rPr>
                  <w:rFonts w:ascii="Arial" w:cs="Arial" w:eastAsia="Arial" w:hAnsi="Arial"/>
                  <w:sz w:val="14"/>
                  <w:szCs w:val="14"/>
                  <w:color w:val="0000FF"/>
                  <w:w w:val="92"/>
                </w:rPr>
                <w:t>Amendment No. 1, dated as of November 23, 2021, to the Credit Agreement, dated as of July</w:t>
              </w:r>
            </w:hyperlink>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20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CCEEFF"/>
            </w:tcBorders>
            <w:vMerge w:val="restart"/>
            <w:shd w:val="clear" w:color="auto" w:fill="CCEEFF"/>
          </w:tcPr>
          <w:p>
            <w:pPr>
              <w:jc w:val="center"/>
              <w:ind w:right="28"/>
              <w:spacing w:after="0"/>
              <w:rPr>
                <w:sz w:val="20"/>
                <w:szCs w:val="20"/>
                <w:color w:val="auto"/>
              </w:rPr>
            </w:pPr>
            <w:r>
              <w:rPr>
                <w:rFonts w:ascii="Arial" w:cs="Arial" w:eastAsia="Arial" w:hAnsi="Arial"/>
                <w:sz w:val="14"/>
                <w:szCs w:val="14"/>
                <w:color w:val="auto"/>
                <w:w w:val="89"/>
              </w:rPr>
              <w:t>10.16.1</w:t>
            </w:r>
          </w:p>
        </w:tc>
        <w:tc>
          <w:tcPr>
            <w:tcW w:w="160" w:type="dxa"/>
            <w:vAlign w:val="bottom"/>
            <w:tcBorders>
              <w:bottom w:val="single" w:sz="8" w:color="CCEEFF"/>
            </w:tcBorders>
            <w:shd w:val="clear" w:color="auto" w:fill="CCEEFF"/>
          </w:tcPr>
          <w:p>
            <w:pPr>
              <w:spacing w:after="0"/>
              <w:rPr>
                <w:sz w:val="13"/>
                <w:szCs w:val="13"/>
                <w:color w:val="auto"/>
              </w:rPr>
            </w:pPr>
          </w:p>
        </w:tc>
        <w:tc>
          <w:tcPr>
            <w:tcW w:w="5080" w:type="dxa"/>
            <w:vAlign w:val="bottom"/>
            <w:tcBorders>
              <w:bottom w:val="single" w:sz="8" w:color="0000FF"/>
            </w:tcBorders>
            <w:gridSpan w:val="24"/>
            <w:shd w:val="clear" w:color="auto" w:fill="CCEEFF"/>
          </w:tcPr>
          <w:p>
            <w:pPr>
              <w:spacing w:after="0" w:line="155" w:lineRule="exact"/>
              <w:rPr>
                <w:rFonts w:ascii="Arial" w:cs="Arial" w:eastAsia="Arial" w:hAnsi="Arial"/>
                <w:sz w:val="14"/>
                <w:szCs w:val="14"/>
                <w:color w:val="0000FF"/>
                <w:w w:val="93"/>
              </w:rPr>
            </w:pPr>
            <w:hyperlink r:id="rId278">
              <w:r>
                <w:rPr>
                  <w:rFonts w:ascii="Arial" w:cs="Arial" w:eastAsia="Arial" w:hAnsi="Arial"/>
                  <w:sz w:val="14"/>
                  <w:szCs w:val="14"/>
                  <w:color w:val="0000FF"/>
                  <w:w w:val="93"/>
                </w:rPr>
                <w:t>6, 2021, among EverCommerce Intermediate Inc., EverCommerce Solutions Inc., Royal</w:t>
              </w:r>
            </w:hyperlink>
          </w:p>
        </w:tc>
        <w:tc>
          <w:tcPr>
            <w:tcW w:w="280" w:type="dxa"/>
            <w:vAlign w:val="bottom"/>
            <w:tcBorders>
              <w:bottom w:val="single" w:sz="8" w:color="CCEEFF"/>
            </w:tcBorders>
            <w:gridSpan w:val="4"/>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20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100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980" w:type="dxa"/>
            <w:vAlign w:val="bottom"/>
            <w:gridSpan w:val="20"/>
            <w:vMerge w:val="restart"/>
            <w:shd w:val="clear" w:color="auto" w:fill="CCEEFF"/>
          </w:tcPr>
          <w:p>
            <w:pPr>
              <w:spacing w:after="0" w:line="155" w:lineRule="exact"/>
              <w:rPr>
                <w:rFonts w:ascii="Arial" w:cs="Arial" w:eastAsia="Arial" w:hAnsi="Arial"/>
                <w:sz w:val="14"/>
                <w:szCs w:val="14"/>
                <w:color w:val="0000FF"/>
                <w:w w:val="91"/>
              </w:rPr>
            </w:pPr>
            <w:hyperlink r:id="rId278">
              <w:r>
                <w:rPr>
                  <w:rFonts w:ascii="Arial" w:cs="Arial" w:eastAsia="Arial" w:hAnsi="Arial"/>
                  <w:sz w:val="14"/>
                  <w:szCs w:val="14"/>
                  <w:color w:val="0000FF"/>
                  <w:w w:val="91"/>
                </w:rPr>
                <w:t>Bank of Canada, as administrative agent and collateral agent, and the other parties and</w:t>
              </w:r>
            </w:hyperlink>
          </w:p>
        </w:tc>
        <w:tc>
          <w:tcPr>
            <w:tcW w:w="380" w:type="dxa"/>
            <w:vAlign w:val="bottom"/>
            <w:gridSpan w:val="8"/>
            <w:vMerge w:val="restart"/>
            <w:shd w:val="clear" w:color="auto" w:fill="CCEEFF"/>
          </w:tcPr>
          <w:p>
            <w:pPr>
              <w:spacing w:after="0"/>
              <w:rPr>
                <w:sz w:val="7"/>
                <w:szCs w:val="7"/>
                <w:color w:val="auto"/>
              </w:rPr>
            </w:pPr>
          </w:p>
        </w:tc>
        <w:tc>
          <w:tcPr>
            <w:tcW w:w="680" w:type="dxa"/>
            <w:vAlign w:val="bottom"/>
            <w:vMerge w:val="restart"/>
            <w:shd w:val="clear" w:color="auto" w:fill="CCEEFF"/>
          </w:tcPr>
          <w:p>
            <w:pPr>
              <w:jc w:val="center"/>
              <w:ind w:right="8"/>
              <w:spacing w:after="0"/>
              <w:rPr>
                <w:sz w:val="20"/>
                <w:szCs w:val="20"/>
                <w:color w:val="auto"/>
              </w:rPr>
            </w:pPr>
            <w:r>
              <w:rPr>
                <w:rFonts w:ascii="Arial" w:cs="Arial" w:eastAsia="Arial" w:hAnsi="Arial"/>
                <w:sz w:val="14"/>
                <w:szCs w:val="14"/>
                <w:color w:val="auto"/>
              </w:rPr>
              <w:t>8-K</w:t>
            </w:r>
          </w:p>
        </w:tc>
        <w:tc>
          <w:tcPr>
            <w:tcW w:w="112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2"/>
              </w:rPr>
              <w:t>001-40575</w:t>
            </w:r>
          </w:p>
        </w:tc>
        <w:tc>
          <w:tcPr>
            <w:tcW w:w="880" w:type="dxa"/>
            <w:vAlign w:val="bottom"/>
            <w:vMerge w:val="restart"/>
            <w:shd w:val="clear" w:color="auto" w:fill="CCEEFF"/>
          </w:tcPr>
          <w:p>
            <w:pPr>
              <w:jc w:val="center"/>
              <w:spacing w:after="0"/>
              <w:rPr>
                <w:sz w:val="20"/>
                <w:szCs w:val="20"/>
                <w:color w:val="auto"/>
              </w:rPr>
            </w:pPr>
            <w:r>
              <w:rPr>
                <w:rFonts w:ascii="Arial" w:cs="Arial" w:eastAsia="Arial" w:hAnsi="Arial"/>
                <w:sz w:val="14"/>
                <w:szCs w:val="14"/>
                <w:color w:val="auto"/>
                <w:w w:val="95"/>
              </w:rPr>
              <w:t>10.1</w:t>
            </w:r>
          </w:p>
        </w:tc>
        <w:tc>
          <w:tcPr>
            <w:tcW w:w="2040" w:type="dxa"/>
            <w:vAlign w:val="bottom"/>
            <w:vMerge w:val="restart"/>
            <w:shd w:val="clear" w:color="auto" w:fill="CCEEFF"/>
          </w:tcPr>
          <w:p>
            <w:pPr>
              <w:jc w:val="center"/>
              <w:ind w:right="988"/>
              <w:spacing w:after="0"/>
              <w:rPr>
                <w:sz w:val="20"/>
                <w:szCs w:val="20"/>
                <w:color w:val="auto"/>
              </w:rPr>
            </w:pPr>
            <w:r>
              <w:rPr>
                <w:rFonts w:ascii="Arial" w:cs="Arial" w:eastAsia="Arial" w:hAnsi="Arial"/>
                <w:sz w:val="14"/>
                <w:szCs w:val="14"/>
                <w:color w:val="auto"/>
                <w:w w:val="91"/>
              </w:rPr>
              <w:t>11/23/21</w:t>
            </w:r>
          </w:p>
        </w:tc>
        <w:tc>
          <w:tcPr>
            <w:tcW w:w="0" w:type="dxa"/>
            <w:vAlign w:val="bottom"/>
          </w:tcPr>
          <w:p>
            <w:pPr>
              <w:spacing w:after="0"/>
              <w:rPr>
                <w:sz w:val="1"/>
                <w:szCs w:val="1"/>
                <w:color w:val="auto"/>
              </w:rPr>
            </w:pPr>
          </w:p>
        </w:tc>
      </w:tr>
      <w:tr>
        <w:trPr>
          <w:trHeight w:val="66"/>
        </w:trPr>
        <w:tc>
          <w:tcPr>
            <w:tcW w:w="10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4980" w:type="dxa"/>
            <w:vAlign w:val="bottom"/>
            <w:tcBorders>
              <w:bottom w:val="single" w:sz="8" w:color="0000FF"/>
            </w:tcBorders>
            <w:gridSpan w:val="20"/>
            <w:vMerge w:val="continue"/>
            <w:shd w:val="clear" w:color="auto" w:fill="CCEEFF"/>
          </w:tcPr>
          <w:p>
            <w:pPr>
              <w:spacing w:after="0"/>
              <w:rPr>
                <w:sz w:val="5"/>
                <w:szCs w:val="5"/>
                <w:color w:val="auto"/>
              </w:rPr>
            </w:pPr>
          </w:p>
        </w:tc>
        <w:tc>
          <w:tcPr>
            <w:tcW w:w="380" w:type="dxa"/>
            <w:vAlign w:val="bottom"/>
            <w:tcBorders>
              <w:bottom w:val="single" w:sz="8" w:color="CCEEFF"/>
            </w:tcBorders>
            <w:gridSpan w:val="8"/>
            <w:vMerge w:val="continue"/>
            <w:shd w:val="clear" w:color="auto" w:fill="CCEEFF"/>
          </w:tcPr>
          <w:p>
            <w:pPr>
              <w:spacing w:after="0"/>
              <w:rPr>
                <w:sz w:val="5"/>
                <w:szCs w:val="5"/>
                <w:color w:val="auto"/>
              </w:rPr>
            </w:pPr>
          </w:p>
        </w:tc>
        <w:tc>
          <w:tcPr>
            <w:tcW w:w="680" w:type="dxa"/>
            <w:vAlign w:val="bottom"/>
            <w:tcBorders>
              <w:bottom w:val="single" w:sz="8" w:color="CCEEFF"/>
            </w:tcBorders>
            <w:vMerge w:val="continue"/>
            <w:shd w:val="clear" w:color="auto" w:fill="CCEEFF"/>
          </w:tcPr>
          <w:p>
            <w:pPr>
              <w:spacing w:after="0"/>
              <w:rPr>
                <w:sz w:val="5"/>
                <w:szCs w:val="5"/>
                <w:color w:val="auto"/>
              </w:rPr>
            </w:pPr>
          </w:p>
        </w:tc>
        <w:tc>
          <w:tcPr>
            <w:tcW w:w="1120" w:type="dxa"/>
            <w:vAlign w:val="bottom"/>
            <w:tcBorders>
              <w:bottom w:val="single" w:sz="8" w:color="CCEEFF"/>
            </w:tcBorders>
            <w:vMerge w:val="continue"/>
            <w:shd w:val="clear" w:color="auto" w:fill="CCEEFF"/>
          </w:tcPr>
          <w:p>
            <w:pPr>
              <w:spacing w:after="0"/>
              <w:rPr>
                <w:sz w:val="5"/>
                <w:szCs w:val="5"/>
                <w:color w:val="auto"/>
              </w:rPr>
            </w:pPr>
          </w:p>
        </w:tc>
        <w:tc>
          <w:tcPr>
            <w:tcW w:w="880" w:type="dxa"/>
            <w:vAlign w:val="bottom"/>
            <w:tcBorders>
              <w:bottom w:val="single" w:sz="8" w:color="CCEEFF"/>
            </w:tcBorders>
            <w:vMerge w:val="continue"/>
            <w:shd w:val="clear" w:color="auto" w:fill="CCEEFF"/>
          </w:tcPr>
          <w:p>
            <w:pPr>
              <w:spacing w:after="0"/>
              <w:rPr>
                <w:sz w:val="5"/>
                <w:szCs w:val="5"/>
                <w:color w:val="auto"/>
              </w:rPr>
            </w:pPr>
          </w:p>
        </w:tc>
        <w:tc>
          <w:tcPr>
            <w:tcW w:w="204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0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360" w:type="dxa"/>
            <w:vAlign w:val="bottom"/>
            <w:gridSpan w:val="28"/>
            <w:shd w:val="clear" w:color="auto" w:fill="CCEEFF"/>
          </w:tcPr>
          <w:p>
            <w:pPr>
              <w:spacing w:after="0" w:line="155" w:lineRule="exact"/>
              <w:rPr>
                <w:rFonts w:ascii="Arial" w:cs="Arial" w:eastAsia="Arial" w:hAnsi="Arial"/>
                <w:sz w:val="14"/>
                <w:szCs w:val="14"/>
                <w:color w:val="0000FF"/>
              </w:rPr>
            </w:pPr>
            <w:hyperlink r:id="rId278">
              <w:r>
                <w:rPr>
                  <w:rFonts w:ascii="Arial" w:cs="Arial" w:eastAsia="Arial" w:hAnsi="Arial"/>
                  <w:sz w:val="14"/>
                  <w:szCs w:val="14"/>
                  <w:color w:val="0000FF"/>
                </w:rPr>
                <w:t>lenders party thereto</w:t>
              </w:r>
            </w:hyperlink>
          </w:p>
        </w:tc>
        <w:tc>
          <w:tcPr>
            <w:tcW w:w="680" w:type="dxa"/>
            <w:vAlign w:val="bottom"/>
            <w:vMerge w:val="continue"/>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2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0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20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000" w:type="dxa"/>
            <w:vAlign w:val="bottom"/>
          </w:tcPr>
          <w:p>
            <w:pPr>
              <w:jc w:val="center"/>
              <w:ind w:right="48"/>
              <w:spacing w:after="0"/>
              <w:rPr>
                <w:sz w:val="20"/>
                <w:szCs w:val="20"/>
                <w:color w:val="auto"/>
              </w:rPr>
            </w:pPr>
            <w:r>
              <w:rPr>
                <w:rFonts w:ascii="Arial" w:cs="Arial" w:eastAsia="Arial" w:hAnsi="Arial"/>
                <w:sz w:val="14"/>
                <w:szCs w:val="14"/>
                <w:color w:val="auto"/>
                <w:w w:val="91"/>
              </w:rPr>
              <w:t>10.17</w:t>
            </w:r>
          </w:p>
        </w:tc>
        <w:tc>
          <w:tcPr>
            <w:tcW w:w="5520" w:type="dxa"/>
            <w:vAlign w:val="bottom"/>
            <w:gridSpan w:val="29"/>
          </w:tcPr>
          <w:p>
            <w:pPr>
              <w:spacing w:after="0"/>
              <w:rPr>
                <w:rFonts w:ascii="Arial" w:cs="Arial" w:eastAsia="Arial" w:hAnsi="Arial"/>
                <w:sz w:val="14"/>
                <w:szCs w:val="14"/>
                <w:color w:val="0000FF"/>
              </w:rPr>
            </w:pPr>
            <w:hyperlink r:id="rId279">
              <w:r>
                <w:rPr>
                  <w:rFonts w:ascii="Arial" w:cs="Arial" w:eastAsia="Arial" w:hAnsi="Arial"/>
                  <w:sz w:val="14"/>
                  <w:szCs w:val="14"/>
                  <w:color w:val="0000FF"/>
                </w:rPr>
                <w:t>Collateral Agreement, dated July 6, 2021</w:t>
              </w:r>
            </w:hyperlink>
          </w:p>
        </w:tc>
        <w:tc>
          <w:tcPr>
            <w:tcW w:w="680" w:type="dxa"/>
            <w:vAlign w:val="bottom"/>
          </w:tcPr>
          <w:p>
            <w:pPr>
              <w:jc w:val="center"/>
              <w:ind w:right="8"/>
              <w:spacing w:after="0"/>
              <w:rPr>
                <w:sz w:val="20"/>
                <w:szCs w:val="20"/>
                <w:color w:val="auto"/>
              </w:rPr>
            </w:pPr>
            <w:r>
              <w:rPr>
                <w:rFonts w:ascii="Arial" w:cs="Arial" w:eastAsia="Arial" w:hAnsi="Arial"/>
                <w:sz w:val="14"/>
                <w:szCs w:val="14"/>
                <w:color w:val="auto"/>
              </w:rPr>
              <w:t>8-K</w:t>
            </w: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001-40575</w:t>
            </w:r>
          </w:p>
        </w:tc>
        <w:tc>
          <w:tcPr>
            <w:tcW w:w="880" w:type="dxa"/>
            <w:vAlign w:val="bottom"/>
          </w:tcPr>
          <w:p>
            <w:pPr>
              <w:jc w:val="center"/>
              <w:spacing w:after="0"/>
              <w:rPr>
                <w:sz w:val="20"/>
                <w:szCs w:val="20"/>
                <w:color w:val="auto"/>
              </w:rPr>
            </w:pPr>
            <w:r>
              <w:rPr>
                <w:rFonts w:ascii="Arial" w:cs="Arial" w:eastAsia="Arial" w:hAnsi="Arial"/>
                <w:sz w:val="14"/>
                <w:szCs w:val="14"/>
                <w:color w:val="auto"/>
                <w:w w:val="95"/>
              </w:rPr>
              <w:t>10.4</w:t>
            </w:r>
          </w:p>
        </w:tc>
        <w:tc>
          <w:tcPr>
            <w:tcW w:w="2040" w:type="dxa"/>
            <w:vAlign w:val="bottom"/>
          </w:tcPr>
          <w:p>
            <w:pPr>
              <w:jc w:val="center"/>
              <w:ind w:right="988"/>
              <w:spacing w:after="0"/>
              <w:rPr>
                <w:sz w:val="20"/>
                <w:szCs w:val="20"/>
                <w:color w:val="auto"/>
              </w:rPr>
            </w:pPr>
            <w:r>
              <w:rPr>
                <w:rFonts w:ascii="Arial" w:cs="Arial" w:eastAsia="Arial" w:hAnsi="Arial"/>
                <w:sz w:val="14"/>
                <w:szCs w:val="14"/>
                <w:color w:val="auto"/>
                <w:w w:val="97"/>
              </w:rPr>
              <w:t>7/9/21</w:t>
            </w: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000" w:type="dxa"/>
            <w:vAlign w:val="bottom"/>
            <w:tcBorders>
              <w:bottom w:val="single" w:sz="8" w:color="CCEEFF"/>
            </w:tcBorders>
            <w:shd w:val="clear" w:color="auto" w:fill="CCEEFF"/>
          </w:tcPr>
          <w:p>
            <w:pPr>
              <w:jc w:val="center"/>
              <w:ind w:right="48"/>
              <w:spacing w:after="0"/>
              <w:rPr>
                <w:sz w:val="20"/>
                <w:szCs w:val="20"/>
                <w:color w:val="auto"/>
              </w:rPr>
            </w:pPr>
            <w:r>
              <w:rPr>
                <w:rFonts w:ascii="Arial" w:cs="Arial" w:eastAsia="Arial" w:hAnsi="Arial"/>
                <w:sz w:val="14"/>
                <w:szCs w:val="14"/>
                <w:color w:val="auto"/>
                <w:w w:val="91"/>
              </w:rPr>
              <w:t>10.18</w:t>
            </w:r>
          </w:p>
        </w:tc>
        <w:tc>
          <w:tcPr>
            <w:tcW w:w="2400" w:type="dxa"/>
            <w:vAlign w:val="bottom"/>
            <w:tcBorders>
              <w:bottom w:val="single" w:sz="8" w:color="0000FF"/>
            </w:tcBorders>
            <w:gridSpan w:val="9"/>
            <w:shd w:val="clear" w:color="auto" w:fill="CCEEFF"/>
          </w:tcPr>
          <w:p>
            <w:pPr>
              <w:spacing w:after="0"/>
              <w:rPr>
                <w:rFonts w:ascii="Arial" w:cs="Arial" w:eastAsia="Arial" w:hAnsi="Arial"/>
                <w:sz w:val="14"/>
                <w:szCs w:val="14"/>
                <w:color w:val="0000FF"/>
                <w:w w:val="91"/>
              </w:rPr>
            </w:pPr>
            <w:hyperlink r:id="rId280">
              <w:r>
                <w:rPr>
                  <w:rFonts w:ascii="Arial" w:cs="Arial" w:eastAsia="Arial" w:hAnsi="Arial"/>
                  <w:sz w:val="14"/>
                  <w:szCs w:val="14"/>
                  <w:color w:val="0000FF"/>
                  <w:w w:val="91"/>
                </w:rPr>
                <w:t>Guarantee Agreement, dated July 6, 2021</w:t>
              </w:r>
            </w:hyperlink>
          </w:p>
        </w:tc>
        <w:tc>
          <w:tcPr>
            <w:tcW w:w="3120" w:type="dxa"/>
            <w:vAlign w:val="bottom"/>
            <w:tcBorders>
              <w:bottom w:val="single" w:sz="8" w:color="CCEEFF"/>
            </w:tcBorders>
            <w:gridSpan w:val="20"/>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center"/>
              <w:ind w:right="8"/>
              <w:spacing w:after="0"/>
              <w:rPr>
                <w:sz w:val="20"/>
                <w:szCs w:val="20"/>
                <w:color w:val="auto"/>
              </w:rPr>
            </w:pPr>
            <w:r>
              <w:rPr>
                <w:rFonts w:ascii="Arial" w:cs="Arial" w:eastAsia="Arial" w:hAnsi="Arial"/>
                <w:sz w:val="14"/>
                <w:szCs w:val="14"/>
                <w:color w:val="auto"/>
              </w:rPr>
              <w:t>8-K</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2"/>
              </w:rPr>
              <w:t>001-40575</w:t>
            </w:r>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5"/>
              </w:rPr>
              <w:t>10.5</w:t>
            </w:r>
          </w:p>
        </w:tc>
        <w:tc>
          <w:tcPr>
            <w:tcW w:w="2040" w:type="dxa"/>
            <w:vAlign w:val="bottom"/>
            <w:tcBorders>
              <w:bottom w:val="single" w:sz="8" w:color="CCEEFF"/>
            </w:tcBorders>
            <w:shd w:val="clear" w:color="auto" w:fill="CCEEFF"/>
          </w:tcPr>
          <w:p>
            <w:pPr>
              <w:jc w:val="center"/>
              <w:ind w:right="988"/>
              <w:spacing w:after="0"/>
              <w:rPr>
                <w:sz w:val="20"/>
                <w:szCs w:val="20"/>
                <w:color w:val="auto"/>
              </w:rPr>
            </w:pPr>
            <w:r>
              <w:rPr>
                <w:rFonts w:ascii="Arial" w:cs="Arial" w:eastAsia="Arial" w:hAnsi="Arial"/>
                <w:sz w:val="14"/>
                <w:szCs w:val="14"/>
                <w:color w:val="auto"/>
                <w:w w:val="97"/>
              </w:rPr>
              <w:t>7/9/21</w:t>
            </w:r>
          </w:p>
        </w:tc>
        <w:tc>
          <w:tcPr>
            <w:tcW w:w="0" w:type="dxa"/>
            <w:vAlign w:val="bottom"/>
          </w:tcPr>
          <w:p>
            <w:pPr>
              <w:spacing w:after="0"/>
              <w:rPr>
                <w:sz w:val="1"/>
                <w:szCs w:val="1"/>
                <w:color w:val="auto"/>
              </w:rPr>
            </w:pPr>
          </w:p>
        </w:tc>
      </w:tr>
      <w:tr>
        <w:trPr>
          <w:trHeight w:val="162"/>
        </w:trPr>
        <w:tc>
          <w:tcPr>
            <w:tcW w:w="1000" w:type="dxa"/>
            <w:vAlign w:val="bottom"/>
            <w:vMerge w:val="restart"/>
          </w:tcPr>
          <w:p>
            <w:pPr>
              <w:jc w:val="center"/>
              <w:ind w:right="28"/>
              <w:spacing w:after="0"/>
              <w:rPr>
                <w:sz w:val="20"/>
                <w:szCs w:val="20"/>
                <w:color w:val="auto"/>
              </w:rPr>
            </w:pPr>
            <w:r>
              <w:rPr>
                <w:rFonts w:ascii="Arial" w:cs="Arial" w:eastAsia="Arial" w:hAnsi="Arial"/>
                <w:sz w:val="14"/>
                <w:szCs w:val="14"/>
                <w:color w:val="auto"/>
                <w:w w:val="91"/>
              </w:rPr>
              <w:t>10.19^</w:t>
            </w:r>
          </w:p>
        </w:tc>
        <w:tc>
          <w:tcPr>
            <w:tcW w:w="5260" w:type="dxa"/>
            <w:vAlign w:val="bottom"/>
            <w:tcBorders>
              <w:bottom w:val="single" w:sz="8" w:color="0000FF"/>
            </w:tcBorders>
            <w:gridSpan w:val="26"/>
          </w:tcPr>
          <w:p>
            <w:pPr>
              <w:spacing w:after="0"/>
              <w:rPr>
                <w:rFonts w:ascii="Arial" w:cs="Arial" w:eastAsia="Arial" w:hAnsi="Arial"/>
                <w:sz w:val="14"/>
                <w:szCs w:val="14"/>
                <w:color w:val="0000FF"/>
                <w:w w:val="93"/>
              </w:rPr>
            </w:pPr>
            <w:hyperlink r:id="rId281">
              <w:r>
                <w:rPr>
                  <w:rFonts w:ascii="Arial" w:cs="Arial" w:eastAsia="Arial" w:hAnsi="Arial"/>
                  <w:sz w:val="14"/>
                  <w:szCs w:val="14"/>
                  <w:color w:val="0000FF"/>
                  <w:w w:val="93"/>
                </w:rPr>
                <w:t>Office Lease by and among EverCommerce Solutions Inc. and BCSP RINO Property LLC,</w:t>
              </w:r>
            </w:hyperlink>
          </w:p>
        </w:tc>
        <w:tc>
          <w:tcPr>
            <w:tcW w:w="260" w:type="dxa"/>
            <w:vAlign w:val="bottom"/>
            <w:gridSpan w:val="3"/>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10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360" w:type="dxa"/>
            <w:vAlign w:val="bottom"/>
            <w:gridSpan w:val="28"/>
            <w:vMerge w:val="restart"/>
          </w:tcPr>
          <w:p>
            <w:pPr>
              <w:spacing w:after="0" w:line="155" w:lineRule="exact"/>
              <w:rPr>
                <w:rFonts w:ascii="Arial" w:cs="Arial" w:eastAsia="Arial" w:hAnsi="Arial"/>
                <w:sz w:val="14"/>
                <w:szCs w:val="14"/>
                <w:color w:val="0000FF"/>
              </w:rPr>
            </w:pPr>
            <w:hyperlink r:id="rId281">
              <w:r>
                <w:rPr>
                  <w:rFonts w:ascii="Arial" w:cs="Arial" w:eastAsia="Arial" w:hAnsi="Arial"/>
                  <w:sz w:val="14"/>
                  <w:szCs w:val="14"/>
                  <w:color w:val="0000FF"/>
                </w:rPr>
                <w:t>dated June 13, 2019</w:t>
              </w:r>
            </w:hyperlink>
          </w:p>
        </w:tc>
        <w:tc>
          <w:tcPr>
            <w:tcW w:w="680" w:type="dxa"/>
            <w:vAlign w:val="bottom"/>
            <w:vMerge w:val="restart"/>
          </w:tcPr>
          <w:p>
            <w:pPr>
              <w:jc w:val="center"/>
              <w:ind w:right="8"/>
              <w:spacing w:after="0" w:line="155" w:lineRule="exact"/>
              <w:rPr>
                <w:sz w:val="20"/>
                <w:szCs w:val="20"/>
                <w:color w:val="auto"/>
              </w:rPr>
            </w:pPr>
            <w:r>
              <w:rPr>
                <w:rFonts w:ascii="Arial" w:cs="Arial" w:eastAsia="Arial" w:hAnsi="Arial"/>
                <w:sz w:val="14"/>
                <w:szCs w:val="14"/>
                <w:color w:val="auto"/>
                <w:w w:val="91"/>
              </w:rPr>
              <w:t>S-1</w:t>
            </w:r>
          </w:p>
        </w:tc>
        <w:tc>
          <w:tcPr>
            <w:tcW w:w="112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93"/>
              </w:rPr>
              <w:t>333-256641</w:t>
            </w:r>
          </w:p>
        </w:tc>
        <w:tc>
          <w:tcPr>
            <w:tcW w:w="880" w:type="dxa"/>
            <w:vAlign w:val="bottom"/>
            <w:vMerge w:val="restart"/>
          </w:tcPr>
          <w:p>
            <w:pPr>
              <w:jc w:val="center"/>
              <w:spacing w:after="0" w:line="155" w:lineRule="exact"/>
              <w:rPr>
                <w:sz w:val="20"/>
                <w:szCs w:val="20"/>
                <w:color w:val="auto"/>
              </w:rPr>
            </w:pPr>
            <w:r>
              <w:rPr>
                <w:rFonts w:ascii="Arial" w:cs="Arial" w:eastAsia="Arial" w:hAnsi="Arial"/>
                <w:sz w:val="14"/>
                <w:szCs w:val="14"/>
                <w:color w:val="auto"/>
                <w:w w:val="96"/>
              </w:rPr>
              <w:t>10.13</w:t>
            </w:r>
          </w:p>
        </w:tc>
        <w:tc>
          <w:tcPr>
            <w:tcW w:w="2040" w:type="dxa"/>
            <w:vAlign w:val="bottom"/>
            <w:vMerge w:val="restart"/>
          </w:tcPr>
          <w:p>
            <w:pPr>
              <w:jc w:val="center"/>
              <w:ind w:right="1008"/>
              <w:spacing w:after="0" w:line="155" w:lineRule="exact"/>
              <w:rPr>
                <w:sz w:val="20"/>
                <w:szCs w:val="20"/>
                <w:color w:val="auto"/>
              </w:rPr>
            </w:pPr>
            <w:r>
              <w:rPr>
                <w:rFonts w:ascii="Arial" w:cs="Arial" w:eastAsia="Arial" w:hAnsi="Arial"/>
                <w:sz w:val="14"/>
                <w:szCs w:val="14"/>
                <w:color w:val="auto"/>
                <w:w w:val="94"/>
              </w:rPr>
              <w:t>5/28/21</w:t>
            </w:r>
          </w:p>
        </w:tc>
        <w:tc>
          <w:tcPr>
            <w:tcW w:w="0" w:type="dxa"/>
            <w:vAlign w:val="bottom"/>
          </w:tcPr>
          <w:p>
            <w:pPr>
              <w:spacing w:after="0"/>
              <w:rPr>
                <w:sz w:val="1"/>
                <w:szCs w:val="1"/>
                <w:color w:val="auto"/>
              </w:rPr>
            </w:pPr>
          </w:p>
        </w:tc>
      </w:tr>
      <w:tr>
        <w:trPr>
          <w:trHeight w:val="66"/>
        </w:trPr>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360" w:type="dxa"/>
            <w:vAlign w:val="bottom"/>
            <w:gridSpan w:val="28"/>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1120" w:type="dxa"/>
            <w:vAlign w:val="bottom"/>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20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00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5"/>
              </w:rPr>
              <w:t>21.1</w:t>
            </w:r>
          </w:p>
        </w:tc>
        <w:tc>
          <w:tcPr>
            <w:tcW w:w="2120" w:type="dxa"/>
            <w:vAlign w:val="bottom"/>
            <w:tcBorders>
              <w:bottom w:val="single" w:sz="8" w:color="0000FF"/>
            </w:tcBorders>
            <w:gridSpan w:val="6"/>
            <w:shd w:val="clear" w:color="auto" w:fill="CCEEFF"/>
          </w:tcPr>
          <w:p>
            <w:pPr>
              <w:spacing w:after="0"/>
              <w:rPr>
                <w:sz w:val="20"/>
                <w:szCs w:val="20"/>
                <w:color w:val="auto"/>
              </w:rPr>
            </w:pPr>
            <w:r>
              <w:rPr>
                <w:rFonts w:ascii="Arial" w:cs="Arial" w:eastAsia="Arial" w:hAnsi="Arial"/>
                <w:sz w:val="14"/>
                <w:szCs w:val="14"/>
                <w:color w:val="0000FF"/>
                <w:w w:val="93"/>
              </w:rPr>
              <w:t>List of Subsidiaries of the Registrant</w:t>
            </w:r>
          </w:p>
        </w:tc>
        <w:tc>
          <w:tcPr>
            <w:tcW w:w="3400" w:type="dxa"/>
            <w:vAlign w:val="bottom"/>
            <w:tcBorders>
              <w:bottom w:val="single" w:sz="8" w:color="CCEEFF"/>
            </w:tcBorders>
            <w:gridSpan w:val="23"/>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center"/>
              <w:ind w:left="9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00" w:type="dxa"/>
            <w:vAlign w:val="bottom"/>
          </w:tcPr>
          <w:p>
            <w:pPr>
              <w:jc w:val="center"/>
              <w:ind w:right="28"/>
              <w:spacing w:after="0"/>
              <w:rPr>
                <w:sz w:val="20"/>
                <w:szCs w:val="20"/>
                <w:color w:val="auto"/>
              </w:rPr>
            </w:pPr>
            <w:r>
              <w:rPr>
                <w:rFonts w:ascii="Arial" w:cs="Arial" w:eastAsia="Arial" w:hAnsi="Arial"/>
                <w:sz w:val="14"/>
                <w:szCs w:val="14"/>
                <w:color w:val="auto"/>
                <w:w w:val="95"/>
              </w:rPr>
              <w:t>23.1</w:t>
            </w:r>
          </w:p>
        </w:tc>
        <w:tc>
          <w:tcPr>
            <w:tcW w:w="5520" w:type="dxa"/>
            <w:vAlign w:val="bottom"/>
            <w:gridSpan w:val="29"/>
          </w:tcPr>
          <w:p>
            <w:pPr>
              <w:spacing w:after="0"/>
              <w:rPr>
                <w:sz w:val="20"/>
                <w:szCs w:val="20"/>
                <w:color w:val="auto"/>
              </w:rPr>
            </w:pPr>
            <w:r>
              <w:rPr>
                <w:rFonts w:ascii="Arial" w:cs="Arial" w:eastAsia="Arial" w:hAnsi="Arial"/>
                <w:sz w:val="14"/>
                <w:szCs w:val="14"/>
                <w:color w:val="0000FF"/>
              </w:rPr>
              <w:t>Consent of Ernst &amp; Young LLP</w:t>
            </w: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40" w:type="dxa"/>
            <w:vAlign w:val="bottom"/>
          </w:tcPr>
          <w:p>
            <w:pPr>
              <w:jc w:val="center"/>
              <w:ind w:left="9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0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5"/>
              </w:rPr>
              <w:t>31.1</w:t>
            </w:r>
          </w:p>
        </w:tc>
        <w:tc>
          <w:tcPr>
            <w:tcW w:w="5520" w:type="dxa"/>
            <w:vAlign w:val="bottom"/>
            <w:gridSpan w:val="29"/>
            <w:shd w:val="clear" w:color="auto" w:fill="CCEEFF"/>
          </w:tcPr>
          <w:p>
            <w:pPr>
              <w:spacing w:after="0"/>
              <w:rPr>
                <w:sz w:val="20"/>
                <w:szCs w:val="20"/>
                <w:color w:val="auto"/>
              </w:rPr>
            </w:pPr>
            <w:r>
              <w:rPr>
                <w:rFonts w:ascii="Arial" w:cs="Arial" w:eastAsia="Arial" w:hAnsi="Arial"/>
                <w:sz w:val="14"/>
                <w:szCs w:val="14"/>
                <w:color w:val="0000FF"/>
              </w:rPr>
              <w:t>Certification of Chief Executive Officer pursuant to Rule 13a-14(a)/15d-14(a)</w:t>
            </w:r>
          </w:p>
        </w:tc>
        <w:tc>
          <w:tcPr>
            <w:tcW w:w="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ind w:left="9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00" w:type="dxa"/>
            <w:vAlign w:val="bottom"/>
            <w:tcBorders>
              <w:top w:val="single" w:sz="8" w:color="CCEEFF"/>
            </w:tcBorders>
          </w:tcPr>
          <w:p>
            <w:pPr>
              <w:jc w:val="center"/>
              <w:ind w:right="28"/>
              <w:spacing w:after="0"/>
              <w:rPr>
                <w:sz w:val="20"/>
                <w:szCs w:val="20"/>
                <w:color w:val="auto"/>
              </w:rPr>
            </w:pPr>
            <w:r>
              <w:rPr>
                <w:rFonts w:ascii="Arial" w:cs="Arial" w:eastAsia="Arial" w:hAnsi="Arial"/>
                <w:sz w:val="14"/>
                <w:szCs w:val="14"/>
                <w:color w:val="auto"/>
                <w:w w:val="95"/>
              </w:rPr>
              <w:t>31.2</w:t>
            </w:r>
          </w:p>
        </w:tc>
        <w:tc>
          <w:tcPr>
            <w:tcW w:w="4480" w:type="dxa"/>
            <w:vAlign w:val="bottom"/>
            <w:tcBorders>
              <w:top w:val="single" w:sz="8" w:color="0000FF"/>
            </w:tcBorders>
            <w:gridSpan w:val="18"/>
          </w:tcPr>
          <w:p>
            <w:pPr>
              <w:spacing w:after="0"/>
              <w:rPr>
                <w:sz w:val="20"/>
                <w:szCs w:val="20"/>
                <w:color w:val="auto"/>
              </w:rPr>
            </w:pPr>
            <w:r>
              <w:rPr>
                <w:rFonts w:ascii="Arial" w:cs="Arial" w:eastAsia="Arial" w:hAnsi="Arial"/>
                <w:sz w:val="14"/>
                <w:szCs w:val="14"/>
                <w:color w:val="0000FF"/>
                <w:w w:val="95"/>
              </w:rPr>
              <w:t>Certification of Chief Financial Officer pursuant to Rule 13a-14(a)/15d-14(a)</w:t>
            </w:r>
          </w:p>
        </w:tc>
        <w:tc>
          <w:tcPr>
            <w:tcW w:w="1040" w:type="dxa"/>
            <w:vAlign w:val="bottom"/>
            <w:tcBorders>
              <w:top w:val="single" w:sz="8" w:color="CCEEFF"/>
            </w:tcBorders>
            <w:gridSpan w:val="11"/>
          </w:tcPr>
          <w:p>
            <w:pPr>
              <w:spacing w:after="0"/>
              <w:rPr>
                <w:sz w:val="14"/>
                <w:szCs w:val="14"/>
                <w:color w:val="auto"/>
              </w:rPr>
            </w:pPr>
          </w:p>
        </w:tc>
        <w:tc>
          <w:tcPr>
            <w:tcW w:w="680" w:type="dxa"/>
            <w:vAlign w:val="bottom"/>
            <w:tcBorders>
              <w:top w:val="single" w:sz="8" w:color="CCEEFF"/>
            </w:tcBorders>
          </w:tcPr>
          <w:p>
            <w:pPr>
              <w:spacing w:after="0"/>
              <w:rPr>
                <w:sz w:val="14"/>
                <w:szCs w:val="14"/>
                <w:color w:val="auto"/>
              </w:rPr>
            </w:pPr>
          </w:p>
        </w:tc>
        <w:tc>
          <w:tcPr>
            <w:tcW w:w="1120" w:type="dxa"/>
            <w:vAlign w:val="bottom"/>
            <w:tcBorders>
              <w:top w:val="single" w:sz="8" w:color="CCEEFF"/>
            </w:tcBorders>
          </w:tcPr>
          <w:p>
            <w:pPr>
              <w:spacing w:after="0"/>
              <w:rPr>
                <w:sz w:val="14"/>
                <w:szCs w:val="14"/>
                <w:color w:val="auto"/>
              </w:rPr>
            </w:pPr>
          </w:p>
        </w:tc>
        <w:tc>
          <w:tcPr>
            <w:tcW w:w="880" w:type="dxa"/>
            <w:vAlign w:val="bottom"/>
            <w:tcBorders>
              <w:top w:val="single" w:sz="8" w:color="CCEEFF"/>
            </w:tcBorders>
          </w:tcPr>
          <w:p>
            <w:pPr>
              <w:spacing w:after="0"/>
              <w:rPr>
                <w:sz w:val="14"/>
                <w:szCs w:val="14"/>
                <w:color w:val="auto"/>
              </w:rPr>
            </w:pPr>
          </w:p>
        </w:tc>
        <w:tc>
          <w:tcPr>
            <w:tcW w:w="2040" w:type="dxa"/>
            <w:vAlign w:val="bottom"/>
            <w:tcBorders>
              <w:top w:val="single" w:sz="8" w:color="CCEEFF"/>
            </w:tcBorders>
          </w:tcPr>
          <w:p>
            <w:pPr>
              <w:jc w:val="center"/>
              <w:ind w:left="9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00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5"/>
              </w:rPr>
              <w:t>32.1</w:t>
            </w:r>
          </w:p>
        </w:tc>
        <w:tc>
          <w:tcPr>
            <w:tcW w:w="4380" w:type="dxa"/>
            <w:vAlign w:val="bottom"/>
            <w:tcBorders>
              <w:bottom w:val="single" w:sz="8" w:color="0000FF"/>
            </w:tcBorders>
            <w:gridSpan w:val="16"/>
            <w:shd w:val="clear" w:color="auto" w:fill="CCEEFF"/>
          </w:tcPr>
          <w:p>
            <w:pPr>
              <w:spacing w:after="0"/>
              <w:rPr>
                <w:sz w:val="20"/>
                <w:szCs w:val="20"/>
                <w:color w:val="auto"/>
              </w:rPr>
            </w:pPr>
            <w:r>
              <w:rPr>
                <w:rFonts w:ascii="Arial" w:cs="Arial" w:eastAsia="Arial" w:hAnsi="Arial"/>
                <w:sz w:val="14"/>
                <w:szCs w:val="14"/>
                <w:color w:val="0000FF"/>
                <w:w w:val="94"/>
              </w:rPr>
              <w:t>Certification of Chief Executive Officer pursuant to 18 U.S.C. Section 1350</w:t>
            </w:r>
          </w:p>
        </w:tc>
        <w:tc>
          <w:tcPr>
            <w:tcW w:w="1140" w:type="dxa"/>
            <w:vAlign w:val="bottom"/>
            <w:tcBorders>
              <w:bottom w:val="single" w:sz="8" w:color="CCEEFF"/>
            </w:tcBorders>
            <w:gridSpan w:val="13"/>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center"/>
              <w:ind w:left="9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000" w:type="dxa"/>
            <w:vAlign w:val="bottom"/>
          </w:tcPr>
          <w:p>
            <w:pPr>
              <w:jc w:val="center"/>
              <w:ind w:right="28"/>
              <w:spacing w:after="0"/>
              <w:rPr>
                <w:sz w:val="20"/>
                <w:szCs w:val="20"/>
                <w:color w:val="auto"/>
              </w:rPr>
            </w:pPr>
            <w:r>
              <w:rPr>
                <w:rFonts w:ascii="Arial" w:cs="Arial" w:eastAsia="Arial" w:hAnsi="Arial"/>
                <w:sz w:val="14"/>
                <w:szCs w:val="14"/>
                <w:color w:val="auto"/>
                <w:w w:val="95"/>
              </w:rPr>
              <w:t>32.2</w:t>
            </w:r>
          </w:p>
        </w:tc>
        <w:tc>
          <w:tcPr>
            <w:tcW w:w="5520" w:type="dxa"/>
            <w:vAlign w:val="bottom"/>
            <w:gridSpan w:val="29"/>
          </w:tcPr>
          <w:p>
            <w:pPr>
              <w:spacing w:after="0"/>
              <w:rPr>
                <w:sz w:val="20"/>
                <w:szCs w:val="20"/>
                <w:color w:val="auto"/>
              </w:rPr>
            </w:pPr>
            <w:r>
              <w:rPr>
                <w:rFonts w:ascii="Arial" w:cs="Arial" w:eastAsia="Arial" w:hAnsi="Arial"/>
                <w:sz w:val="14"/>
                <w:szCs w:val="14"/>
                <w:color w:val="0000FF"/>
              </w:rPr>
              <w:t>Certification of Chief Financial Officer pursuant to 18 U.S.C. Section 1350</w:t>
            </w: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40" w:type="dxa"/>
            <w:vAlign w:val="bottom"/>
          </w:tcPr>
          <w:p>
            <w:pPr>
              <w:jc w:val="center"/>
              <w:ind w:left="9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48"/>
        </w:trPr>
        <w:tc>
          <w:tcPr>
            <w:tcW w:w="1000" w:type="dxa"/>
            <w:vAlign w:val="bottom"/>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000" w:type="dxa"/>
            <w:vAlign w:val="bottom"/>
            <w:vMerge w:val="restart"/>
            <w:shd w:val="clear" w:color="auto" w:fill="CCEEFF"/>
          </w:tcPr>
          <w:p>
            <w:pPr>
              <w:jc w:val="center"/>
              <w:ind w:right="48"/>
              <w:spacing w:after="0"/>
              <w:rPr>
                <w:sz w:val="20"/>
                <w:szCs w:val="20"/>
                <w:color w:val="auto"/>
              </w:rPr>
            </w:pPr>
            <w:r>
              <w:rPr>
                <w:rFonts w:ascii="Arial" w:cs="Arial" w:eastAsia="Arial" w:hAnsi="Arial"/>
                <w:sz w:val="14"/>
                <w:szCs w:val="14"/>
                <w:color w:val="auto"/>
                <w:w w:val="94"/>
              </w:rPr>
              <w:t>101.INS</w:t>
            </w:r>
          </w:p>
        </w:tc>
        <w:tc>
          <w:tcPr>
            <w:tcW w:w="5520" w:type="dxa"/>
            <w:vAlign w:val="bottom"/>
            <w:gridSpan w:val="29"/>
            <w:shd w:val="clear" w:color="auto" w:fill="CCEEFF"/>
          </w:tcPr>
          <w:p>
            <w:pPr>
              <w:spacing w:after="0"/>
              <w:rPr>
                <w:sz w:val="20"/>
                <w:szCs w:val="20"/>
                <w:color w:val="auto"/>
              </w:rPr>
            </w:pPr>
            <w:r>
              <w:rPr>
                <w:rFonts w:ascii="Arial" w:cs="Arial" w:eastAsia="Arial" w:hAnsi="Arial"/>
                <w:sz w:val="14"/>
                <w:szCs w:val="14"/>
                <w:color w:val="auto"/>
                <w:w w:val="97"/>
              </w:rPr>
              <w:t>Inline XBRL Instance Document – the instance document does not appear in the Interactive</w:t>
            </w:r>
          </w:p>
        </w:tc>
        <w:tc>
          <w:tcPr>
            <w:tcW w:w="6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100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5360" w:type="dxa"/>
            <w:vAlign w:val="bottom"/>
            <w:gridSpan w:val="28"/>
            <w:vMerge w:val="restart"/>
            <w:shd w:val="clear" w:color="auto" w:fill="CCEEFF"/>
          </w:tcPr>
          <w:p>
            <w:pPr>
              <w:spacing w:after="0"/>
              <w:rPr>
                <w:sz w:val="20"/>
                <w:szCs w:val="20"/>
                <w:color w:val="auto"/>
              </w:rPr>
            </w:pPr>
            <w:r>
              <w:rPr>
                <w:rFonts w:ascii="Arial" w:cs="Arial" w:eastAsia="Arial" w:hAnsi="Arial"/>
                <w:sz w:val="14"/>
                <w:szCs w:val="14"/>
                <w:color w:val="auto"/>
              </w:rPr>
              <w:t>Data File because its XBRL tags are embedded within the Inline XBRL document</w:t>
            </w:r>
          </w:p>
        </w:tc>
        <w:tc>
          <w:tcPr>
            <w:tcW w:w="68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2040" w:type="dxa"/>
            <w:vAlign w:val="bottom"/>
            <w:vMerge w:val="restart"/>
            <w:shd w:val="clear" w:color="auto" w:fill="CCEEFF"/>
          </w:tcPr>
          <w:p>
            <w:pPr>
              <w:jc w:val="center"/>
              <w:ind w:left="9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4"/>
        </w:trPr>
        <w:tc>
          <w:tcPr>
            <w:tcW w:w="100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5360" w:type="dxa"/>
            <w:vAlign w:val="bottom"/>
            <w:tcBorders>
              <w:bottom w:val="single" w:sz="8" w:color="CCEEFF"/>
            </w:tcBorders>
            <w:gridSpan w:val="28"/>
            <w:vMerge w:val="continue"/>
            <w:shd w:val="clear" w:color="auto" w:fill="CCEEFF"/>
          </w:tcPr>
          <w:p>
            <w:pPr>
              <w:spacing w:after="0"/>
              <w:rPr>
                <w:sz w:val="9"/>
                <w:szCs w:val="9"/>
                <w:color w:val="auto"/>
              </w:rPr>
            </w:pPr>
          </w:p>
        </w:tc>
        <w:tc>
          <w:tcPr>
            <w:tcW w:w="680" w:type="dxa"/>
            <w:vAlign w:val="bottom"/>
            <w:tcBorders>
              <w:bottom w:val="single" w:sz="8" w:color="CCEEFF"/>
            </w:tcBorders>
            <w:shd w:val="clear" w:color="auto" w:fill="CCEEFF"/>
          </w:tcPr>
          <w:p>
            <w:pPr>
              <w:spacing w:after="0"/>
              <w:rPr>
                <w:sz w:val="9"/>
                <w:szCs w:val="9"/>
                <w:color w:val="auto"/>
              </w:rPr>
            </w:pPr>
          </w:p>
        </w:tc>
        <w:tc>
          <w:tcPr>
            <w:tcW w:w="112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204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1000" w:type="dxa"/>
            <w:vAlign w:val="bottom"/>
          </w:tcPr>
          <w:p>
            <w:pPr>
              <w:jc w:val="center"/>
              <w:ind w:right="28"/>
              <w:spacing w:after="0"/>
              <w:rPr>
                <w:sz w:val="20"/>
                <w:szCs w:val="20"/>
                <w:color w:val="auto"/>
              </w:rPr>
            </w:pPr>
            <w:r>
              <w:rPr>
                <w:rFonts w:ascii="Arial" w:cs="Arial" w:eastAsia="Arial" w:hAnsi="Arial"/>
                <w:sz w:val="14"/>
                <w:szCs w:val="14"/>
                <w:color w:val="auto"/>
                <w:w w:val="94"/>
              </w:rPr>
              <w:t>101.SCH</w:t>
            </w:r>
          </w:p>
        </w:tc>
        <w:tc>
          <w:tcPr>
            <w:tcW w:w="5520" w:type="dxa"/>
            <w:vAlign w:val="bottom"/>
            <w:gridSpan w:val="29"/>
          </w:tcPr>
          <w:p>
            <w:pPr>
              <w:spacing w:after="0"/>
              <w:rPr>
                <w:sz w:val="20"/>
                <w:szCs w:val="20"/>
                <w:color w:val="auto"/>
              </w:rPr>
            </w:pPr>
            <w:r>
              <w:rPr>
                <w:rFonts w:ascii="Arial" w:cs="Arial" w:eastAsia="Arial" w:hAnsi="Arial"/>
                <w:sz w:val="14"/>
                <w:szCs w:val="14"/>
                <w:color w:val="auto"/>
              </w:rPr>
              <w:t>Inline XBRL Taxonomy Extension Schema Document</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40" w:type="dxa"/>
            <w:vAlign w:val="bottom"/>
          </w:tcPr>
          <w:p>
            <w:pPr>
              <w:jc w:val="center"/>
              <w:ind w:left="9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w w:val="99"/>
              </w:rPr>
              <w:t>101.CAL</w:t>
            </w:r>
          </w:p>
        </w:tc>
        <w:tc>
          <w:tcPr>
            <w:tcW w:w="5520" w:type="dxa"/>
            <w:vAlign w:val="bottom"/>
            <w:tcBorders>
              <w:bottom w:val="single" w:sz="8" w:color="CCEEFF"/>
            </w:tcBorders>
            <w:gridSpan w:val="29"/>
            <w:shd w:val="clear" w:color="auto" w:fill="CCEEFF"/>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6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center"/>
              <w:ind w:left="9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000" w:type="dxa"/>
            <w:vAlign w:val="bottom"/>
          </w:tcPr>
          <w:p>
            <w:pPr>
              <w:jc w:val="center"/>
              <w:ind w:right="48"/>
              <w:spacing w:after="0"/>
              <w:rPr>
                <w:sz w:val="20"/>
                <w:szCs w:val="20"/>
                <w:color w:val="auto"/>
              </w:rPr>
            </w:pPr>
            <w:r>
              <w:rPr>
                <w:rFonts w:ascii="Arial" w:cs="Arial" w:eastAsia="Arial" w:hAnsi="Arial"/>
                <w:sz w:val="14"/>
                <w:szCs w:val="14"/>
                <w:color w:val="auto"/>
                <w:w w:val="94"/>
              </w:rPr>
              <w:t>101.DEF</w:t>
            </w:r>
          </w:p>
        </w:tc>
        <w:tc>
          <w:tcPr>
            <w:tcW w:w="5520" w:type="dxa"/>
            <w:vAlign w:val="bottom"/>
            <w:gridSpan w:val="29"/>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40" w:type="dxa"/>
            <w:vAlign w:val="bottom"/>
          </w:tcPr>
          <w:p>
            <w:pPr>
              <w:jc w:val="center"/>
              <w:ind w:left="9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1000" w:type="dxa"/>
            <w:vAlign w:val="bottom"/>
            <w:tcBorders>
              <w:bottom w:val="single" w:sz="8" w:color="CCEEFF"/>
            </w:tcBorders>
            <w:shd w:val="clear" w:color="auto" w:fill="CCEEFF"/>
          </w:tcPr>
          <w:p>
            <w:pPr>
              <w:jc w:val="center"/>
              <w:ind w:right="28"/>
              <w:spacing w:after="0"/>
              <w:rPr>
                <w:sz w:val="20"/>
                <w:szCs w:val="20"/>
                <w:color w:val="auto"/>
              </w:rPr>
            </w:pPr>
            <w:r>
              <w:rPr>
                <w:rFonts w:ascii="Arial" w:cs="Arial" w:eastAsia="Arial" w:hAnsi="Arial"/>
                <w:sz w:val="14"/>
                <w:szCs w:val="14"/>
                <w:color w:val="auto"/>
              </w:rPr>
              <w:t>101.LAB</w:t>
            </w:r>
          </w:p>
        </w:tc>
        <w:tc>
          <w:tcPr>
            <w:tcW w:w="5520" w:type="dxa"/>
            <w:vAlign w:val="bottom"/>
            <w:tcBorders>
              <w:bottom w:val="single" w:sz="8" w:color="CCEEFF"/>
            </w:tcBorders>
            <w:gridSpan w:val="29"/>
            <w:shd w:val="clear" w:color="auto" w:fill="CCEEFF"/>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6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jc w:val="center"/>
              <w:ind w:left="9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000" w:type="dxa"/>
            <w:vAlign w:val="bottom"/>
          </w:tcPr>
          <w:p>
            <w:pPr>
              <w:jc w:val="center"/>
              <w:ind w:right="48"/>
              <w:spacing w:after="0"/>
              <w:rPr>
                <w:sz w:val="20"/>
                <w:szCs w:val="20"/>
                <w:color w:val="auto"/>
              </w:rPr>
            </w:pPr>
            <w:r>
              <w:rPr>
                <w:rFonts w:ascii="Arial" w:cs="Arial" w:eastAsia="Arial" w:hAnsi="Arial"/>
                <w:sz w:val="14"/>
                <w:szCs w:val="14"/>
                <w:color w:val="auto"/>
                <w:w w:val="92"/>
              </w:rPr>
              <w:t>101.PRE</w:t>
            </w:r>
          </w:p>
        </w:tc>
        <w:tc>
          <w:tcPr>
            <w:tcW w:w="5520" w:type="dxa"/>
            <w:vAlign w:val="bottom"/>
            <w:gridSpan w:val="29"/>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40" w:type="dxa"/>
            <w:vAlign w:val="bottom"/>
          </w:tcPr>
          <w:p>
            <w:pPr>
              <w:jc w:val="center"/>
              <w:ind w:left="9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1"/>
        </w:trPr>
        <w:tc>
          <w:tcPr>
            <w:tcW w:w="10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4"/>
              </w:rPr>
              <w:t>104</w:t>
            </w:r>
          </w:p>
        </w:tc>
        <w:tc>
          <w:tcPr>
            <w:tcW w:w="5520" w:type="dxa"/>
            <w:vAlign w:val="bottom"/>
            <w:gridSpan w:val="29"/>
            <w:shd w:val="clear" w:color="auto" w:fill="CCEEFF"/>
          </w:tcPr>
          <w:p>
            <w:pPr>
              <w:spacing w:after="0"/>
              <w:rPr>
                <w:sz w:val="20"/>
                <w:szCs w:val="20"/>
                <w:color w:val="auto"/>
              </w:rPr>
            </w:pPr>
            <w:r>
              <w:rPr>
                <w:rFonts w:ascii="Arial" w:cs="Arial" w:eastAsia="Arial" w:hAnsi="Arial"/>
                <w:sz w:val="14"/>
                <w:szCs w:val="14"/>
                <w:color w:val="auto"/>
                <w:w w:val="99"/>
              </w:rPr>
              <w:t>Cover Page Interactive Data File (formatted as Inline XBRL and contained in Exhibit 101)</w:t>
            </w:r>
          </w:p>
        </w:tc>
        <w:tc>
          <w:tcPr>
            <w:tcW w:w="6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40" w:type="dxa"/>
            <w:vAlign w:val="bottom"/>
            <w:shd w:val="clear" w:color="auto" w:fill="CCEEFF"/>
          </w:tcPr>
          <w:p>
            <w:pPr>
              <w:jc w:val="center"/>
              <w:ind w:left="9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10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5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20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rPr>
          <w:sz w:val="20"/>
          <w:szCs w:val="20"/>
          <w:color w:val="auto"/>
        </w:rPr>
      </w:pPr>
      <w:r>
        <w:rPr>
          <w:rFonts w:ascii="Arial" w:cs="Arial" w:eastAsia="Arial" w:hAnsi="Arial"/>
          <w:sz w:val="18"/>
          <w:szCs w:val="18"/>
          <w:color w:val="auto"/>
        </w:rPr>
        <w:t># Denotes management contract or compensatory plan</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 Portions of the exhibit have been omitted as permitted under Item 601(b)(10)(iv) of Regulation S-K.</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EVERCOMMERCE INC.</w:t>
      </w:r>
    </w:p>
    <w:p>
      <w:pPr>
        <w:spacing w:after="0" w:line="208" w:lineRule="exact"/>
        <w:rPr>
          <w:sz w:val="20"/>
          <w:szCs w:val="20"/>
          <w:color w:val="auto"/>
        </w:rPr>
      </w:pPr>
    </w:p>
    <w:p>
      <w:pPr>
        <w:ind w:left="20"/>
        <w:spacing w:after="0"/>
        <w:tabs>
          <w:tab w:leader="none" w:pos="5640" w:val="left"/>
          <w:tab w:leader="none" w:pos="8020" w:val="left"/>
        </w:tabs>
        <w:rPr>
          <w:sz w:val="20"/>
          <w:szCs w:val="20"/>
          <w:color w:val="auto"/>
        </w:rPr>
      </w:pPr>
      <w:r>
        <w:rPr>
          <w:rFonts w:ascii="Arial" w:cs="Arial" w:eastAsia="Arial" w:hAnsi="Arial"/>
          <w:sz w:val="18"/>
          <w:szCs w:val="18"/>
          <w:b w:val="1"/>
          <w:bCs w:val="1"/>
          <w:color w:val="auto"/>
        </w:rPr>
        <w:t>Date: March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34290</wp:posOffset>
            </wp:positionV>
            <wp:extent cx="317182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3">
                      <a:extLst>
                        <a:ext uri="{28A0092B-C50C-407E-A947-70E740481C1C}"/>
                      </a:extLst>
                    </a:blip>
                    <a:srcRect/>
                    <a:stretch>
                      <a:fillRect/>
                    </a:stretch>
                  </pic:blipFill>
                  <pic:spPr bwMode="auto">
                    <a:xfrm>
                      <a:off x="0" y="0"/>
                      <a:ext cx="3171825" cy="8890"/>
                    </a:xfrm>
                    <a:prstGeom prst="rect">
                      <a:avLst/>
                    </a:prstGeom>
                    <a:noFill/>
                  </pic:spPr>
                </pic:pic>
              </a:graphicData>
            </a:graphic>
          </wp:anchor>
        </w:drawing>
      </w:r>
    </w:p>
    <w:p>
      <w:pPr>
        <w:spacing w:after="0" w:line="43"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Marc Thompson</w:t>
      </w:r>
    </w:p>
    <w:p>
      <w:pPr>
        <w:spacing w:after="0" w:line="50" w:lineRule="exact"/>
        <w:rPr>
          <w:sz w:val="20"/>
          <w:szCs w:val="20"/>
          <w:color w:val="auto"/>
        </w:rPr>
      </w:pPr>
    </w:p>
    <w:p>
      <w:pPr>
        <w:jc w:val="center"/>
        <w:ind w:left="6220"/>
        <w:spacing w:after="0"/>
        <w:rPr>
          <w:sz w:val="20"/>
          <w:szCs w:val="20"/>
          <w:color w:val="auto"/>
        </w:rPr>
      </w:pPr>
      <w:r>
        <w:rPr>
          <w:rFonts w:ascii="Arial" w:cs="Arial" w:eastAsia="Arial" w:hAnsi="Arial"/>
          <w:sz w:val="18"/>
          <w:szCs w:val="18"/>
          <w:b w:val="1"/>
          <w:bCs w:val="1"/>
          <w:color w:val="auto"/>
        </w:rPr>
        <w:t>Chief Financial Officer</w:t>
      </w:r>
    </w:p>
    <w:p>
      <w:pPr>
        <w:spacing w:after="0" w:line="54" w:lineRule="exact"/>
        <w:rPr>
          <w:sz w:val="20"/>
          <w:szCs w:val="20"/>
          <w:color w:val="auto"/>
        </w:rPr>
      </w:pPr>
    </w:p>
    <w:p>
      <w:pPr>
        <w:jc w:val="center"/>
        <w:ind w:left="6220"/>
        <w:spacing w:after="0"/>
        <w:rPr>
          <w:sz w:val="20"/>
          <w:szCs w:val="20"/>
          <w:color w:val="auto"/>
        </w:rPr>
      </w:pPr>
      <w:r>
        <w:rPr>
          <w:rFonts w:ascii="Arial" w:cs="Arial" w:eastAsia="Arial" w:hAnsi="Arial"/>
          <w:sz w:val="18"/>
          <w:szCs w:val="18"/>
          <w:i w:val="1"/>
          <w:iCs w:val="1"/>
          <w:color w:val="auto"/>
        </w:rPr>
        <w:t>(Principal Financial Officer)</w:t>
      </w:r>
    </w:p>
    <w:p>
      <w:pPr>
        <w:spacing w:after="0" w:line="37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780" w:type="dxa"/>
            <w:vAlign w:val="bottom"/>
          </w:tcPr>
          <w:p>
            <w:pPr>
              <w:ind w:left="20"/>
              <w:spacing w:after="0"/>
              <w:rPr>
                <w:sz w:val="20"/>
                <w:szCs w:val="20"/>
                <w:color w:val="auto"/>
              </w:rPr>
            </w:pPr>
            <w:r>
              <w:rPr>
                <w:rFonts w:ascii="Arial" w:cs="Arial" w:eastAsia="Arial" w:hAnsi="Arial"/>
                <w:sz w:val="17"/>
                <w:szCs w:val="17"/>
                <w:b w:val="1"/>
                <w:bCs w:val="1"/>
                <w:color w:val="auto"/>
              </w:rPr>
              <w:t>Signatures</w:t>
            </w:r>
          </w:p>
        </w:tc>
        <w:tc>
          <w:tcPr>
            <w:tcW w:w="80" w:type="dxa"/>
            <w:vAlign w:val="bottom"/>
          </w:tcPr>
          <w:p>
            <w:pPr>
              <w:spacing w:after="0"/>
              <w:rPr>
                <w:sz w:val="19"/>
                <w:szCs w:val="19"/>
                <w:color w:val="auto"/>
              </w:rPr>
            </w:pPr>
          </w:p>
        </w:tc>
        <w:tc>
          <w:tcPr>
            <w:tcW w:w="6440" w:type="dxa"/>
            <w:vAlign w:val="bottom"/>
            <w:gridSpan w:val="2"/>
          </w:tcPr>
          <w:p>
            <w:pPr>
              <w:ind w:left="20"/>
              <w:spacing w:after="0"/>
              <w:rPr>
                <w:sz w:val="20"/>
                <w:szCs w:val="20"/>
                <w:color w:val="auto"/>
              </w:rPr>
            </w:pPr>
            <w:r>
              <w:rPr>
                <w:rFonts w:ascii="Arial" w:cs="Arial" w:eastAsia="Arial" w:hAnsi="Arial"/>
                <w:sz w:val="17"/>
                <w:szCs w:val="17"/>
                <w:b w:val="1"/>
                <w:bCs w:val="1"/>
                <w:color w:val="auto"/>
              </w:rPr>
              <w:t>Title</w:t>
            </w:r>
          </w:p>
        </w:tc>
        <w:tc>
          <w:tcPr>
            <w:tcW w:w="1940" w:type="dxa"/>
            <w:vAlign w:val="bottom"/>
          </w:tcPr>
          <w:p>
            <w:pPr>
              <w:ind w:left="20"/>
              <w:spacing w:after="0"/>
              <w:rPr>
                <w:sz w:val="20"/>
                <w:szCs w:val="20"/>
                <w:color w:val="auto"/>
              </w:rPr>
            </w:pPr>
            <w:r>
              <w:rPr>
                <w:rFonts w:ascii="Arial" w:cs="Arial" w:eastAsia="Arial" w:hAnsi="Arial"/>
                <w:sz w:val="17"/>
                <w:szCs w:val="17"/>
                <w:b w:val="1"/>
                <w:bCs w:val="1"/>
                <w:color w:val="auto"/>
              </w:rPr>
              <w:t>Date</w:t>
            </w:r>
          </w:p>
        </w:tc>
      </w:tr>
      <w:tr>
        <w:trPr>
          <w:trHeight w:val="29"/>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315"/>
        </w:trPr>
        <w:tc>
          <w:tcPr>
            <w:tcW w:w="2780" w:type="dxa"/>
            <w:vAlign w:val="bottom"/>
          </w:tcPr>
          <w:p>
            <w:pPr>
              <w:ind w:left="20"/>
              <w:spacing w:after="0"/>
              <w:rPr>
                <w:sz w:val="20"/>
                <w:szCs w:val="20"/>
                <w:color w:val="auto"/>
              </w:rPr>
            </w:pPr>
            <w:r>
              <w:rPr>
                <w:rFonts w:ascii="Arial" w:cs="Arial" w:eastAsia="Arial" w:hAnsi="Arial"/>
                <w:sz w:val="17"/>
                <w:szCs w:val="17"/>
                <w:color w:val="auto"/>
              </w:rPr>
              <w:t>/s/ Eric Remer</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7"/>
                <w:szCs w:val="17"/>
                <w:color w:val="auto"/>
              </w:rPr>
              <w:t>Director and Chief Executive Officer (Principal Executive Officer)</w:t>
            </w:r>
          </w:p>
        </w:tc>
        <w:tc>
          <w:tcPr>
            <w:tcW w:w="1940" w:type="dxa"/>
            <w:vAlign w:val="bottom"/>
          </w:tcPr>
          <w:p>
            <w:pPr>
              <w:ind w:left="20"/>
              <w:spacing w:after="0"/>
              <w:rPr>
                <w:sz w:val="20"/>
                <w:szCs w:val="20"/>
                <w:color w:val="auto"/>
              </w:rPr>
            </w:pPr>
            <w:r>
              <w:rPr>
                <w:rFonts w:ascii="Arial" w:cs="Arial" w:eastAsia="Arial" w:hAnsi="Arial"/>
                <w:sz w:val="17"/>
                <w:szCs w:val="17"/>
                <w:color w:val="auto"/>
              </w:rPr>
              <w:t>March 15, 2023</w:t>
            </w:r>
          </w:p>
        </w:tc>
      </w:tr>
      <w:tr>
        <w:trPr>
          <w:trHeight w:val="29"/>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4"/>
        </w:trPr>
        <w:tc>
          <w:tcPr>
            <w:tcW w:w="2780" w:type="dxa"/>
            <w:vAlign w:val="bottom"/>
          </w:tcPr>
          <w:p>
            <w:pPr>
              <w:ind w:left="20"/>
              <w:spacing w:after="0"/>
              <w:rPr>
                <w:sz w:val="20"/>
                <w:szCs w:val="20"/>
                <w:color w:val="auto"/>
              </w:rPr>
            </w:pPr>
            <w:r>
              <w:rPr>
                <w:rFonts w:ascii="Arial" w:cs="Arial" w:eastAsia="Arial" w:hAnsi="Arial"/>
                <w:sz w:val="17"/>
                <w:szCs w:val="17"/>
                <w:color w:val="auto"/>
              </w:rPr>
              <w:t>Eric Remer</w:t>
            </w:r>
          </w:p>
        </w:tc>
        <w:tc>
          <w:tcPr>
            <w:tcW w:w="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5"/>
        </w:trPr>
        <w:tc>
          <w:tcPr>
            <w:tcW w:w="2780" w:type="dxa"/>
            <w:vAlign w:val="bottom"/>
          </w:tcPr>
          <w:p>
            <w:pPr>
              <w:ind w:left="20"/>
              <w:spacing w:after="0"/>
              <w:rPr>
                <w:sz w:val="20"/>
                <w:szCs w:val="20"/>
                <w:color w:val="auto"/>
              </w:rPr>
            </w:pPr>
            <w:r>
              <w:rPr>
                <w:rFonts w:ascii="Arial" w:cs="Arial" w:eastAsia="Arial" w:hAnsi="Arial"/>
                <w:sz w:val="17"/>
                <w:szCs w:val="17"/>
                <w:color w:val="auto"/>
              </w:rPr>
              <w:t>/s/ Marc Thompson</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7"/>
                <w:szCs w:val="17"/>
                <w:color w:val="auto"/>
              </w:rPr>
              <w:t>Chief Financial Officer (Principal Financial Officer)</w:t>
            </w:r>
          </w:p>
        </w:tc>
        <w:tc>
          <w:tcPr>
            <w:tcW w:w="1940" w:type="dxa"/>
            <w:vAlign w:val="bottom"/>
          </w:tcPr>
          <w:p>
            <w:pPr>
              <w:ind w:left="20"/>
              <w:spacing w:after="0"/>
              <w:rPr>
                <w:sz w:val="20"/>
                <w:szCs w:val="20"/>
                <w:color w:val="auto"/>
              </w:rPr>
            </w:pPr>
            <w:r>
              <w:rPr>
                <w:rFonts w:ascii="Arial" w:cs="Arial" w:eastAsia="Arial" w:hAnsi="Arial"/>
                <w:sz w:val="17"/>
                <w:szCs w:val="17"/>
                <w:color w:val="auto"/>
              </w:rPr>
              <w:t>March 15, 2023</w:t>
            </w:r>
          </w:p>
        </w:tc>
      </w:tr>
      <w:tr>
        <w:trPr>
          <w:trHeight w:val="29"/>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5"/>
        </w:trPr>
        <w:tc>
          <w:tcPr>
            <w:tcW w:w="2780" w:type="dxa"/>
            <w:vAlign w:val="bottom"/>
          </w:tcPr>
          <w:p>
            <w:pPr>
              <w:ind w:left="20"/>
              <w:spacing w:after="0"/>
              <w:rPr>
                <w:sz w:val="20"/>
                <w:szCs w:val="20"/>
                <w:color w:val="auto"/>
              </w:rPr>
            </w:pPr>
            <w:r>
              <w:rPr>
                <w:rFonts w:ascii="Arial" w:cs="Arial" w:eastAsia="Arial" w:hAnsi="Arial"/>
                <w:sz w:val="17"/>
                <w:szCs w:val="17"/>
                <w:color w:val="auto"/>
              </w:rPr>
              <w:t>Marc Thompson</w:t>
            </w:r>
          </w:p>
        </w:tc>
        <w:tc>
          <w:tcPr>
            <w:tcW w:w="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5"/>
        </w:trPr>
        <w:tc>
          <w:tcPr>
            <w:tcW w:w="2780" w:type="dxa"/>
            <w:vAlign w:val="bottom"/>
          </w:tcPr>
          <w:p>
            <w:pPr>
              <w:ind w:left="20"/>
              <w:spacing w:after="0"/>
              <w:rPr>
                <w:sz w:val="20"/>
                <w:szCs w:val="20"/>
                <w:color w:val="auto"/>
              </w:rPr>
            </w:pPr>
            <w:r>
              <w:rPr>
                <w:rFonts w:ascii="Arial" w:cs="Arial" w:eastAsia="Arial" w:hAnsi="Arial"/>
                <w:sz w:val="17"/>
                <w:szCs w:val="17"/>
                <w:color w:val="auto"/>
              </w:rPr>
              <w:t>/s/ Lee Dabberdt</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7"/>
                <w:szCs w:val="17"/>
                <w:color w:val="auto"/>
              </w:rPr>
              <w:t>Chief Accounting Officer (Principal Accounting Officer)</w:t>
            </w:r>
          </w:p>
        </w:tc>
        <w:tc>
          <w:tcPr>
            <w:tcW w:w="1940" w:type="dxa"/>
            <w:vAlign w:val="bottom"/>
          </w:tcPr>
          <w:p>
            <w:pPr>
              <w:ind w:left="20"/>
              <w:spacing w:after="0"/>
              <w:rPr>
                <w:sz w:val="20"/>
                <w:szCs w:val="20"/>
                <w:color w:val="auto"/>
              </w:rPr>
            </w:pPr>
            <w:r>
              <w:rPr>
                <w:rFonts w:ascii="Arial" w:cs="Arial" w:eastAsia="Arial" w:hAnsi="Arial"/>
                <w:sz w:val="17"/>
                <w:szCs w:val="17"/>
                <w:color w:val="auto"/>
              </w:rPr>
              <w:t>March 15, 2023</w:t>
            </w:r>
          </w:p>
        </w:tc>
      </w:tr>
      <w:tr>
        <w:trPr>
          <w:trHeight w:val="29"/>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5"/>
        </w:trPr>
        <w:tc>
          <w:tcPr>
            <w:tcW w:w="2780" w:type="dxa"/>
            <w:vAlign w:val="bottom"/>
          </w:tcPr>
          <w:p>
            <w:pPr>
              <w:ind w:left="20"/>
              <w:spacing w:after="0"/>
              <w:rPr>
                <w:sz w:val="20"/>
                <w:szCs w:val="20"/>
                <w:color w:val="auto"/>
              </w:rPr>
            </w:pPr>
            <w:r>
              <w:rPr>
                <w:rFonts w:ascii="Arial" w:cs="Arial" w:eastAsia="Arial" w:hAnsi="Arial"/>
                <w:sz w:val="17"/>
                <w:szCs w:val="17"/>
                <w:color w:val="auto"/>
              </w:rPr>
              <w:t>Lee Dabberdt</w:t>
            </w:r>
          </w:p>
        </w:tc>
        <w:tc>
          <w:tcPr>
            <w:tcW w:w="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5"/>
        </w:trPr>
        <w:tc>
          <w:tcPr>
            <w:tcW w:w="2780" w:type="dxa"/>
            <w:vAlign w:val="bottom"/>
          </w:tcPr>
          <w:p>
            <w:pPr>
              <w:ind w:left="20"/>
              <w:spacing w:after="0"/>
              <w:rPr>
                <w:sz w:val="20"/>
                <w:szCs w:val="20"/>
                <w:color w:val="auto"/>
              </w:rPr>
            </w:pPr>
            <w:r>
              <w:rPr>
                <w:rFonts w:ascii="Arial" w:cs="Arial" w:eastAsia="Arial" w:hAnsi="Arial"/>
                <w:sz w:val="17"/>
                <w:szCs w:val="17"/>
                <w:color w:val="auto"/>
              </w:rPr>
              <w:t>/s/ Penny Baldwin-Leonard</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March 15, 2023</w:t>
            </w:r>
          </w:p>
        </w:tc>
      </w:tr>
      <w:tr>
        <w:trPr>
          <w:trHeight w:val="29"/>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5"/>
        </w:trPr>
        <w:tc>
          <w:tcPr>
            <w:tcW w:w="2780" w:type="dxa"/>
            <w:vAlign w:val="bottom"/>
          </w:tcPr>
          <w:p>
            <w:pPr>
              <w:ind w:left="20"/>
              <w:spacing w:after="0"/>
              <w:rPr>
                <w:sz w:val="20"/>
                <w:szCs w:val="20"/>
                <w:color w:val="auto"/>
              </w:rPr>
            </w:pPr>
            <w:r>
              <w:rPr>
                <w:rFonts w:ascii="Arial" w:cs="Arial" w:eastAsia="Arial" w:hAnsi="Arial"/>
                <w:sz w:val="17"/>
                <w:szCs w:val="17"/>
                <w:color w:val="auto"/>
              </w:rPr>
              <w:t>Penny Baldwin-Leonard</w:t>
            </w:r>
          </w:p>
        </w:tc>
        <w:tc>
          <w:tcPr>
            <w:tcW w:w="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5"/>
        </w:trPr>
        <w:tc>
          <w:tcPr>
            <w:tcW w:w="2780" w:type="dxa"/>
            <w:vAlign w:val="bottom"/>
          </w:tcPr>
          <w:p>
            <w:pPr>
              <w:ind w:left="20"/>
              <w:spacing w:after="0"/>
              <w:rPr>
                <w:sz w:val="20"/>
                <w:szCs w:val="20"/>
                <w:color w:val="auto"/>
              </w:rPr>
            </w:pPr>
            <w:r>
              <w:rPr>
                <w:rFonts w:ascii="Arial" w:cs="Arial" w:eastAsia="Arial" w:hAnsi="Arial"/>
                <w:sz w:val="17"/>
                <w:szCs w:val="17"/>
                <w:color w:val="auto"/>
              </w:rPr>
              <w:t>/s/ Kimberly Ellison-Taylor</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March 15, 2023</w:t>
            </w:r>
          </w:p>
        </w:tc>
      </w:tr>
      <w:tr>
        <w:trPr>
          <w:trHeight w:val="29"/>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5"/>
        </w:trPr>
        <w:tc>
          <w:tcPr>
            <w:tcW w:w="2780" w:type="dxa"/>
            <w:vAlign w:val="bottom"/>
          </w:tcPr>
          <w:p>
            <w:pPr>
              <w:ind w:left="20"/>
              <w:spacing w:after="0"/>
              <w:rPr>
                <w:sz w:val="20"/>
                <w:szCs w:val="20"/>
                <w:color w:val="auto"/>
              </w:rPr>
            </w:pPr>
            <w:r>
              <w:rPr>
                <w:rFonts w:ascii="Arial" w:cs="Arial" w:eastAsia="Arial" w:hAnsi="Arial"/>
                <w:sz w:val="17"/>
                <w:szCs w:val="17"/>
                <w:color w:val="auto"/>
              </w:rPr>
              <w:t>Kimberly Ellison-Taylor</w:t>
            </w:r>
          </w:p>
        </w:tc>
        <w:tc>
          <w:tcPr>
            <w:tcW w:w="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5"/>
        </w:trPr>
        <w:tc>
          <w:tcPr>
            <w:tcW w:w="2780" w:type="dxa"/>
            <w:vAlign w:val="bottom"/>
          </w:tcPr>
          <w:p>
            <w:pPr>
              <w:ind w:left="20"/>
              <w:spacing w:after="0"/>
              <w:rPr>
                <w:sz w:val="20"/>
                <w:szCs w:val="20"/>
                <w:color w:val="auto"/>
              </w:rPr>
            </w:pPr>
            <w:r>
              <w:rPr>
                <w:rFonts w:ascii="Arial" w:cs="Arial" w:eastAsia="Arial" w:hAnsi="Arial"/>
                <w:sz w:val="17"/>
                <w:szCs w:val="17"/>
                <w:color w:val="auto"/>
              </w:rPr>
              <w:t>/s/ Mark Hastings</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March 15, 2023</w:t>
            </w:r>
          </w:p>
        </w:tc>
      </w:tr>
      <w:tr>
        <w:trPr>
          <w:trHeight w:val="29"/>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5"/>
        </w:trPr>
        <w:tc>
          <w:tcPr>
            <w:tcW w:w="2780" w:type="dxa"/>
            <w:vAlign w:val="bottom"/>
          </w:tcPr>
          <w:p>
            <w:pPr>
              <w:ind w:left="20"/>
              <w:spacing w:after="0"/>
              <w:rPr>
                <w:sz w:val="20"/>
                <w:szCs w:val="20"/>
                <w:color w:val="auto"/>
              </w:rPr>
            </w:pPr>
            <w:r>
              <w:rPr>
                <w:rFonts w:ascii="Arial" w:cs="Arial" w:eastAsia="Arial" w:hAnsi="Arial"/>
                <w:sz w:val="17"/>
                <w:szCs w:val="17"/>
                <w:color w:val="auto"/>
              </w:rPr>
              <w:t>Mark Hastings</w:t>
            </w:r>
          </w:p>
        </w:tc>
        <w:tc>
          <w:tcPr>
            <w:tcW w:w="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5"/>
        </w:trPr>
        <w:tc>
          <w:tcPr>
            <w:tcW w:w="2780" w:type="dxa"/>
            <w:vAlign w:val="bottom"/>
          </w:tcPr>
          <w:p>
            <w:pPr>
              <w:ind w:left="20"/>
              <w:spacing w:after="0"/>
              <w:rPr>
                <w:sz w:val="20"/>
                <w:szCs w:val="20"/>
                <w:color w:val="auto"/>
              </w:rPr>
            </w:pPr>
            <w:r>
              <w:rPr>
                <w:rFonts w:ascii="Arial" w:cs="Arial" w:eastAsia="Arial" w:hAnsi="Arial"/>
                <w:sz w:val="17"/>
                <w:szCs w:val="17"/>
                <w:color w:val="auto"/>
              </w:rPr>
              <w:t>/s/ John Marquis</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March 15, 2023</w:t>
            </w:r>
          </w:p>
        </w:tc>
      </w:tr>
      <w:tr>
        <w:trPr>
          <w:trHeight w:val="29"/>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5"/>
        </w:trPr>
        <w:tc>
          <w:tcPr>
            <w:tcW w:w="2780" w:type="dxa"/>
            <w:vAlign w:val="bottom"/>
          </w:tcPr>
          <w:p>
            <w:pPr>
              <w:ind w:left="20"/>
              <w:spacing w:after="0"/>
              <w:rPr>
                <w:sz w:val="20"/>
                <w:szCs w:val="20"/>
                <w:color w:val="auto"/>
              </w:rPr>
            </w:pPr>
            <w:r>
              <w:rPr>
                <w:rFonts w:ascii="Arial" w:cs="Arial" w:eastAsia="Arial" w:hAnsi="Arial"/>
                <w:sz w:val="17"/>
                <w:szCs w:val="17"/>
                <w:color w:val="auto"/>
              </w:rPr>
              <w:t>John Marquis</w:t>
            </w:r>
          </w:p>
        </w:tc>
        <w:tc>
          <w:tcPr>
            <w:tcW w:w="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5"/>
        </w:trPr>
        <w:tc>
          <w:tcPr>
            <w:tcW w:w="2780" w:type="dxa"/>
            <w:vAlign w:val="bottom"/>
          </w:tcPr>
          <w:p>
            <w:pPr>
              <w:ind w:left="20"/>
              <w:spacing w:after="0"/>
              <w:rPr>
                <w:sz w:val="20"/>
                <w:szCs w:val="20"/>
                <w:color w:val="auto"/>
              </w:rPr>
            </w:pPr>
            <w:r>
              <w:rPr>
                <w:rFonts w:ascii="Arial" w:cs="Arial" w:eastAsia="Arial" w:hAnsi="Arial"/>
                <w:sz w:val="17"/>
                <w:szCs w:val="17"/>
                <w:color w:val="auto"/>
              </w:rPr>
              <w:t>/s/ Joseph Osnoss</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March 15, 2023</w:t>
            </w:r>
          </w:p>
        </w:tc>
      </w:tr>
      <w:tr>
        <w:trPr>
          <w:trHeight w:val="29"/>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4"/>
        </w:trPr>
        <w:tc>
          <w:tcPr>
            <w:tcW w:w="2780" w:type="dxa"/>
            <w:vAlign w:val="bottom"/>
          </w:tcPr>
          <w:p>
            <w:pPr>
              <w:ind w:left="20"/>
              <w:spacing w:after="0"/>
              <w:rPr>
                <w:sz w:val="20"/>
                <w:szCs w:val="20"/>
                <w:color w:val="auto"/>
              </w:rPr>
            </w:pPr>
            <w:r>
              <w:rPr>
                <w:rFonts w:ascii="Arial" w:cs="Arial" w:eastAsia="Arial" w:hAnsi="Arial"/>
                <w:sz w:val="17"/>
                <w:szCs w:val="17"/>
                <w:color w:val="auto"/>
              </w:rPr>
              <w:t>Joseph Osnoss</w:t>
            </w:r>
          </w:p>
        </w:tc>
        <w:tc>
          <w:tcPr>
            <w:tcW w:w="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5"/>
        </w:trPr>
        <w:tc>
          <w:tcPr>
            <w:tcW w:w="2780" w:type="dxa"/>
            <w:vAlign w:val="bottom"/>
          </w:tcPr>
          <w:p>
            <w:pPr>
              <w:ind w:left="20"/>
              <w:spacing w:after="0"/>
              <w:rPr>
                <w:sz w:val="20"/>
                <w:szCs w:val="20"/>
                <w:color w:val="auto"/>
              </w:rPr>
            </w:pPr>
            <w:r>
              <w:rPr>
                <w:rFonts w:ascii="Arial" w:cs="Arial" w:eastAsia="Arial" w:hAnsi="Arial"/>
                <w:sz w:val="17"/>
                <w:szCs w:val="17"/>
                <w:color w:val="auto"/>
              </w:rPr>
              <w:t>/s/ John Rudella</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March 15, 2023</w:t>
            </w:r>
          </w:p>
        </w:tc>
      </w:tr>
      <w:tr>
        <w:trPr>
          <w:trHeight w:val="29"/>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5"/>
        </w:trPr>
        <w:tc>
          <w:tcPr>
            <w:tcW w:w="2780" w:type="dxa"/>
            <w:vAlign w:val="bottom"/>
          </w:tcPr>
          <w:p>
            <w:pPr>
              <w:ind w:left="20"/>
              <w:spacing w:after="0"/>
              <w:rPr>
                <w:sz w:val="20"/>
                <w:szCs w:val="20"/>
                <w:color w:val="auto"/>
              </w:rPr>
            </w:pPr>
            <w:r>
              <w:rPr>
                <w:rFonts w:ascii="Arial" w:cs="Arial" w:eastAsia="Arial" w:hAnsi="Arial"/>
                <w:sz w:val="17"/>
                <w:szCs w:val="17"/>
                <w:color w:val="auto"/>
              </w:rPr>
              <w:t>John Rudella</w:t>
            </w:r>
          </w:p>
        </w:tc>
        <w:tc>
          <w:tcPr>
            <w:tcW w:w="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24"/>
        </w:trPr>
        <w:tc>
          <w:tcPr>
            <w:tcW w:w="2780" w:type="dxa"/>
            <w:vAlign w:val="bottom"/>
          </w:tcPr>
          <w:p>
            <w:pPr>
              <w:ind w:left="20"/>
              <w:spacing w:after="0"/>
              <w:rPr>
                <w:sz w:val="20"/>
                <w:szCs w:val="20"/>
                <w:color w:val="auto"/>
              </w:rPr>
            </w:pPr>
            <w:r>
              <w:rPr>
                <w:rFonts w:ascii="Arial" w:cs="Arial" w:eastAsia="Arial" w:hAnsi="Arial"/>
                <w:sz w:val="17"/>
                <w:szCs w:val="17"/>
                <w:color w:val="auto"/>
              </w:rPr>
              <w:t>/s/ Richard A. Simonson</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March 15, 2023</w:t>
            </w:r>
          </w:p>
        </w:tc>
      </w:tr>
      <w:tr>
        <w:trPr>
          <w:trHeight w:val="29"/>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5"/>
        </w:trPr>
        <w:tc>
          <w:tcPr>
            <w:tcW w:w="2780" w:type="dxa"/>
            <w:vAlign w:val="bottom"/>
          </w:tcPr>
          <w:p>
            <w:pPr>
              <w:ind w:left="20"/>
              <w:spacing w:after="0"/>
              <w:rPr>
                <w:sz w:val="20"/>
                <w:szCs w:val="20"/>
                <w:color w:val="auto"/>
              </w:rPr>
            </w:pPr>
            <w:r>
              <w:rPr>
                <w:rFonts w:ascii="Arial" w:cs="Arial" w:eastAsia="Arial" w:hAnsi="Arial"/>
                <w:sz w:val="17"/>
                <w:szCs w:val="17"/>
                <w:color w:val="auto"/>
              </w:rPr>
              <w:t>Richard A. Simonson</w:t>
            </w:r>
          </w:p>
        </w:tc>
        <w:tc>
          <w:tcPr>
            <w:tcW w:w="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364"/>
        </w:trPr>
        <w:tc>
          <w:tcPr>
            <w:tcW w:w="2780" w:type="dxa"/>
            <w:vAlign w:val="bottom"/>
          </w:tcPr>
          <w:p>
            <w:pPr>
              <w:ind w:left="20"/>
              <w:spacing w:after="0"/>
              <w:rPr>
                <w:sz w:val="20"/>
                <w:szCs w:val="20"/>
                <w:color w:val="auto"/>
              </w:rPr>
            </w:pPr>
            <w:r>
              <w:rPr>
                <w:rFonts w:ascii="Arial" w:cs="Arial" w:eastAsia="Arial" w:hAnsi="Arial"/>
                <w:sz w:val="17"/>
                <w:szCs w:val="17"/>
                <w:color w:val="auto"/>
              </w:rPr>
              <w:t>/s/ Debby Soo</w:t>
            </w:r>
          </w:p>
        </w:tc>
        <w:tc>
          <w:tcPr>
            <w:tcW w:w="80" w:type="dxa"/>
            <w:vAlign w:val="bottom"/>
          </w:tcPr>
          <w:p>
            <w:pPr>
              <w:spacing w:after="0"/>
              <w:rPr>
                <w:sz w:val="24"/>
                <w:szCs w:val="24"/>
                <w:color w:val="auto"/>
              </w:rPr>
            </w:pPr>
          </w:p>
        </w:tc>
        <w:tc>
          <w:tcPr>
            <w:tcW w:w="6440" w:type="dxa"/>
            <w:vAlign w:val="bottom"/>
            <w:gridSpan w:val="2"/>
          </w:tcPr>
          <w:p>
            <w:pPr>
              <w:ind w:left="20"/>
              <w:spacing w:after="0"/>
              <w:rPr>
                <w:sz w:val="20"/>
                <w:szCs w:val="20"/>
                <w:color w:val="auto"/>
              </w:rPr>
            </w:pPr>
            <w:r>
              <w:rPr>
                <w:rFonts w:ascii="Arial" w:cs="Arial" w:eastAsia="Arial" w:hAnsi="Arial"/>
                <w:sz w:val="17"/>
                <w:szCs w:val="17"/>
                <w:color w:val="auto"/>
              </w:rPr>
              <w:t>Director</w:t>
            </w:r>
          </w:p>
        </w:tc>
        <w:tc>
          <w:tcPr>
            <w:tcW w:w="1940" w:type="dxa"/>
            <w:vAlign w:val="bottom"/>
          </w:tcPr>
          <w:p>
            <w:pPr>
              <w:ind w:left="20"/>
              <w:spacing w:after="0"/>
              <w:rPr>
                <w:sz w:val="20"/>
                <w:szCs w:val="20"/>
                <w:color w:val="auto"/>
              </w:rPr>
            </w:pPr>
            <w:r>
              <w:rPr>
                <w:rFonts w:ascii="Arial" w:cs="Arial" w:eastAsia="Arial" w:hAnsi="Arial"/>
                <w:sz w:val="17"/>
                <w:szCs w:val="17"/>
                <w:color w:val="auto"/>
              </w:rPr>
              <w:t>March 15, 2023</w:t>
            </w:r>
          </w:p>
        </w:tc>
      </w:tr>
      <w:tr>
        <w:trPr>
          <w:trHeight w:val="29"/>
        </w:trPr>
        <w:tc>
          <w:tcPr>
            <w:tcW w:w="2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5"/>
        </w:trPr>
        <w:tc>
          <w:tcPr>
            <w:tcW w:w="2780" w:type="dxa"/>
            <w:vAlign w:val="bottom"/>
          </w:tcPr>
          <w:p>
            <w:pPr>
              <w:ind w:left="20"/>
              <w:spacing w:after="0"/>
              <w:rPr>
                <w:sz w:val="20"/>
                <w:szCs w:val="20"/>
                <w:color w:val="auto"/>
              </w:rPr>
            </w:pPr>
            <w:r>
              <w:rPr>
                <w:rFonts w:ascii="Arial" w:cs="Arial" w:eastAsia="Arial" w:hAnsi="Arial"/>
                <w:sz w:val="17"/>
                <w:szCs w:val="17"/>
                <w:color w:val="auto"/>
              </w:rPr>
              <w:t>Debby Soo</w:t>
            </w:r>
          </w:p>
        </w:tc>
        <w:tc>
          <w:tcPr>
            <w:tcW w:w="80" w:type="dxa"/>
            <w:vAlign w:val="bottom"/>
          </w:tcPr>
          <w:p>
            <w:pPr>
              <w:spacing w:after="0"/>
              <w:rPr>
                <w:sz w:val="20"/>
                <w:szCs w:val="20"/>
                <w:color w:val="auto"/>
              </w:rPr>
            </w:pPr>
          </w:p>
        </w:tc>
        <w:tc>
          <w:tcPr>
            <w:tcW w:w="6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r>
    </w:tbl>
    <w:p>
      <w:pPr>
        <w:sectPr>
          <w:pgSz w:w="11900" w:h="16838" w:orient="portrait"/>
          <w:cols w:equalWidth="0" w:num="1">
            <w:col w:w="11240"/>
          </w:cols>
          <w:pgMar w:left="320" w:top="1440"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SUBSIDIARIES</w:t>
      </w:r>
    </w:p>
    <w:p>
      <w:pPr>
        <w:jc w:val="center"/>
        <w:spacing w:after="0"/>
        <w:rPr>
          <w:sz w:val="20"/>
          <w:szCs w:val="20"/>
          <w:color w:val="auto"/>
        </w:rPr>
      </w:pPr>
      <w:r>
        <w:rPr>
          <w:rFonts w:ascii="Arial" w:cs="Arial" w:eastAsia="Arial" w:hAnsi="Arial"/>
          <w:sz w:val="18"/>
          <w:szCs w:val="18"/>
          <w:b w:val="1"/>
          <w:bCs w:val="1"/>
          <w:color w:val="auto"/>
        </w:rPr>
        <w:t>OF EVERCOMMERCE INC.</w:t>
      </w:r>
    </w:p>
    <w:tbl>
      <w:tblPr>
        <w:tblLayout w:type="fixed"/>
        <w:tblInd w:w="0" w:type="dxa"/>
        <w:tblCellMar>
          <w:top w:w="0" w:type="dxa"/>
          <w:left w:w="0" w:type="dxa"/>
          <w:bottom w:w="0" w:type="dxa"/>
          <w:right w:w="0" w:type="dxa"/>
        </w:tblCellMar>
      </w:tblPr>
      <w:tr>
        <w:trPr>
          <w:trHeight w:val="196"/>
        </w:trPr>
        <w:tc>
          <w:tcPr>
            <w:tcW w:w="6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Subsidiaries</w:t>
            </w:r>
          </w:p>
        </w:tc>
        <w:tc>
          <w:tcPr>
            <w:tcW w:w="4260" w:type="dxa"/>
            <w:vAlign w:val="bottom"/>
          </w:tcPr>
          <w:p>
            <w:pPr>
              <w:ind w:left="1020"/>
              <w:spacing w:after="0" w:line="196" w:lineRule="exact"/>
              <w:rPr>
                <w:sz w:val="20"/>
                <w:szCs w:val="20"/>
                <w:color w:val="auto"/>
              </w:rPr>
            </w:pPr>
            <w:r>
              <w:rPr>
                <w:rFonts w:ascii="Arial" w:cs="Arial" w:eastAsia="Arial" w:hAnsi="Arial"/>
                <w:sz w:val="18"/>
                <w:szCs w:val="18"/>
                <w:b w:val="1"/>
                <w:bCs w:val="1"/>
                <w:color w:val="auto"/>
              </w:rPr>
              <w:t>Jurisdiction of Incorporation</w:t>
            </w:r>
          </w:p>
        </w:tc>
        <w:tc>
          <w:tcPr>
            <w:tcW w:w="0" w:type="dxa"/>
            <w:vAlign w:val="bottom"/>
          </w:tcPr>
          <w:p>
            <w:pPr>
              <w:spacing w:after="0"/>
              <w:rPr>
                <w:sz w:val="1"/>
                <w:szCs w:val="1"/>
                <w:color w:val="auto"/>
              </w:rPr>
            </w:pPr>
          </w:p>
        </w:tc>
      </w:tr>
      <w:tr>
        <w:trPr>
          <w:trHeight w:val="239"/>
        </w:trPr>
        <w:tc>
          <w:tcPr>
            <w:tcW w:w="6980" w:type="dxa"/>
            <w:vAlign w:val="bottom"/>
            <w:tcBorders>
              <w:bottom w:val="single" w:sz="8" w:color="auto"/>
            </w:tcBorders>
            <w:vMerge w:val="continue"/>
          </w:tcPr>
          <w:p>
            <w:pPr>
              <w:spacing w:after="0"/>
              <w:rPr>
                <w:sz w:val="20"/>
                <w:szCs w:val="20"/>
                <w:color w:val="auto"/>
              </w:rPr>
            </w:pPr>
          </w:p>
        </w:tc>
        <w:tc>
          <w:tcPr>
            <w:tcW w:w="4260" w:type="dxa"/>
            <w:vAlign w:val="bottom"/>
            <w:tcBorders>
              <w:bottom w:val="single" w:sz="8" w:color="auto"/>
            </w:tcBorders>
          </w:tcPr>
          <w:p>
            <w:pPr>
              <w:ind w:left="1920"/>
              <w:spacing w:after="0"/>
              <w:rPr>
                <w:sz w:val="20"/>
                <w:szCs w:val="20"/>
                <w:color w:val="auto"/>
              </w:rPr>
            </w:pPr>
            <w:r>
              <w:rPr>
                <w:rFonts w:ascii="Arial" w:cs="Arial" w:eastAsia="Arial" w:hAnsi="Arial"/>
                <w:sz w:val="18"/>
                <w:szCs w:val="18"/>
                <w:b w:val="1"/>
                <w:bCs w:val="1"/>
                <w:color w:val="auto"/>
              </w:rPr>
              <w:t>or Organization</w:t>
            </w:r>
          </w:p>
        </w:tc>
        <w:tc>
          <w:tcPr>
            <w:tcW w:w="0" w:type="dxa"/>
            <w:vAlign w:val="bottom"/>
          </w:tcPr>
          <w:p>
            <w:pPr>
              <w:spacing w:after="0"/>
              <w:rPr>
                <w:sz w:val="1"/>
                <w:szCs w:val="1"/>
                <w:color w:val="auto"/>
              </w:rPr>
            </w:pPr>
          </w:p>
        </w:tc>
      </w:tr>
      <w:tr>
        <w:trPr>
          <w:trHeight w:val="261"/>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33 Mile Radius LLC</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Advanced Marketing Concepts, LLC d/b/a MarketSharp</w:t>
            </w:r>
          </w:p>
        </w:tc>
        <w:tc>
          <w:tcPr>
            <w:tcW w:w="4260" w:type="dxa"/>
            <w:vAlign w:val="bottom"/>
          </w:tcPr>
          <w:p>
            <w:pPr>
              <w:ind w:left="1020"/>
              <w:spacing w:after="0"/>
              <w:rPr>
                <w:sz w:val="20"/>
                <w:szCs w:val="20"/>
                <w:color w:val="auto"/>
              </w:rPr>
            </w:pPr>
            <w:r>
              <w:rPr>
                <w:rFonts w:ascii="Arial" w:cs="Arial" w:eastAsia="Arial" w:hAnsi="Arial"/>
                <w:sz w:val="18"/>
                <w:szCs w:val="18"/>
                <w:color w:val="auto"/>
              </w:rPr>
              <w:t>Wisconsin</w:t>
            </w:r>
          </w:p>
        </w:tc>
        <w:tc>
          <w:tcPr>
            <w:tcW w:w="0" w:type="dxa"/>
            <w:vAlign w:val="bottom"/>
          </w:tcPr>
          <w:p>
            <w:pPr>
              <w:spacing w:after="0"/>
              <w:rPr>
                <w:sz w:val="1"/>
                <w:szCs w:val="1"/>
                <w:color w:val="auto"/>
              </w:rPr>
            </w:pPr>
          </w:p>
        </w:tc>
      </w:tr>
      <w:tr>
        <w:trPr>
          <w:trHeight w:val="40"/>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 Nashmi for Digital Marketing LLC d/b/a Remodeling.com</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Jordan</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AlertMD, Inc.</w:t>
            </w:r>
          </w:p>
        </w:tc>
        <w:tc>
          <w:tcPr>
            <w:tcW w:w="4260" w:type="dxa"/>
            <w:vAlign w:val="bottom"/>
          </w:tcPr>
          <w:p>
            <w:pPr>
              <w:ind w:left="1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AllMeds Inc.</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American Service Finance, LLC d/b/a ASF Payment Solutions</w:t>
            </w:r>
          </w:p>
        </w:tc>
        <w:tc>
          <w:tcPr>
            <w:tcW w:w="4260" w:type="dxa"/>
            <w:vAlign w:val="bottom"/>
          </w:tcPr>
          <w:p>
            <w:pPr>
              <w:ind w:left="1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1"/>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ASF Payment Solutions ULC</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British Columbia</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Best Pick Reports, LLC</w:t>
            </w:r>
          </w:p>
        </w:tc>
        <w:tc>
          <w:tcPr>
            <w:tcW w:w="4260" w:type="dxa"/>
            <w:vAlign w:val="bottom"/>
          </w:tcPr>
          <w:p>
            <w:pPr>
              <w:ind w:left="1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Bold Technologies Ltd.</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Brighter Vision Web Solutions, Inc. d/b/a Brighter Vision</w:t>
            </w:r>
          </w:p>
        </w:tc>
        <w:tc>
          <w:tcPr>
            <w:tcW w:w="4260" w:type="dxa"/>
            <w:vAlign w:val="bottom"/>
          </w:tcPr>
          <w:p>
            <w:pPr>
              <w:ind w:left="102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40"/>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Briostack LLC</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Utah</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Callahan Roach, LLC dba Profit Rhino</w:t>
            </w:r>
          </w:p>
        </w:tc>
        <w:tc>
          <w:tcPr>
            <w:tcW w:w="4260" w:type="dxa"/>
            <w:vAlign w:val="bottom"/>
          </w:tcPr>
          <w:p>
            <w:pPr>
              <w:ind w:left="1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1"/>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Clubwise Software Limited</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ClubWise Software Pty. Ltd.</w:t>
            </w:r>
          </w:p>
        </w:tc>
        <w:tc>
          <w:tcPr>
            <w:tcW w:w="4260" w:type="dxa"/>
            <w:vAlign w:val="bottom"/>
          </w:tcPr>
          <w:p>
            <w:pPr>
              <w:ind w:left="1020"/>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40"/>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CollaborateMD, Inc.</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Florida</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Customer Lobby, LLC</w:t>
            </w:r>
          </w:p>
        </w:tc>
        <w:tc>
          <w:tcPr>
            <w:tcW w:w="4260" w:type="dxa"/>
            <w:vAlign w:val="bottom"/>
          </w:tcPr>
          <w:p>
            <w:pPr>
              <w:ind w:left="1020"/>
              <w:spacing w:after="0"/>
              <w:rPr>
                <w:sz w:val="20"/>
                <w:szCs w:val="20"/>
                <w:color w:val="auto"/>
              </w:rPr>
            </w:pPr>
            <w:r>
              <w:rPr>
                <w:rFonts w:ascii="Arial" w:cs="Arial" w:eastAsia="Arial" w:hAnsi="Arial"/>
                <w:sz w:val="18"/>
                <w:szCs w:val="18"/>
                <w:color w:val="auto"/>
              </w:rPr>
              <w:t>California</w:t>
            </w:r>
          </w:p>
        </w:tc>
        <w:tc>
          <w:tcPr>
            <w:tcW w:w="0" w:type="dxa"/>
            <w:vAlign w:val="bottom"/>
          </w:tcPr>
          <w:p>
            <w:pPr>
              <w:spacing w:after="0"/>
              <w:rPr>
                <w:sz w:val="1"/>
                <w:szCs w:val="1"/>
                <w:color w:val="auto"/>
              </w:rPr>
            </w:pPr>
          </w:p>
        </w:tc>
      </w:tr>
      <w:tr>
        <w:trPr>
          <w:trHeight w:val="40"/>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DrChrono Inc.</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DrChrono Merger Sub, Inc.</w:t>
            </w:r>
          </w:p>
        </w:tc>
        <w:tc>
          <w:tcPr>
            <w:tcW w:w="4260" w:type="dxa"/>
            <w:vAlign w:val="bottom"/>
          </w:tcPr>
          <w:p>
            <w:pPr>
              <w:ind w:left="1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Dynascape Software, Inc.</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British Columbia</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E Provider Solutions, L.L.C.</w:t>
            </w:r>
          </w:p>
        </w:tc>
        <w:tc>
          <w:tcPr>
            <w:tcW w:w="4260" w:type="dxa"/>
            <w:vAlign w:val="bottom"/>
          </w:tcPr>
          <w:p>
            <w:pPr>
              <w:ind w:left="1020"/>
              <w:spacing w:after="0"/>
              <w:rPr>
                <w:sz w:val="20"/>
                <w:szCs w:val="20"/>
                <w:color w:val="auto"/>
              </w:rPr>
            </w:pPr>
            <w:r>
              <w:rPr>
                <w:rFonts w:ascii="Arial" w:cs="Arial" w:eastAsia="Arial" w:hAnsi="Arial"/>
                <w:sz w:val="18"/>
                <w:szCs w:val="18"/>
                <w:color w:val="auto"/>
              </w:rPr>
              <w:t>South Dakota</w:t>
            </w:r>
          </w:p>
        </w:tc>
        <w:tc>
          <w:tcPr>
            <w:tcW w:w="0" w:type="dxa"/>
            <w:vAlign w:val="bottom"/>
          </w:tcPr>
          <w:p>
            <w:pPr>
              <w:spacing w:after="0"/>
              <w:rPr>
                <w:sz w:val="1"/>
                <w:szCs w:val="1"/>
                <w:color w:val="auto"/>
              </w:rPr>
            </w:pPr>
          </w:p>
        </w:tc>
      </w:tr>
      <w:tr>
        <w:trPr>
          <w:trHeight w:val="40"/>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EMHware Software Inc.</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British Columbia</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EverCommerce Intermediate Inc.</w:t>
            </w:r>
          </w:p>
        </w:tc>
        <w:tc>
          <w:tcPr>
            <w:tcW w:w="4260" w:type="dxa"/>
            <w:vAlign w:val="bottom"/>
          </w:tcPr>
          <w:p>
            <w:pPr>
              <w:ind w:left="1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EverCommerce NZ Company Ltd.</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New Zealand</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EverCommerce Solutions Inc.</w:t>
            </w:r>
          </w:p>
        </w:tc>
        <w:tc>
          <w:tcPr>
            <w:tcW w:w="4260" w:type="dxa"/>
            <w:vAlign w:val="bottom"/>
          </w:tcPr>
          <w:p>
            <w:pPr>
              <w:ind w:left="1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EverCommerce UK Company Ltd.</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Fieldpoint Service Applications Inc.</w:t>
            </w:r>
          </w:p>
        </w:tc>
        <w:tc>
          <w:tcPr>
            <w:tcW w:w="4260" w:type="dxa"/>
            <w:vAlign w:val="bottom"/>
          </w:tcPr>
          <w:p>
            <w:pPr>
              <w:ind w:left="1020"/>
              <w:spacing w:after="0"/>
              <w:rPr>
                <w:sz w:val="20"/>
                <w:szCs w:val="20"/>
                <w:color w:val="auto"/>
              </w:rPr>
            </w:pPr>
            <w:r>
              <w:rPr>
                <w:rFonts w:ascii="Arial" w:cs="Arial" w:eastAsia="Arial" w:hAnsi="Arial"/>
                <w:sz w:val="18"/>
                <w:szCs w:val="18"/>
                <w:color w:val="auto"/>
              </w:rPr>
              <w:t>British Columbia</w:t>
            </w:r>
          </w:p>
        </w:tc>
        <w:tc>
          <w:tcPr>
            <w:tcW w:w="0" w:type="dxa"/>
            <w:vAlign w:val="bottom"/>
          </w:tcPr>
          <w:p>
            <w:pPr>
              <w:spacing w:after="0"/>
              <w:rPr>
                <w:sz w:val="1"/>
                <w:szCs w:val="1"/>
                <w:color w:val="auto"/>
              </w:rPr>
            </w:pPr>
          </w:p>
        </w:tc>
      </w:tr>
      <w:tr>
        <w:trPr>
          <w:trHeight w:val="40"/>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Fitii Limited</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England and Wales</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Fitii LLC</w:t>
            </w:r>
          </w:p>
        </w:tc>
        <w:tc>
          <w:tcPr>
            <w:tcW w:w="4260" w:type="dxa"/>
            <w:vAlign w:val="bottom"/>
          </w:tcPr>
          <w:p>
            <w:pPr>
              <w:ind w:left="1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FSM Technologies, LLC</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GoodTherapy.org, LLC</w:t>
            </w:r>
          </w:p>
        </w:tc>
        <w:tc>
          <w:tcPr>
            <w:tcW w:w="4260" w:type="dxa"/>
            <w:vAlign w:val="bottom"/>
          </w:tcPr>
          <w:p>
            <w:pPr>
              <w:ind w:left="1020"/>
              <w:spacing w:after="0"/>
              <w:rPr>
                <w:sz w:val="20"/>
                <w:szCs w:val="20"/>
                <w:color w:val="auto"/>
              </w:rPr>
            </w:pPr>
            <w:r>
              <w:rPr>
                <w:rFonts w:ascii="Arial" w:cs="Arial" w:eastAsia="Arial" w:hAnsi="Arial"/>
                <w:sz w:val="18"/>
                <w:szCs w:val="18"/>
                <w:color w:val="auto"/>
              </w:rPr>
              <w:t>Alaska</w:t>
            </w:r>
          </w:p>
        </w:tc>
        <w:tc>
          <w:tcPr>
            <w:tcW w:w="0" w:type="dxa"/>
            <w:vAlign w:val="bottom"/>
          </w:tcPr>
          <w:p>
            <w:pPr>
              <w:spacing w:after="0"/>
              <w:rPr>
                <w:sz w:val="1"/>
                <w:szCs w:val="1"/>
                <w:color w:val="auto"/>
              </w:rPr>
            </w:pPr>
          </w:p>
        </w:tc>
      </w:tr>
      <w:tr>
        <w:trPr>
          <w:trHeight w:val="40"/>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GuildQuality Inc.</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South Carolina</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Home Contractors Review, LLC d/b/a Five Star Rated and Home Services Review</w:t>
            </w:r>
          </w:p>
        </w:tc>
        <w:tc>
          <w:tcPr>
            <w:tcW w:w="4260" w:type="dxa"/>
            <w:vAlign w:val="bottom"/>
          </w:tcPr>
          <w:p>
            <w:pPr>
              <w:ind w:left="102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40"/>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Improveit! 360, LLC</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Ohio</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iSalus, LLC</w:t>
            </w:r>
          </w:p>
        </w:tc>
        <w:tc>
          <w:tcPr>
            <w:tcW w:w="4260" w:type="dxa"/>
            <w:vAlign w:val="bottom"/>
          </w:tcPr>
          <w:p>
            <w:pPr>
              <w:ind w:left="1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40"/>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J.E.2000, LLC d/b/a Jimmy Marketing</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Connecticut</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Joist Software Inc.</w:t>
            </w:r>
          </w:p>
        </w:tc>
        <w:tc>
          <w:tcPr>
            <w:tcW w:w="4260" w:type="dxa"/>
            <w:vAlign w:val="bottom"/>
          </w:tcPr>
          <w:p>
            <w:pPr>
              <w:ind w:left="1020"/>
              <w:spacing w:after="0"/>
              <w:rPr>
                <w:sz w:val="20"/>
                <w:szCs w:val="20"/>
                <w:color w:val="auto"/>
              </w:rPr>
            </w:pPr>
            <w:r>
              <w:rPr>
                <w:rFonts w:ascii="Arial" w:cs="Arial" w:eastAsia="Arial" w:hAnsi="Arial"/>
                <w:sz w:val="18"/>
                <w:szCs w:val="18"/>
                <w:color w:val="auto"/>
              </w:rPr>
              <w:t>British Columbia</w:t>
            </w:r>
          </w:p>
        </w:tc>
        <w:tc>
          <w:tcPr>
            <w:tcW w:w="0" w:type="dxa"/>
            <w:vAlign w:val="bottom"/>
          </w:tcPr>
          <w:p>
            <w:pPr>
              <w:spacing w:after="0"/>
              <w:rPr>
                <w:sz w:val="1"/>
                <w:szCs w:val="1"/>
                <w:color w:val="auto"/>
              </w:rPr>
            </w:pPr>
          </w:p>
        </w:tc>
      </w:tr>
      <w:tr>
        <w:trPr>
          <w:trHeight w:val="41"/>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Keyword Connects LLC</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Listen360, Inc.</w:t>
            </w:r>
          </w:p>
        </w:tc>
        <w:tc>
          <w:tcPr>
            <w:tcW w:w="4260" w:type="dxa"/>
            <w:vAlign w:val="bottom"/>
          </w:tcPr>
          <w:p>
            <w:pPr>
              <w:ind w:left="1020"/>
              <w:spacing w:after="0"/>
              <w:rPr>
                <w:sz w:val="20"/>
                <w:szCs w:val="20"/>
                <w:color w:val="auto"/>
              </w:rPr>
            </w:pPr>
            <w:r>
              <w:rPr>
                <w:rFonts w:ascii="Arial" w:cs="Arial" w:eastAsia="Arial" w:hAnsi="Arial"/>
                <w:sz w:val="18"/>
                <w:szCs w:val="18"/>
                <w:color w:val="auto"/>
              </w:rPr>
              <w:t>Georgia</w:t>
            </w:r>
          </w:p>
        </w:tc>
        <w:tc>
          <w:tcPr>
            <w:tcW w:w="0" w:type="dxa"/>
            <w:vAlign w:val="bottom"/>
          </w:tcPr>
          <w:p>
            <w:pPr>
              <w:spacing w:after="0"/>
              <w:rPr>
                <w:sz w:val="1"/>
                <w:szCs w:val="1"/>
                <w:color w:val="auto"/>
              </w:rPr>
            </w:pPr>
          </w:p>
        </w:tc>
      </w:tr>
      <w:tr>
        <w:trPr>
          <w:trHeight w:val="41"/>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 Hardware, LLC</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OnVision Solutions, Inc. d/b/a The Studio Director</w:t>
            </w:r>
          </w:p>
        </w:tc>
        <w:tc>
          <w:tcPr>
            <w:tcW w:w="4260" w:type="dxa"/>
            <w:vAlign w:val="bottom"/>
          </w:tcPr>
          <w:p>
            <w:pPr>
              <w:ind w:left="1020"/>
              <w:spacing w:after="0"/>
              <w:rPr>
                <w:sz w:val="20"/>
                <w:szCs w:val="20"/>
                <w:color w:val="auto"/>
              </w:rPr>
            </w:pPr>
            <w:r>
              <w:rPr>
                <w:rFonts w:ascii="Arial" w:cs="Arial" w:eastAsia="Arial" w:hAnsi="Arial"/>
                <w:sz w:val="18"/>
                <w:szCs w:val="18"/>
                <w:color w:val="auto"/>
              </w:rPr>
              <w:t>Colorado</w:t>
            </w:r>
          </w:p>
        </w:tc>
        <w:tc>
          <w:tcPr>
            <w:tcW w:w="0" w:type="dxa"/>
            <w:vAlign w:val="bottom"/>
          </w:tcPr>
          <w:p>
            <w:pPr>
              <w:spacing w:after="0"/>
              <w:rPr>
                <w:sz w:val="1"/>
                <w:szCs w:val="1"/>
                <w:color w:val="auto"/>
              </w:rPr>
            </w:pPr>
          </w:p>
        </w:tc>
      </w:tr>
      <w:tr>
        <w:trPr>
          <w:trHeight w:val="40"/>
        </w:trPr>
        <w:tc>
          <w:tcPr>
            <w:tcW w:w="6980" w:type="dxa"/>
            <w:vAlign w:val="bottom"/>
          </w:tcPr>
          <w:p>
            <w:pPr>
              <w:spacing w:after="0"/>
              <w:rPr>
                <w:sz w:val="3"/>
                <w:szCs w:val="3"/>
                <w:color w:val="auto"/>
              </w:rPr>
            </w:pPr>
          </w:p>
        </w:tc>
        <w:tc>
          <w:tcPr>
            <w:tcW w:w="4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Perennial Software, LLC</w:t>
            </w:r>
          </w:p>
        </w:tc>
        <w:tc>
          <w:tcPr>
            <w:tcW w:w="42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Delaware</w:t>
            </w:r>
          </w:p>
        </w:tc>
        <w:tc>
          <w:tcPr>
            <w:tcW w:w="0" w:type="dxa"/>
            <w:vAlign w:val="bottom"/>
          </w:tcPr>
          <w:p>
            <w:pPr>
              <w:spacing w:after="0"/>
              <w:rPr>
                <w:sz w:val="1"/>
                <w:szCs w:val="1"/>
                <w:color w:val="auto"/>
              </w:rPr>
            </w:pPr>
          </w:p>
        </w:tc>
      </w:tr>
      <w:tr>
        <w:trPr>
          <w:trHeight w:val="243"/>
        </w:trPr>
        <w:tc>
          <w:tcPr>
            <w:tcW w:w="6980" w:type="dxa"/>
            <w:vAlign w:val="bottom"/>
          </w:tcPr>
          <w:p>
            <w:pPr>
              <w:ind w:left="20"/>
              <w:spacing w:after="0"/>
              <w:rPr>
                <w:sz w:val="20"/>
                <w:szCs w:val="20"/>
                <w:color w:val="auto"/>
              </w:rPr>
            </w:pPr>
            <w:r>
              <w:rPr>
                <w:rFonts w:ascii="Arial" w:cs="Arial" w:eastAsia="Arial" w:hAnsi="Arial"/>
                <w:sz w:val="18"/>
                <w:szCs w:val="18"/>
                <w:color w:val="auto"/>
              </w:rPr>
              <w:t>PM Ventures, LLC</w:t>
            </w:r>
          </w:p>
        </w:tc>
        <w:tc>
          <w:tcPr>
            <w:tcW w:w="4260" w:type="dxa"/>
            <w:vAlign w:val="bottom"/>
          </w:tcPr>
          <w:p>
            <w:pPr>
              <w:ind w:left="1020"/>
              <w:spacing w:after="0"/>
              <w:rPr>
                <w:sz w:val="20"/>
                <w:szCs w:val="20"/>
                <w:color w:val="auto"/>
              </w:rPr>
            </w:pPr>
            <w:r>
              <w:rPr>
                <w:rFonts w:ascii="Arial" w:cs="Arial" w:eastAsia="Arial" w:hAnsi="Arial"/>
                <w:sz w:val="18"/>
                <w:szCs w:val="18"/>
                <w:color w:val="auto"/>
              </w:rPr>
              <w:t>Texas</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37" w:name="page138"/>
    <w:bookmarkEnd w:id="137"/>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Qiigo L.L.C.</w:t>
            </w:r>
          </w:p>
        </w:tc>
        <w:tc>
          <w:tcPr>
            <w:tcW w:w="560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Georgia</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Remodeling.com, LLC</w:t>
            </w:r>
          </w:p>
        </w:tc>
        <w:tc>
          <w:tcPr>
            <w:tcW w:w="560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40"/>
        </w:trPr>
        <w:tc>
          <w:tcPr>
            <w:tcW w:w="5640" w:type="dxa"/>
            <w:vAlign w:val="bottom"/>
          </w:tcPr>
          <w:p>
            <w:pPr>
              <w:spacing w:after="0"/>
              <w:rPr>
                <w:sz w:val="3"/>
                <w:szCs w:val="3"/>
                <w:color w:val="auto"/>
              </w:rPr>
            </w:pPr>
          </w:p>
        </w:tc>
        <w:tc>
          <w:tcPr>
            <w:tcW w:w="560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RoofSnap, LLC</w:t>
            </w:r>
          </w:p>
        </w:tc>
        <w:tc>
          <w:tcPr>
            <w:tcW w:w="560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Georgia</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SalonBiz, Inc.</w:t>
            </w:r>
          </w:p>
        </w:tc>
        <w:tc>
          <w:tcPr>
            <w:tcW w:w="5600" w:type="dxa"/>
            <w:vAlign w:val="bottom"/>
          </w:tcPr>
          <w:p>
            <w:pPr>
              <w:ind w:left="2360"/>
              <w:spacing w:after="0"/>
              <w:rPr>
                <w:sz w:val="20"/>
                <w:szCs w:val="20"/>
                <w:color w:val="auto"/>
              </w:rPr>
            </w:pPr>
            <w:r>
              <w:rPr>
                <w:rFonts w:ascii="Arial" w:cs="Arial" w:eastAsia="Arial" w:hAnsi="Arial"/>
                <w:sz w:val="18"/>
                <w:szCs w:val="18"/>
                <w:color w:val="auto"/>
              </w:rPr>
              <w:t>Louisiana</w:t>
            </w:r>
          </w:p>
        </w:tc>
      </w:tr>
      <w:tr>
        <w:trPr>
          <w:trHeight w:val="41"/>
        </w:trPr>
        <w:tc>
          <w:tcPr>
            <w:tcW w:w="5640" w:type="dxa"/>
            <w:vAlign w:val="bottom"/>
          </w:tcPr>
          <w:p>
            <w:pPr>
              <w:spacing w:after="0"/>
              <w:rPr>
                <w:sz w:val="3"/>
                <w:szCs w:val="3"/>
                <w:color w:val="auto"/>
              </w:rPr>
            </w:pPr>
          </w:p>
        </w:tc>
        <w:tc>
          <w:tcPr>
            <w:tcW w:w="560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Secure Global Solutions, LLC</w:t>
            </w:r>
          </w:p>
        </w:tc>
        <w:tc>
          <w:tcPr>
            <w:tcW w:w="560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California</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Security Information Systems, Inc.</w:t>
            </w:r>
          </w:p>
        </w:tc>
        <w:tc>
          <w:tcPr>
            <w:tcW w:w="5600" w:type="dxa"/>
            <w:vAlign w:val="bottom"/>
          </w:tcPr>
          <w:p>
            <w:pPr>
              <w:ind w:left="2360"/>
              <w:spacing w:after="0"/>
              <w:rPr>
                <w:sz w:val="20"/>
                <w:szCs w:val="20"/>
                <w:color w:val="auto"/>
              </w:rPr>
            </w:pPr>
            <w:r>
              <w:rPr>
                <w:rFonts w:ascii="Arial" w:cs="Arial" w:eastAsia="Arial" w:hAnsi="Arial"/>
                <w:sz w:val="18"/>
                <w:szCs w:val="18"/>
                <w:color w:val="auto"/>
              </w:rPr>
              <w:t>Michigan</w:t>
            </w:r>
          </w:p>
        </w:tc>
      </w:tr>
      <w:tr>
        <w:trPr>
          <w:trHeight w:val="40"/>
        </w:trPr>
        <w:tc>
          <w:tcPr>
            <w:tcW w:w="5640" w:type="dxa"/>
            <w:vAlign w:val="bottom"/>
          </w:tcPr>
          <w:p>
            <w:pPr>
              <w:spacing w:after="0"/>
              <w:rPr>
                <w:sz w:val="3"/>
                <w:szCs w:val="3"/>
                <w:color w:val="auto"/>
              </w:rPr>
            </w:pPr>
          </w:p>
        </w:tc>
        <w:tc>
          <w:tcPr>
            <w:tcW w:w="560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Nation Inc.</w:t>
            </w:r>
          </w:p>
        </w:tc>
        <w:tc>
          <w:tcPr>
            <w:tcW w:w="560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Texas</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Socius Marketing, LLC</w:t>
            </w:r>
          </w:p>
        </w:tc>
        <w:tc>
          <w:tcPr>
            <w:tcW w:w="5600" w:type="dxa"/>
            <w:vAlign w:val="bottom"/>
          </w:tcPr>
          <w:p>
            <w:pPr>
              <w:ind w:left="2360"/>
              <w:spacing w:after="0"/>
              <w:rPr>
                <w:sz w:val="20"/>
                <w:szCs w:val="20"/>
                <w:color w:val="auto"/>
              </w:rPr>
            </w:pPr>
            <w:r>
              <w:rPr>
                <w:rFonts w:ascii="Arial" w:cs="Arial" w:eastAsia="Arial" w:hAnsi="Arial"/>
                <w:sz w:val="18"/>
                <w:szCs w:val="18"/>
                <w:color w:val="auto"/>
              </w:rPr>
              <w:t>Florida</w:t>
            </w:r>
          </w:p>
        </w:tc>
      </w:tr>
      <w:tr>
        <w:trPr>
          <w:trHeight w:val="40"/>
        </w:trPr>
        <w:tc>
          <w:tcPr>
            <w:tcW w:w="5640" w:type="dxa"/>
            <w:vAlign w:val="bottom"/>
          </w:tcPr>
          <w:p>
            <w:pPr>
              <w:spacing w:after="0"/>
              <w:rPr>
                <w:sz w:val="3"/>
                <w:szCs w:val="3"/>
                <w:color w:val="auto"/>
              </w:rPr>
            </w:pPr>
          </w:p>
        </w:tc>
        <w:tc>
          <w:tcPr>
            <w:tcW w:w="5600" w:type="dxa"/>
            <w:vAlign w:val="bottom"/>
          </w:tcPr>
          <w:p>
            <w:pPr>
              <w:spacing w:after="0"/>
              <w:rPr>
                <w:sz w:val="3"/>
                <w:szCs w:val="3"/>
                <w:color w:val="auto"/>
              </w:rPr>
            </w:pPr>
          </w:p>
        </w:tc>
      </w:tr>
      <w:tr>
        <w:trPr>
          <w:trHeight w:val="264"/>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Speetra Inc. d/b/a pulseM</w:t>
            </w:r>
          </w:p>
        </w:tc>
        <w:tc>
          <w:tcPr>
            <w:tcW w:w="560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Texas</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Technique Fitness, Inc. d/b/a Club OS</w:t>
            </w:r>
          </w:p>
        </w:tc>
        <w:tc>
          <w:tcPr>
            <w:tcW w:w="5600" w:type="dxa"/>
            <w:vAlign w:val="bottom"/>
          </w:tcPr>
          <w:p>
            <w:pPr>
              <w:ind w:left="2360"/>
              <w:spacing w:after="0"/>
              <w:rPr>
                <w:sz w:val="20"/>
                <w:szCs w:val="20"/>
                <w:color w:val="auto"/>
              </w:rPr>
            </w:pPr>
            <w:r>
              <w:rPr>
                <w:rFonts w:ascii="Arial" w:cs="Arial" w:eastAsia="Arial" w:hAnsi="Arial"/>
                <w:sz w:val="18"/>
                <w:szCs w:val="18"/>
                <w:color w:val="auto"/>
              </w:rPr>
              <w:t>Pennsylvania</w:t>
            </w:r>
          </w:p>
        </w:tc>
      </w:tr>
      <w:tr>
        <w:trPr>
          <w:trHeight w:val="41"/>
        </w:trPr>
        <w:tc>
          <w:tcPr>
            <w:tcW w:w="5640" w:type="dxa"/>
            <w:vAlign w:val="bottom"/>
          </w:tcPr>
          <w:p>
            <w:pPr>
              <w:spacing w:after="0"/>
              <w:rPr>
                <w:sz w:val="3"/>
                <w:szCs w:val="3"/>
                <w:color w:val="auto"/>
              </w:rPr>
            </w:pPr>
          </w:p>
        </w:tc>
        <w:tc>
          <w:tcPr>
            <w:tcW w:w="560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Timely Limited</w:t>
            </w:r>
          </w:p>
        </w:tc>
        <w:tc>
          <w:tcPr>
            <w:tcW w:w="560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New Zealand</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Timely Software Ltd.</w:t>
            </w:r>
          </w:p>
        </w:tc>
        <w:tc>
          <w:tcPr>
            <w:tcW w:w="5600" w:type="dxa"/>
            <w:vAlign w:val="bottom"/>
          </w:tcPr>
          <w:p>
            <w:pPr>
              <w:ind w:left="2360"/>
              <w:spacing w:after="0"/>
              <w:rPr>
                <w:sz w:val="20"/>
                <w:szCs w:val="20"/>
                <w:color w:val="auto"/>
              </w:rPr>
            </w:pPr>
            <w:r>
              <w:rPr>
                <w:rFonts w:ascii="Arial" w:cs="Arial" w:eastAsia="Arial" w:hAnsi="Arial"/>
                <w:sz w:val="18"/>
                <w:szCs w:val="18"/>
                <w:color w:val="auto"/>
              </w:rPr>
              <w:t>England</w:t>
            </w:r>
          </w:p>
        </w:tc>
      </w:tr>
      <w:tr>
        <w:trPr>
          <w:trHeight w:val="40"/>
        </w:trPr>
        <w:tc>
          <w:tcPr>
            <w:tcW w:w="5640" w:type="dxa"/>
            <w:vAlign w:val="bottom"/>
          </w:tcPr>
          <w:p>
            <w:pPr>
              <w:spacing w:after="0"/>
              <w:rPr>
                <w:sz w:val="3"/>
                <w:szCs w:val="3"/>
                <w:color w:val="auto"/>
              </w:rPr>
            </w:pPr>
          </w:p>
        </w:tc>
        <w:tc>
          <w:tcPr>
            <w:tcW w:w="5600" w:type="dxa"/>
            <w:vAlign w:val="bottom"/>
          </w:tcPr>
          <w:p>
            <w:pPr>
              <w:spacing w:after="0"/>
              <w:rPr>
                <w:sz w:val="3"/>
                <w:szCs w:val="3"/>
                <w:color w:val="auto"/>
              </w:rPr>
            </w:pPr>
          </w:p>
        </w:tc>
      </w:tr>
      <w:tr>
        <w:trPr>
          <w:trHeight w:val="26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Timely Software Pty. Ltd.</w:t>
            </w:r>
          </w:p>
        </w:tc>
        <w:tc>
          <w:tcPr>
            <w:tcW w:w="560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Australia</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TPC Acquisition, LLC d/b/a Therapy Partner</w:t>
            </w:r>
          </w:p>
        </w:tc>
        <w:tc>
          <w:tcPr>
            <w:tcW w:w="5600" w:type="dxa"/>
            <w:vAlign w:val="bottom"/>
          </w:tcPr>
          <w:p>
            <w:pPr>
              <w:ind w:left="2360"/>
              <w:spacing w:after="0"/>
              <w:rPr>
                <w:sz w:val="20"/>
                <w:szCs w:val="20"/>
                <w:color w:val="auto"/>
              </w:rPr>
            </w:pPr>
            <w:r>
              <w:rPr>
                <w:rFonts w:ascii="Arial" w:cs="Arial" w:eastAsia="Arial" w:hAnsi="Arial"/>
                <w:sz w:val="18"/>
                <w:szCs w:val="18"/>
                <w:color w:val="auto"/>
              </w:rPr>
              <w:t>Delaware</w:t>
            </w:r>
          </w:p>
        </w:tc>
      </w:tr>
      <w:tr>
        <w:trPr>
          <w:trHeight w:val="40"/>
        </w:trPr>
        <w:tc>
          <w:tcPr>
            <w:tcW w:w="5640" w:type="dxa"/>
            <w:vAlign w:val="bottom"/>
          </w:tcPr>
          <w:p>
            <w:pPr>
              <w:spacing w:after="0"/>
              <w:rPr>
                <w:sz w:val="3"/>
                <w:szCs w:val="3"/>
                <w:color w:val="auto"/>
              </w:rPr>
            </w:pPr>
          </w:p>
        </w:tc>
        <w:tc>
          <w:tcPr>
            <w:tcW w:w="5600" w:type="dxa"/>
            <w:vAlign w:val="bottom"/>
          </w:tcPr>
          <w:p>
            <w:pPr>
              <w:spacing w:after="0"/>
              <w:rPr>
                <w:sz w:val="3"/>
                <w:szCs w:val="3"/>
                <w:color w:val="auto"/>
              </w:rPr>
            </w:pPr>
          </w:p>
        </w:tc>
      </w:tr>
      <w:tr>
        <w:trPr>
          <w:trHeight w:val="264"/>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Updox LLC</w:t>
            </w:r>
          </w:p>
        </w:tc>
        <w:tc>
          <w:tcPr>
            <w:tcW w:w="5600" w:type="dxa"/>
            <w:vAlign w:val="bottom"/>
            <w:tcBorders>
              <w:bottom w:val="single" w:sz="8" w:color="CCEEFF"/>
            </w:tcBorders>
            <w:shd w:val="clear" w:color="auto" w:fill="CCEEFF"/>
          </w:tcPr>
          <w:p>
            <w:pPr>
              <w:ind w:left="2360"/>
              <w:spacing w:after="0"/>
              <w:rPr>
                <w:sz w:val="20"/>
                <w:szCs w:val="20"/>
                <w:color w:val="auto"/>
              </w:rPr>
            </w:pPr>
            <w:r>
              <w:rPr>
                <w:rFonts w:ascii="Arial" w:cs="Arial" w:eastAsia="Arial" w:hAnsi="Arial"/>
                <w:sz w:val="18"/>
                <w:szCs w:val="18"/>
                <w:color w:val="auto"/>
              </w:rPr>
              <w:t>Delaware</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Zenvoice Software Inc.</w:t>
            </w:r>
          </w:p>
        </w:tc>
        <w:tc>
          <w:tcPr>
            <w:tcW w:w="5600" w:type="dxa"/>
            <w:vAlign w:val="bottom"/>
          </w:tcPr>
          <w:p>
            <w:pPr>
              <w:ind w:left="2360"/>
              <w:spacing w:after="0"/>
              <w:rPr>
                <w:sz w:val="20"/>
                <w:szCs w:val="20"/>
                <w:color w:val="auto"/>
              </w:rPr>
            </w:pPr>
            <w:r>
              <w:rPr>
                <w:rFonts w:ascii="Arial" w:cs="Arial" w:eastAsia="Arial" w:hAnsi="Arial"/>
                <w:sz w:val="18"/>
                <w:szCs w:val="18"/>
                <w:color w:val="auto"/>
              </w:rPr>
              <w:t>British Columbia</w:t>
            </w:r>
          </w:p>
        </w:tc>
      </w:tr>
    </w:tbl>
    <w:p>
      <w:pPr>
        <w:sectPr>
          <w:pgSz w:w="11900" w:h="16838" w:orient="portrait"/>
          <w:cols w:equalWidth="0" w:num="1">
            <w:col w:w="11240"/>
          </w:cols>
          <w:pgMar w:left="320" w:top="1440"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9" w:lineRule="exact"/>
        <w:rPr>
          <w:sz w:val="20"/>
          <w:szCs w:val="20"/>
          <w:color w:val="auto"/>
        </w:rPr>
      </w:pPr>
    </w:p>
    <w:p>
      <w:pPr>
        <w:ind w:left="660" w:hanging="328"/>
        <w:spacing w:after="0" w:line="261" w:lineRule="auto"/>
        <w:tabs>
          <w:tab w:leader="none" w:pos="65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333-257707) pertaining to the Amended &amp; Restated 2016 Equity Incentive Plan, 2021 Incentive Award Plan and the 2021 Employee Stock Purchase Plan of EverCommerce Inc.</w:t>
      </w:r>
    </w:p>
    <w:p>
      <w:pPr>
        <w:spacing w:after="0" w:line="197"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Registration Statement (Form S-8 No. 333-268321) pertaining to the 2021 Incentive Award Plan, 2021 Employee Stock Purchase Plan, and 2008 Equity Incentive Plan of EverCommerce Inc. (formerly known as PaySimple, Inc.)</w:t>
      </w:r>
    </w:p>
    <w:p>
      <w:pPr>
        <w:spacing w:after="0" w:line="198"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color w:val="auto"/>
        </w:rPr>
        <w:t>of our report dated March 15, 2023, with respect to the consolidated financial statements of EverCommerce Inc. included in this Annual Report on Form 10-K of EverCommerce Inc. for the year ended December 31, 2022.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Denver, Colorado</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15, 2023</w:t>
      </w:r>
    </w:p>
    <w:p>
      <w:pPr>
        <w:sectPr>
          <w:pgSz w:w="11900" w:h="16838" w:orient="portrait"/>
          <w:cols w:equalWidth="0" w:num="1">
            <w:col w:w="11240"/>
          </w:cols>
          <w:pgMar w:left="320" w:top="121" w:right="339" w:bottom="1440" w:gutter="0" w:footer="0" w:header="0"/>
        </w:sectPr>
      </w:pPr>
    </w:p>
    <w:bookmarkStart w:id="139" w:name="page140"/>
    <w:bookmarkEnd w:id="139"/>
    <w:p>
      <w:pPr>
        <w:ind w:left="10320"/>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Eric Remer, certify that:</w:t>
      </w:r>
    </w:p>
    <w:p>
      <w:pPr>
        <w:spacing w:after="0" w:line="198" w:lineRule="exact"/>
        <w:rPr>
          <w:sz w:val="20"/>
          <w:szCs w:val="20"/>
          <w:color w:val="auto"/>
        </w:rPr>
      </w:pPr>
    </w:p>
    <w:p>
      <w:pPr>
        <w:ind w:left="440" w:hanging="432"/>
        <w:spacing w:after="0"/>
        <w:tabs>
          <w:tab w:leader="none" w:pos="4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EverCommerce Inc.;</w:t>
      </w:r>
    </w:p>
    <w:p>
      <w:pPr>
        <w:spacing w:after="0" w:line="184" w:lineRule="exact"/>
        <w:rPr>
          <w:rFonts w:ascii="Arial" w:cs="Arial" w:eastAsia="Arial" w:hAnsi="Arial"/>
          <w:sz w:val="18"/>
          <w:szCs w:val="18"/>
          <w:color w:val="auto"/>
        </w:rPr>
      </w:pPr>
    </w:p>
    <w:p>
      <w:pPr>
        <w:jc w:val="both"/>
        <w:ind w:left="440" w:hanging="432"/>
        <w:spacing w:after="0" w:line="229" w:lineRule="auto"/>
        <w:tabs>
          <w:tab w:leader="none" w:pos="4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40" w:hanging="432"/>
        <w:spacing w:after="0" w:line="235" w:lineRule="auto"/>
        <w:tabs>
          <w:tab w:leader="none" w:pos="4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420" w:hanging="412"/>
        <w:spacing w:after="0" w:line="224" w:lineRule="auto"/>
        <w:tabs>
          <w:tab w:leader="none" w:pos="4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900" w:hanging="451"/>
        <w:spacing w:after="0" w:line="224" w:lineRule="auto"/>
        <w:tabs>
          <w:tab w:leader="none" w:pos="874"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jc w:val="both"/>
        <w:ind w:left="900" w:hanging="451"/>
        <w:spacing w:after="0" w:line="224" w:lineRule="auto"/>
        <w:tabs>
          <w:tab w:leader="none" w:pos="95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51"/>
        <w:spacing w:after="0" w:line="229" w:lineRule="auto"/>
        <w:tabs>
          <w:tab w:leader="none" w:pos="885"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440" w:hanging="432"/>
        <w:spacing w:after="0" w:line="274" w:lineRule="auto"/>
        <w:tabs>
          <w:tab w:leader="none" w:pos="431"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7"/>
          <w:szCs w:val="17"/>
          <w:color w:val="auto"/>
        </w:rPr>
      </w:pPr>
    </w:p>
    <w:p>
      <w:pPr>
        <w:ind w:left="900" w:hanging="451"/>
        <w:spacing w:after="0" w:line="235" w:lineRule="auto"/>
        <w:tabs>
          <w:tab w:leader="none" w:pos="848"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900" w:hanging="451"/>
        <w:spacing w:after="0" w:line="235" w:lineRule="auto"/>
        <w:tabs>
          <w:tab w:leader="none" w:pos="852"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56" w:lineRule="exact"/>
        <w:rPr>
          <w:sz w:val="20"/>
          <w:szCs w:val="20"/>
          <w:color w:val="auto"/>
        </w:rPr>
      </w:pPr>
    </w:p>
    <w:p>
      <w:pPr>
        <w:ind w:left="20"/>
        <w:spacing w:after="0"/>
        <w:tabs>
          <w:tab w:leader="none" w:pos="5320" w:val="left"/>
          <w:tab w:leader="none" w:pos="6220" w:val="left"/>
        </w:tabs>
        <w:rPr>
          <w:sz w:val="20"/>
          <w:szCs w:val="20"/>
          <w:color w:val="auto"/>
        </w:rPr>
      </w:pPr>
      <w:r>
        <w:rPr>
          <w:rFonts w:ascii="Arial" w:cs="Arial" w:eastAsia="Arial" w:hAnsi="Arial"/>
          <w:sz w:val="18"/>
          <w:szCs w:val="18"/>
          <w:color w:val="auto"/>
        </w:rPr>
        <w:t>Date: March 15, 2023</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36195</wp:posOffset>
            </wp:positionV>
            <wp:extent cx="318897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4">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9" w:lineRule="exact"/>
        <w:rPr>
          <w:sz w:val="20"/>
          <w:szCs w:val="20"/>
          <w:color w:val="auto"/>
        </w:rPr>
      </w:pPr>
    </w:p>
    <w:p>
      <w:pPr>
        <w:ind w:left="8280"/>
        <w:spacing w:after="0"/>
        <w:rPr>
          <w:sz w:val="20"/>
          <w:szCs w:val="20"/>
          <w:color w:val="auto"/>
        </w:rPr>
      </w:pPr>
      <w:r>
        <w:rPr>
          <w:rFonts w:ascii="Arial" w:cs="Arial" w:eastAsia="Arial" w:hAnsi="Arial"/>
          <w:sz w:val="18"/>
          <w:szCs w:val="18"/>
          <w:b w:val="1"/>
          <w:bCs w:val="1"/>
          <w:color w:val="auto"/>
        </w:rPr>
        <w:t>Eric Remer</w:t>
      </w:r>
    </w:p>
    <w:p>
      <w:pPr>
        <w:spacing w:after="0" w:line="63" w:lineRule="exact"/>
        <w:rPr>
          <w:sz w:val="20"/>
          <w:szCs w:val="20"/>
          <w:color w:val="auto"/>
        </w:rPr>
      </w:pPr>
    </w:p>
    <w:p>
      <w:pPr>
        <w:ind w:left="7320"/>
        <w:spacing w:after="0"/>
        <w:rPr>
          <w:sz w:val="20"/>
          <w:szCs w:val="20"/>
          <w:color w:val="auto"/>
        </w:rPr>
      </w:pPr>
      <w:r>
        <w:rPr>
          <w:rFonts w:ascii="Arial" w:cs="Arial" w:eastAsia="Arial" w:hAnsi="Arial"/>
          <w:sz w:val="18"/>
          <w:szCs w:val="18"/>
          <w:b w:val="1"/>
          <w:bCs w:val="1"/>
          <w:color w:val="auto"/>
        </w:rPr>
        <w:t>Chief Executive Officer and Director</w:t>
      </w:r>
    </w:p>
    <w:p>
      <w:pPr>
        <w:spacing w:after="0" w:line="2"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8" w:right="339" w:bottom="1440" w:gutter="0" w:footer="0" w:header="0"/>
        </w:sectPr>
      </w:pPr>
    </w:p>
    <w:bookmarkStart w:id="140" w:name="page141"/>
    <w:bookmarkEnd w:id="140"/>
    <w:p>
      <w:pPr>
        <w:ind w:left="10320"/>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Marc Thompson, certify that:</w:t>
      </w:r>
    </w:p>
    <w:p>
      <w:pPr>
        <w:spacing w:after="0" w:line="198"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EverCommerce Inc.;</w:t>
      </w:r>
    </w:p>
    <w:p>
      <w:pPr>
        <w:spacing w:after="0" w:line="184" w:lineRule="exact"/>
        <w:rPr>
          <w:rFonts w:ascii="Arial" w:cs="Arial" w:eastAsia="Arial" w:hAnsi="Arial"/>
          <w:sz w:val="18"/>
          <w:szCs w:val="18"/>
          <w:color w:val="auto"/>
        </w:rPr>
      </w:pPr>
    </w:p>
    <w:p>
      <w:pPr>
        <w:jc w:val="both"/>
        <w:ind w:left="420" w:hanging="412"/>
        <w:spacing w:after="0" w:line="229"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420" w:hanging="412"/>
        <w:spacing w:after="0" w:line="235"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8"/>
          <w:szCs w:val="18"/>
          <w:color w:val="auto"/>
        </w:rPr>
      </w:pPr>
    </w:p>
    <w:p>
      <w:pPr>
        <w:jc w:val="both"/>
        <w:ind w:left="420" w:hanging="412"/>
        <w:spacing w:after="0" w:line="224" w:lineRule="auto"/>
        <w:tabs>
          <w:tab w:leader="none" w:pos="4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900" w:hanging="451"/>
        <w:spacing w:after="0" w:line="224" w:lineRule="auto"/>
        <w:tabs>
          <w:tab w:leader="none" w:pos="874"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Arial" w:cs="Arial" w:eastAsia="Arial" w:hAnsi="Arial"/>
          <w:sz w:val="18"/>
          <w:szCs w:val="18"/>
          <w:color w:val="auto"/>
        </w:rPr>
      </w:pPr>
    </w:p>
    <w:p>
      <w:pPr>
        <w:jc w:val="both"/>
        <w:ind w:left="900" w:hanging="451"/>
        <w:spacing w:after="0" w:line="224" w:lineRule="auto"/>
        <w:tabs>
          <w:tab w:leader="none" w:pos="95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Arial" w:cs="Arial" w:eastAsia="Arial" w:hAnsi="Arial"/>
          <w:sz w:val="18"/>
          <w:szCs w:val="18"/>
          <w:color w:val="auto"/>
        </w:rPr>
      </w:pPr>
    </w:p>
    <w:p>
      <w:pPr>
        <w:ind w:left="900" w:hanging="451"/>
        <w:spacing w:after="0" w:line="258" w:lineRule="auto"/>
        <w:tabs>
          <w:tab w:leader="none" w:pos="971"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51"/>
        <w:spacing w:after="0" w:line="229" w:lineRule="auto"/>
        <w:tabs>
          <w:tab w:leader="none" w:pos="885"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420" w:hanging="412"/>
        <w:spacing w:after="0" w:line="274" w:lineRule="auto"/>
        <w:tabs>
          <w:tab w:leader="none" w:pos="4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Arial" w:cs="Arial" w:eastAsia="Arial" w:hAnsi="Arial"/>
          <w:sz w:val="17"/>
          <w:szCs w:val="17"/>
          <w:color w:val="auto"/>
        </w:rPr>
      </w:pPr>
    </w:p>
    <w:p>
      <w:pPr>
        <w:ind w:left="900" w:hanging="451"/>
        <w:spacing w:after="0" w:line="235" w:lineRule="auto"/>
        <w:tabs>
          <w:tab w:leader="none" w:pos="848" w:val="left"/>
        </w:tabs>
        <w:numPr>
          <w:ilvl w:val="1"/>
          <w:numId w:val="5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8"/>
          <w:szCs w:val="18"/>
          <w:color w:val="auto"/>
        </w:rPr>
      </w:pPr>
    </w:p>
    <w:p>
      <w:pPr>
        <w:ind w:left="900" w:hanging="451"/>
        <w:spacing w:after="0" w:line="235" w:lineRule="auto"/>
        <w:tabs>
          <w:tab w:leader="none" w:pos="852"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56" w:lineRule="exact"/>
        <w:rPr>
          <w:sz w:val="20"/>
          <w:szCs w:val="20"/>
          <w:color w:val="auto"/>
        </w:rPr>
      </w:pPr>
    </w:p>
    <w:p>
      <w:pPr>
        <w:ind w:left="20"/>
        <w:spacing w:after="0"/>
        <w:tabs>
          <w:tab w:leader="none" w:pos="5320" w:val="left"/>
          <w:tab w:leader="none" w:pos="6220" w:val="left"/>
        </w:tabs>
        <w:rPr>
          <w:sz w:val="20"/>
          <w:szCs w:val="20"/>
          <w:color w:val="auto"/>
        </w:rPr>
      </w:pPr>
      <w:r>
        <w:rPr>
          <w:rFonts w:ascii="Arial" w:cs="Arial" w:eastAsia="Arial" w:hAnsi="Arial"/>
          <w:sz w:val="18"/>
          <w:szCs w:val="18"/>
          <w:color w:val="auto"/>
        </w:rPr>
        <w:t>Date: March 15, 2023</w:t>
      </w:r>
      <w:r>
        <w:rPr>
          <w:sz w:val="20"/>
          <w:szCs w:val="20"/>
          <w:color w:val="auto"/>
        </w:rPr>
        <w:tab/>
      </w:r>
      <w:r>
        <w:rPr>
          <w:rFonts w:ascii="Arial" w:cs="Arial" w:eastAsia="Arial" w:hAnsi="Arial"/>
          <w:sz w:val="36"/>
          <w:szCs w:val="36"/>
          <w:color w:val="auto"/>
          <w:vertAlign w:val="subscript"/>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36195</wp:posOffset>
            </wp:positionV>
            <wp:extent cx="318897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5">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59"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Marc Thompson</w:t>
      </w:r>
    </w:p>
    <w:p>
      <w:pPr>
        <w:spacing w:after="0" w:line="6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Chief Financial Officer</w:t>
      </w:r>
    </w:p>
    <w:p>
      <w:pPr>
        <w:spacing w:after="0" w:line="2" w:lineRule="exact"/>
        <w:rPr>
          <w:sz w:val="20"/>
          <w:szCs w:val="20"/>
          <w:color w:val="auto"/>
        </w:rPr>
      </w:pPr>
    </w:p>
    <w:p>
      <w:pPr>
        <w:ind w:left="7680"/>
        <w:spacing w:after="0"/>
        <w:rPr>
          <w:sz w:val="20"/>
          <w:szCs w:val="20"/>
          <w:color w:val="auto"/>
        </w:rPr>
      </w:pPr>
      <w:r>
        <w:rPr>
          <w:rFonts w:ascii="Arial" w:cs="Arial" w:eastAsia="Arial" w:hAnsi="Arial"/>
          <w:sz w:val="18"/>
          <w:szCs w:val="18"/>
          <w:b w:val="1"/>
          <w:bCs w:val="1"/>
          <w:color w:val="auto"/>
        </w:rPr>
        <w:t>(principal financial officer)</w:t>
      </w:r>
    </w:p>
    <w:p>
      <w:pPr>
        <w:sectPr>
          <w:pgSz w:w="11900" w:h="16838" w:orient="portrait"/>
          <w:cols w:equalWidth="0" w:num="1">
            <w:col w:w="11240"/>
          </w:cols>
          <w:pgMar w:left="320" w:top="108"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40"/>
        <w:spacing w:after="0" w:line="219" w:lineRule="auto"/>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firstLine="441"/>
        <w:spacing w:after="0" w:line="248" w:lineRule="auto"/>
        <w:rPr>
          <w:sz w:val="20"/>
          <w:szCs w:val="20"/>
          <w:color w:val="auto"/>
        </w:rPr>
      </w:pPr>
      <w:r>
        <w:rPr>
          <w:rFonts w:ascii="Arial" w:cs="Arial" w:eastAsia="Arial" w:hAnsi="Arial"/>
          <w:sz w:val="16"/>
          <w:szCs w:val="16"/>
          <w:color w:val="auto"/>
        </w:rPr>
        <w:t>In connection with the Annual Report on Form 10-K of EverCommerce Inc. (the “Company”) for the period ended December 31, 2022 as filed with the Securities and Exchange Commission on the date hereof (the “Report”), I certify, pursuant to 18 U.S.C. § 1350, as adopted pursuant to § 906 of the</w:t>
      </w:r>
    </w:p>
    <w:p>
      <w:pPr>
        <w:spacing w:after="0"/>
        <w:rPr>
          <w:sz w:val="20"/>
          <w:szCs w:val="20"/>
          <w:color w:val="auto"/>
        </w:rPr>
      </w:pPr>
      <w:r>
        <w:rPr>
          <w:rFonts w:ascii="Arial" w:cs="Arial" w:eastAsia="Arial" w:hAnsi="Arial"/>
          <w:sz w:val="18"/>
          <w:szCs w:val="18"/>
          <w:color w:val="auto"/>
        </w:rPr>
        <w:t>Sarbanes-Oxley Act of 2002, that, to the best of my knowledge:</w:t>
      </w:r>
    </w:p>
    <w:p>
      <w:pPr>
        <w:spacing w:after="0" w:line="169" w:lineRule="exact"/>
        <w:rPr>
          <w:sz w:val="20"/>
          <w:szCs w:val="20"/>
          <w:color w:val="auto"/>
        </w:rPr>
      </w:pPr>
    </w:p>
    <w:p>
      <w:pPr>
        <w:ind w:left="840" w:hanging="391"/>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40" w:hanging="391"/>
        <w:spacing w:after="0"/>
        <w:tabs>
          <w:tab w:leader="none" w:pos="8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16" w:lineRule="exact"/>
        <w:rPr>
          <w:sz w:val="20"/>
          <w:szCs w:val="20"/>
          <w:color w:val="auto"/>
        </w:rPr>
      </w:pPr>
    </w:p>
    <w:p>
      <w:pPr>
        <w:ind w:left="20"/>
        <w:spacing w:after="0"/>
        <w:tabs>
          <w:tab w:leader="none" w:pos="5640" w:val="left"/>
          <w:tab w:leader="none" w:pos="6060" w:val="left"/>
        </w:tabs>
        <w:rPr>
          <w:sz w:val="20"/>
          <w:szCs w:val="20"/>
          <w:color w:val="auto"/>
        </w:rPr>
      </w:pPr>
      <w:r>
        <w:rPr>
          <w:rFonts w:ascii="Arial" w:cs="Arial" w:eastAsia="Arial" w:hAnsi="Arial"/>
          <w:sz w:val="18"/>
          <w:szCs w:val="18"/>
          <w:color w:val="auto"/>
        </w:rPr>
        <w:t>Date: March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Remer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40640</wp:posOffset>
            </wp:positionV>
            <wp:extent cx="329184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6">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66" w:lineRule="exact"/>
        <w:rPr>
          <w:sz w:val="20"/>
          <w:szCs w:val="20"/>
          <w:color w:val="auto"/>
        </w:rPr>
      </w:pPr>
    </w:p>
    <w:p>
      <w:pPr>
        <w:ind w:left="8200"/>
        <w:spacing w:after="0"/>
        <w:rPr>
          <w:sz w:val="20"/>
          <w:szCs w:val="20"/>
          <w:color w:val="auto"/>
        </w:rPr>
      </w:pPr>
      <w:r>
        <w:rPr>
          <w:rFonts w:ascii="Arial" w:cs="Arial" w:eastAsia="Arial" w:hAnsi="Arial"/>
          <w:sz w:val="18"/>
          <w:szCs w:val="18"/>
          <w:b w:val="1"/>
          <w:bCs w:val="1"/>
          <w:color w:val="auto"/>
        </w:rPr>
        <w:t>Eric Remer</w:t>
      </w:r>
    </w:p>
    <w:p>
      <w:pPr>
        <w:spacing w:after="0" w:line="52"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Chief Executive Officer and Director</w:t>
      </w:r>
    </w:p>
    <w:p>
      <w:pPr>
        <w:ind w:left="7580"/>
        <w:spacing w:after="0"/>
        <w:rPr>
          <w:sz w:val="20"/>
          <w:szCs w:val="20"/>
          <w:color w:val="auto"/>
        </w:rPr>
      </w:pPr>
      <w:r>
        <w:rPr>
          <w:rFonts w:ascii="Arial" w:cs="Arial" w:eastAsia="Arial" w:hAnsi="Arial"/>
          <w:sz w:val="18"/>
          <w:szCs w:val="18"/>
          <w:b w:val="1"/>
          <w:bCs w:val="1"/>
          <w:color w:val="auto"/>
        </w:rPr>
        <w:t>(principal executive officer)</w:t>
      </w:r>
    </w:p>
    <w:p>
      <w:pPr>
        <w:sectPr>
          <w:pgSz w:w="11900" w:h="16838" w:orient="portrait"/>
          <w:cols w:equalWidth="0" w:num="1">
            <w:col w:w="11240"/>
          </w:cols>
          <w:pgMar w:left="320" w:top="108"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ind w:left="3340"/>
        <w:spacing w:after="0" w:line="219" w:lineRule="auto"/>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9" w:lineRule="exact"/>
        <w:rPr>
          <w:sz w:val="20"/>
          <w:szCs w:val="20"/>
          <w:color w:val="auto"/>
        </w:rPr>
      </w:pPr>
    </w:p>
    <w:p>
      <w:pPr>
        <w:ind w:firstLine="441"/>
        <w:spacing w:after="0" w:line="248" w:lineRule="auto"/>
        <w:rPr>
          <w:sz w:val="20"/>
          <w:szCs w:val="20"/>
          <w:color w:val="auto"/>
        </w:rPr>
      </w:pPr>
      <w:r>
        <w:rPr>
          <w:rFonts w:ascii="Arial" w:cs="Arial" w:eastAsia="Arial" w:hAnsi="Arial"/>
          <w:sz w:val="16"/>
          <w:szCs w:val="16"/>
          <w:color w:val="auto"/>
        </w:rPr>
        <w:t>In connection with the Annual Report on Form 10-K of EverCommerce Inc. (the “Company”) for the period ended December 31, 2022 as filed with the Securities and Exchange Commission on the date hereof (the “Report”), I certify, pursuant to 18 U.S.C. § 1350, as adopted pursuant to § 906 of the</w:t>
      </w:r>
    </w:p>
    <w:p>
      <w:pPr>
        <w:spacing w:after="0"/>
        <w:rPr>
          <w:sz w:val="20"/>
          <w:szCs w:val="20"/>
          <w:color w:val="auto"/>
        </w:rPr>
      </w:pPr>
      <w:r>
        <w:rPr>
          <w:rFonts w:ascii="Arial" w:cs="Arial" w:eastAsia="Arial" w:hAnsi="Arial"/>
          <w:sz w:val="18"/>
          <w:szCs w:val="18"/>
          <w:color w:val="auto"/>
        </w:rPr>
        <w:t>Sarbanes-Oxley Act of 2002, that, to the best of my knowledge:</w:t>
      </w:r>
    </w:p>
    <w:p>
      <w:pPr>
        <w:spacing w:after="0" w:line="169" w:lineRule="exact"/>
        <w:rPr>
          <w:sz w:val="20"/>
          <w:szCs w:val="20"/>
          <w:color w:val="auto"/>
        </w:rPr>
      </w:pPr>
    </w:p>
    <w:p>
      <w:pPr>
        <w:ind w:left="840" w:hanging="391"/>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840" w:hanging="391"/>
        <w:spacing w:after="0"/>
        <w:tabs>
          <w:tab w:leader="none" w:pos="8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316" w:lineRule="exact"/>
        <w:rPr>
          <w:sz w:val="20"/>
          <w:szCs w:val="20"/>
          <w:color w:val="auto"/>
        </w:rPr>
      </w:pPr>
    </w:p>
    <w:p>
      <w:pPr>
        <w:ind w:left="20"/>
        <w:spacing w:after="0"/>
        <w:tabs>
          <w:tab w:leader="none" w:pos="5640" w:val="left"/>
          <w:tab w:leader="none" w:pos="6060" w:val="left"/>
        </w:tabs>
        <w:rPr>
          <w:sz w:val="20"/>
          <w:szCs w:val="20"/>
          <w:color w:val="auto"/>
        </w:rPr>
      </w:pPr>
      <w:r>
        <w:rPr>
          <w:rFonts w:ascii="Arial" w:cs="Arial" w:eastAsia="Arial" w:hAnsi="Arial"/>
          <w:sz w:val="18"/>
          <w:szCs w:val="18"/>
          <w:color w:val="auto"/>
        </w:rPr>
        <w:t>Date: March 15,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Marc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40640</wp:posOffset>
            </wp:positionV>
            <wp:extent cx="329184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7">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66"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Marc Thompson</w:t>
      </w:r>
    </w:p>
    <w:p>
      <w:pPr>
        <w:spacing w:after="0" w:line="52" w:lineRule="exact"/>
        <w:rPr>
          <w:sz w:val="20"/>
          <w:szCs w:val="20"/>
          <w:color w:val="auto"/>
        </w:rPr>
      </w:pPr>
    </w:p>
    <w:p>
      <w:pPr>
        <w:ind w:left="7760"/>
        <w:spacing w:after="0"/>
        <w:rPr>
          <w:sz w:val="20"/>
          <w:szCs w:val="20"/>
          <w:color w:val="auto"/>
        </w:rPr>
      </w:pPr>
      <w:r>
        <w:rPr>
          <w:rFonts w:ascii="Arial" w:cs="Arial" w:eastAsia="Arial" w:hAnsi="Arial"/>
          <w:sz w:val="18"/>
          <w:szCs w:val="18"/>
          <w:b w:val="1"/>
          <w:bCs w:val="1"/>
          <w:color w:val="auto"/>
        </w:rPr>
        <w:t>Chief Financial Officer</w:t>
      </w:r>
    </w:p>
    <w:p>
      <w:pPr>
        <w:ind w:left="7600"/>
        <w:spacing w:after="0"/>
        <w:rPr>
          <w:sz w:val="20"/>
          <w:szCs w:val="20"/>
          <w:color w:val="auto"/>
        </w:rPr>
      </w:pPr>
      <w:r>
        <w:rPr>
          <w:rFonts w:ascii="Arial" w:cs="Arial" w:eastAsia="Arial" w:hAnsi="Arial"/>
          <w:sz w:val="18"/>
          <w:szCs w:val="18"/>
          <w:b w:val="1"/>
          <w:bCs w:val="1"/>
          <w:color w:val="auto"/>
        </w:rPr>
        <w:t>(principal financial officer)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1)"/>
      <w:numFmt w:val="lowerRoman"/>
      <w:start w:val="3"/>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1)"/>
      <w:numFmt w:val="decimal"/>
      <w:start w:val="2"/>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
      <w:numFmt w:val="bullet"/>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1)"/>
      <w:numFmt w:val="lowerRoman"/>
      <w:start w:val="1"/>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1)"/>
      <w:numFmt w:val="decimal"/>
      <w:start w:val="1"/>
    </w:lvl>
  </w:abstractNum>
  <w:abstractNum w:abstractNumId="49">
    <w:nsid w:val="75C6C33A"/>
    <w:multiLevelType w:val="hybridMultilevel"/>
    <w:lvl w:ilvl="0">
      <w:lvlJc w:val="left"/>
      <w:lvlText w:val="%1."/>
      <w:numFmt w:val="lowerLetter"/>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82" Type="http://schemas.openxmlformats.org/officeDocument/2006/relationships/image" Target="media/image252.png"/><Relationship Id="rId283" Type="http://schemas.openxmlformats.org/officeDocument/2006/relationships/image" Target="media/image253.png"/><Relationship Id="rId284" Type="http://schemas.openxmlformats.org/officeDocument/2006/relationships/image" Target="media/image254.png"/><Relationship Id="rId285" Type="http://schemas.openxmlformats.org/officeDocument/2006/relationships/image" Target="media/image255.png"/><Relationship Id="rId286" Type="http://schemas.openxmlformats.org/officeDocument/2006/relationships/image" Target="media/image256.png"/><Relationship Id="rId287" Type="http://schemas.openxmlformats.org/officeDocument/2006/relationships/image" Target="media/image257.png"/><Relationship Id="rId253" Type="http://schemas.openxmlformats.org/officeDocument/2006/relationships/hyperlink" Target="http://www.sec.gov/Archives/edgar/data/0001853145/000114036121023912/nt10022251x16_ex3-1.htm" TargetMode="External"/><Relationship Id="rId254" Type="http://schemas.openxmlformats.org/officeDocument/2006/relationships/hyperlink" Target="http://www.sec.gov/Archives/edgar/data/0001853145/000114036121023912/nt10022251x16_ex3-2.htm" TargetMode="External"/><Relationship Id="rId255" Type="http://schemas.openxmlformats.org/officeDocument/2006/relationships/hyperlink" Target="http://www.sec.gov/Archives/edgar/data/0001853145/000114036121021966/nt10022251x6_ex4-1.htm" TargetMode="External"/><Relationship Id="rId256" Type="http://schemas.openxmlformats.org/officeDocument/2006/relationships/hyperlink" Target="http://www.sec.gov/Archives/edgar/data/0001853145/000114036121019260/nt10022251x4_ex4-2.htm" TargetMode="External"/><Relationship Id="rId257" Type="http://schemas.openxmlformats.org/officeDocument/2006/relationships/hyperlink" Target="http://www.sec.gov/Archives/edgar/data/0001853145/000114036121023912/nt10022251x16_ex10-1.htm" TargetMode="External"/><Relationship Id="rId258" Type="http://schemas.openxmlformats.org/officeDocument/2006/relationships/hyperlink" Target="http://www.sec.gov/Archives/edgar/data/0001853145/000114036121023912/nt10022251x16_ex10-2.htm" TargetMode="External"/><Relationship Id="rId259" Type="http://schemas.openxmlformats.org/officeDocument/2006/relationships/hyperlink" Target="http://www.sec.gov/ix?doc=/Archives/edgar/data/0001853145/000185314522000011/evcm-20211231.htm" TargetMode="External"/><Relationship Id="rId260" Type="http://schemas.openxmlformats.org/officeDocument/2006/relationships/hyperlink" Target="http://www.sec.gov/Archives/edgar/data/0001853145/000114036121021966/nt10022251x6_ex10-1.htm" TargetMode="External"/><Relationship Id="rId261" Type="http://schemas.openxmlformats.org/officeDocument/2006/relationships/hyperlink" Target="http://www.sec.gov/Archives/edgar/data/0001853145/000114036121021966/nt10022251x6_ex10-2.htm" TargetMode="External"/><Relationship Id="rId262" Type="http://schemas.openxmlformats.org/officeDocument/2006/relationships/hyperlink" Target="http://www.sec.gov/Archives/edgar/data/0001853145/000114036121021966/nt10022251x6_ex10-3.htm" TargetMode="External"/><Relationship Id="rId263" Type="http://schemas.openxmlformats.org/officeDocument/2006/relationships/hyperlink" Target="http://www.sec.gov/Archives/edgar/data/0001853145/000114036121021966/nt10022251x6_ex10-4.htm" TargetMode="External"/><Relationship Id="rId270" Type="http://schemas.openxmlformats.org/officeDocument/2006/relationships/hyperlink" Target="http://www.sec.gov/Archives/edgar/data/0001853145/000114036121021966/nt10022251x6_ex10-5.htm" TargetMode="External"/><Relationship Id="rId271" Type="http://schemas.openxmlformats.org/officeDocument/2006/relationships/hyperlink" Target="http://www.sec.gov/Archives/edgar/data/0001853145/000114036121021966/nt10022251x6_ex10-6.htm" TargetMode="External"/><Relationship Id="rId272" Type="http://schemas.openxmlformats.org/officeDocument/2006/relationships/hyperlink" Target="http://www.sec.gov/Archives/edgar/data/0001853145/000114036121021966/nt10022251x6ex10-6_1.htm" TargetMode="External"/><Relationship Id="rId273" Type="http://schemas.openxmlformats.org/officeDocument/2006/relationships/hyperlink" Target="http://www.sec.gov/Archives/edgar/data/0001853145/000114036121021966/nt10022251x6ex10-6_2.htm" TargetMode="External"/><Relationship Id="rId274" Type="http://schemas.openxmlformats.org/officeDocument/2006/relationships/hyperlink" Target="http://www.sec.gov/Archives/edgar/data/0001853145/000114036121021966/nt10022251x6_ex10-7.htm" TargetMode="External"/><Relationship Id="rId275" Type="http://schemas.openxmlformats.org/officeDocument/2006/relationships/hyperlink" Target="http://www.sec.gov/Archives/edgar/data/0001853145/000114036121021966/nt10022251x6_ex10-8.htm" TargetMode="External"/><Relationship Id="rId276" Type="http://schemas.openxmlformats.org/officeDocument/2006/relationships/hyperlink" Target="http://www.sec.gov/Archives/edgar/data/1853145/000114036122041068/brhc10044010_s8.htm" TargetMode="External"/><Relationship Id="rId277" Type="http://schemas.openxmlformats.org/officeDocument/2006/relationships/hyperlink" Target="http://www.sec.gov/Archives/edgar/data/0001853145/000114036121023912/nt10022251x16_ex10-3.htm" TargetMode="External"/><Relationship Id="rId278" Type="http://schemas.openxmlformats.org/officeDocument/2006/relationships/hyperlink" Target="http://www.sec.gov/Archives/edgar/data/0001853145/000114036121039191/brhc10031152_ex10-1.htm" TargetMode="External"/><Relationship Id="rId279" Type="http://schemas.openxmlformats.org/officeDocument/2006/relationships/hyperlink" Target="http://www.sec.gov/Archives/edgar/data/0001853145/000114036121023912/nt10022251x16_ex10-4.htm" TargetMode="External"/><Relationship Id="rId280" Type="http://schemas.openxmlformats.org/officeDocument/2006/relationships/hyperlink" Target="http://www.sec.gov/Archives/edgar/data/0001853145/000114036121023912/nt10022251x16_ex10-5.htm" TargetMode="External"/><Relationship Id="rId281" Type="http://schemas.openxmlformats.org/officeDocument/2006/relationships/hyperlink" Target="http://www.sec.gov/Archives/edgar/data/0001853145/000114036121019260/nt10022251x4_ex10-1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2023-03-16T06:20:31Z</dcterms:created>
  <dcterms:modified xsi:type="dcterms:W3CDTF">2023-03-16T06:20:31Z</dcterms:modified>
</cp:coreProperties>
</file>