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600" w:hanging="534"/>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rFonts w:ascii="MS PGothic" w:cs="MS PGothic" w:eastAsia="MS PGothic" w:hAnsi="MS PGothic"/>
          <w:sz w:val="18"/>
          <w:szCs w:val="18"/>
          <w:color w:val="auto"/>
          <w:highlight w:val="black"/>
        </w:rPr>
      </w:pPr>
    </w:p>
    <w:p>
      <w:pPr>
        <w:ind w:left="29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26"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001-40575</w:t>
      </w:r>
    </w:p>
    <w:p>
      <w:pPr>
        <w:spacing w:after="0" w:line="145" w:lineRule="exact"/>
        <w:rPr>
          <w:sz w:val="24"/>
          <w:szCs w:val="24"/>
          <w:color w:val="auto"/>
        </w:rPr>
      </w:pPr>
    </w:p>
    <w:tbl>
      <w:tblPr>
        <w:tblLayout w:type="fixed"/>
        <w:tblInd w:w="1560" w:type="dxa"/>
        <w:tblCellMar>
          <w:top w:w="0" w:type="dxa"/>
          <w:left w:w="0" w:type="dxa"/>
          <w:bottom w:w="0" w:type="dxa"/>
          <w:right w:w="0" w:type="dxa"/>
        </w:tblCellMar>
      </w:tblPr>
      <w:tr>
        <w:trPr>
          <w:trHeight w:val="383"/>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29"/>
                <w:szCs w:val="29"/>
                <w:b w:val="1"/>
                <w:bCs w:val="1"/>
                <w:color w:val="auto"/>
                <w:w w:val="99"/>
              </w:rPr>
              <w:t>EverCommerce Inc.</w:t>
            </w:r>
          </w:p>
        </w:tc>
      </w:tr>
      <w:tr>
        <w:trPr>
          <w:trHeight w:val="280"/>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2"/>
        </w:trPr>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81-4063248</w:t>
            </w:r>
          </w:p>
        </w:tc>
      </w:tr>
      <w:tr>
        <w:trPr>
          <w:trHeight w:val="19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8"/>
              </w:rPr>
              <w:t>(State or other jurisdiction of</w:t>
            </w:r>
          </w:p>
        </w:tc>
        <w:tc>
          <w:tcPr>
            <w:tcW w:w="4760" w:type="dxa"/>
            <w:vAlign w:val="bottom"/>
          </w:tcPr>
          <w:p>
            <w:pPr>
              <w:jc w:val="center"/>
              <w:ind w:left="3782"/>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5"/>
              </w:rPr>
              <w:t>Identification No.)</w:t>
            </w:r>
          </w:p>
        </w:tc>
      </w:tr>
      <w:tr>
        <w:trPr>
          <w:trHeight w:val="342"/>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3601 Walnut Street, Suite 400</w:t>
            </w:r>
          </w:p>
        </w:tc>
        <w:tc>
          <w:tcPr>
            <w:tcW w:w="4760" w:type="dxa"/>
            <w:vAlign w:val="bottom"/>
          </w:tcPr>
          <w:p>
            <w:pPr>
              <w:spacing w:after="0"/>
              <w:rPr>
                <w:sz w:val="24"/>
                <w:szCs w:val="24"/>
                <w:color w:val="auto"/>
              </w:rPr>
            </w:pPr>
          </w:p>
        </w:tc>
      </w:tr>
      <w:tr>
        <w:trPr>
          <w:trHeight w:val="20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Denver, Colorado</w:t>
            </w:r>
          </w:p>
        </w:tc>
        <w:tc>
          <w:tcPr>
            <w:tcW w:w="47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80205</w:t>
            </w:r>
          </w:p>
        </w:tc>
      </w:tr>
      <w:tr>
        <w:trPr>
          <w:trHeight w:val="210"/>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88"/>
        </w:trPr>
        <w:tc>
          <w:tcPr>
            <w:tcW w:w="2200" w:type="dxa"/>
            <w:vAlign w:val="bottom"/>
          </w:tcPr>
          <w:p>
            <w:pPr>
              <w:spacing w:after="0"/>
              <w:rPr>
                <w:sz w:val="24"/>
                <w:szCs w:val="24"/>
                <w:color w:val="auto"/>
              </w:rPr>
            </w:pPr>
          </w:p>
        </w:tc>
        <w:tc>
          <w:tcPr>
            <w:tcW w:w="4760" w:type="dxa"/>
            <w:vAlign w:val="bottom"/>
          </w:tcPr>
          <w:p>
            <w:pPr>
              <w:jc w:val="center"/>
              <w:ind w:right="942"/>
              <w:spacing w:after="0"/>
              <w:rPr>
                <w:sz w:val="20"/>
                <w:szCs w:val="20"/>
                <w:color w:val="auto"/>
              </w:rPr>
            </w:pPr>
            <w:r>
              <w:rPr>
                <w:rFonts w:ascii="Times New Roman" w:cs="Times New Roman" w:eastAsia="Times New Roman" w:hAnsi="Times New Roman"/>
                <w:sz w:val="16"/>
                <w:szCs w:val="16"/>
                <w:b w:val="1"/>
                <w:bCs w:val="1"/>
                <w:color w:val="auto"/>
              </w:rPr>
              <w:t>(720) 647-4948</w:t>
            </w:r>
          </w:p>
        </w:tc>
      </w:tr>
      <w:tr>
        <w:trPr>
          <w:trHeight w:val="190"/>
        </w:trPr>
        <w:tc>
          <w:tcPr>
            <w:tcW w:w="2200" w:type="dxa"/>
            <w:vAlign w:val="bottom"/>
          </w:tcPr>
          <w:p>
            <w:pPr>
              <w:spacing w:after="0"/>
              <w:rPr>
                <w:sz w:val="16"/>
                <w:szCs w:val="16"/>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186"/>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EVCM</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7"/>
        </w:trPr>
        <w:tc>
          <w:tcPr>
            <w:tcW w:w="396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82"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1, 2025, there were 181,278,754 shares of the registrant’s common stock, par value $0.00001,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2025 (unaudited) and December 31, 2024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(unaudited) for the three and six</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months ended June 30, 2025 and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 for the three and six months ended June 30, 2025</w:t>
            </w: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2024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six months ended June 30, 2025 and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9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 w:type="dxa"/>
            <w:vAlign w:val="bottom"/>
          </w:tcPr>
          <w:p>
            <w:pPr>
              <w:spacing w:after="0"/>
              <w:rPr>
                <w:sz w:val="21"/>
                <w:szCs w:val="21"/>
                <w:color w:val="auto"/>
              </w:rPr>
            </w:pPr>
          </w:p>
        </w:tc>
      </w:tr>
      <w:tr>
        <w:trPr>
          <w:trHeight w:val="1289"/>
        </w:trPr>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expectations regarding the strategic review of our Marketing Technology Solutions including any potential sale, progress towards remediation of our material weakness, expected impacts from legislation and our objectives for future operations.</w:t>
      </w:r>
    </w:p>
    <w:p>
      <w:pPr>
        <w:spacing w:after="0" w:line="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the business cycles of our clients and changes in the overall level of consumer and commercial spending, which could negatively impact our business, financial condition and results of operations;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the inability to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conditions and growth prospects; unauthorized disclosure, destruction or modification of data, disruption of our software or services or cyber breaches could expose us to liability, protracted and costly litigation and damage our reputation; our use of artificial intelligence technologies and evolving regulatory framework governing the use of such technologies;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impairment in the value of our goodwill or intangible assets;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our ability to improve our margin, in particular within Marketing Technology Solutions; the impact of a future pandemic, epidemic, or outbreak of infectious disease could impact our business, financial condition and results of operations, as well as the business or operations of their parties with whom we conduct business; our success in achieving our objectives through acquisitions, divestitures or other strategic transactions; our revenues and profits generated through acquisitions may be less than anticipated, and we may fail to uncover all liabilities of acquisition targets; risks related to scrutiny on environmental sustainability and social initiatives; our ability to adequately protect or enforce our intellectual property and other proprietary rights; risk of patent, trademark and other intellectual property infringement claims; risks related to governmental regulation and other legal obligations, particularly related to privacy, data protection and information security, and our actual or perceived failure to comply with such obligations;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2024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135,782</w:t>
            </w:r>
          </w:p>
        </w:tc>
      </w:tr>
      <w:tr>
        <w:trPr>
          <w:trHeight w:val="20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$2.7 million and $2.3 million at June 30, 2025 and</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31,090</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12,839</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Assets held for sale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11,422</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27,181</w:t>
            </w:r>
          </w:p>
        </w:tc>
      </w:tr>
      <w:tr>
        <w:trPr>
          <w:trHeight w:val="227"/>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218,314</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software, net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41,595</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36,127</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44,779</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184,044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211,172</w:t>
            </w:r>
          </w:p>
        </w:tc>
      </w:tr>
      <w:tr>
        <w:trPr>
          <w:trHeight w:val="237"/>
        </w:trPr>
        <w:tc>
          <w:tcPr>
            <w:tcW w:w="8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867,205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863,152</w:t>
            </w:r>
          </w:p>
        </w:tc>
      </w:tr>
      <w:tr>
        <w:trPr>
          <w:trHeight w:val="24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1,419,005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1,421,268</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22,107</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Customer deposits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14,298</w:t>
            </w:r>
          </w:p>
        </w:tc>
      </w:tr>
      <w:tr>
        <w:trPr>
          <w:trHeight w:val="227"/>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110,726</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 net of current maturities and deferred financing costs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522,442</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36,301</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r>
      <w:tr>
        <w:trPr>
          <w:trHeight w:val="227"/>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675,027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670,442</w:t>
            </w:r>
          </w:p>
        </w:tc>
      </w:tr>
      <w:tr>
        <w:trPr>
          <w:trHeight w:val="25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$0.00001 par value, 50,000,000 shares authorized and no shares issued or outstanding as of June 30, 2025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December 31, 2024</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$0.00001 par value, 2,000,000,000 shares authorized and 182,188,973 and 183,725,236 shares issued and</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June 30, 2025 and December 31, 2024, respectively</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1,414,432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1,426,206</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(660,624)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(661,064)</w:t>
            </w:r>
          </w:p>
        </w:tc>
      </w:tr>
      <w:tr>
        <w:trPr>
          <w:trHeight w:val="230"/>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743,978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750,826</w:t>
            </w:r>
          </w:p>
        </w:tc>
      </w:tr>
      <w:tr>
        <w:trPr>
          <w:trHeight w:val="268"/>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1,419,005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1,421,268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64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142,841</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280,620</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269,066</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r>
      <w:tr>
        <w:trPr>
          <w:trHeight w:val="236"/>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278,375</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5"/>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63,062</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56,523</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38,534</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64,353</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40,805</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r>
      <w:tr>
        <w:trPr>
          <w:trHeight w:val="237"/>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260,281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274,968</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1"/>
        </w:trPr>
        <w:tc>
          <w:tcPr>
            <w:tcW w:w="530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from continuing operations before income</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5"/>
        </w:trPr>
        <w:tc>
          <w:tcPr>
            <w:tcW w:w="53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 net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63"/>
        </w:trPr>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(22,293)</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4"/>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2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in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computing net income (loss) per share:</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182,600,189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185,182,906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183,031,556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185,907,621</w:t>
            </w:r>
          </w:p>
        </w:tc>
      </w:tr>
      <w:tr>
        <w:trPr>
          <w:trHeight w:val="24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184,240,814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185,182,906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184,838,467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185,907,621</w:t>
            </w: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170" w:right="3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91"/>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1,426,206</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(661,064)</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750,826</w:t>
            </w:r>
          </w:p>
        </w:tc>
        <w:tc>
          <w:tcPr>
            <w:tcW w:w="0" w:type="dxa"/>
            <w:vAlign w:val="bottom"/>
          </w:tcPr>
          <w:p>
            <w:pPr>
              <w:spacing w:after="0"/>
              <w:rPr>
                <w:sz w:val="1"/>
                <w:szCs w:val="1"/>
                <w:color w:val="auto"/>
              </w:rPr>
            </w:pPr>
          </w:p>
        </w:tc>
      </w:tr>
      <w:tr>
        <w:trPr>
          <w:trHeight w:val="225"/>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 net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183,034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1,422,185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(668,777)</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739,569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5"/>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 net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182,189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1,414,432</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(660,624)</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743,978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17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91"/>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(619,975)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1,448,535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(636,299)</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800,686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1,434,375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(639,675)</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784,092</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231"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26035</wp:posOffset>
            </wp:positionV>
            <wp:extent cx="1765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0"/>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operating 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44,889</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non-cash interest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held for sale and impairments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11,690</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interest rate swap valuation adjustments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3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w:t>
            </w:r>
          </w:p>
        </w:tc>
        <w:tc>
          <w:tcPr>
            <w:tcW w:w="0" w:type="dxa"/>
            <w:vAlign w:val="bottom"/>
          </w:tcPr>
          <w:p>
            <w:pPr>
              <w:spacing w:after="0"/>
              <w:rPr>
                <w:sz w:val="1"/>
                <w:szCs w:val="1"/>
                <w:color w:val="auto"/>
              </w:rPr>
            </w:pPr>
          </w:p>
        </w:tc>
      </w:tr>
      <w:tr>
        <w:trPr>
          <w:trHeight w:val="233"/>
        </w:trPr>
        <w:tc>
          <w:tcPr>
            <w:tcW w:w="8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3"/>
        </w:trPr>
        <w:tc>
          <w:tcPr>
            <w:tcW w:w="8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0" w:type="dxa"/>
            <w:vAlign w:val="bottom"/>
          </w:tcPr>
          <w:p>
            <w:pPr>
              <w:spacing w:after="0"/>
              <w:rPr>
                <w:sz w:val="1"/>
                <w:szCs w:val="1"/>
                <w:color w:val="auto"/>
              </w:rPr>
            </w:pPr>
          </w:p>
        </w:tc>
      </w:tr>
      <w:tr>
        <w:trPr>
          <w:trHeight w:val="233"/>
        </w:trPr>
        <w:tc>
          <w:tcPr>
            <w:tcW w:w="8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227"/>
        </w:trPr>
        <w:tc>
          <w:tcPr>
            <w:tcW w:w="84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Capitalization of software costs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fitness solutions, net of transaction costs, cash and restricted cash</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4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0" w:type="dxa"/>
            <w:vAlign w:val="bottom"/>
          </w:tcPr>
          <w:p>
            <w:pPr>
              <w:spacing w:after="0"/>
              <w:rPr>
                <w:sz w:val="1"/>
                <w:szCs w:val="1"/>
                <w:color w:val="auto"/>
              </w:rPr>
            </w:pPr>
          </w:p>
        </w:tc>
      </w:tr>
      <w:tr>
        <w:trPr>
          <w:trHeight w:val="23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33"/>
        </w:trPr>
        <w:tc>
          <w:tcPr>
            <w:tcW w:w="8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common stock issuance for Employee Stock Purchase Plan</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33"/>
        </w:trPr>
        <w:tc>
          <w:tcPr>
            <w:tcW w:w="8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taxes paid for RSU withholdings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(36,034)</w:t>
            </w:r>
          </w:p>
        </w:tc>
        <w:tc>
          <w:tcPr>
            <w:tcW w:w="0" w:type="dxa"/>
            <w:vAlign w:val="bottom"/>
          </w:tcPr>
          <w:p>
            <w:pPr>
              <w:spacing w:after="0"/>
              <w:rPr>
                <w:sz w:val="1"/>
                <w:szCs w:val="1"/>
                <w:color w:val="auto"/>
              </w:rPr>
            </w:pPr>
          </w:p>
        </w:tc>
      </w:tr>
      <w:tr>
        <w:trPr>
          <w:trHeight w:val="227"/>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(34,190)</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180"/>
        </w:trPr>
        <w:tc>
          <w:tcPr>
            <w:tcW w:w="846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 including cash and restricted cash classified as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4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held for sale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5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including cash and restricted cash classified as held for sale: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135,782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96,179</w:t>
            </w:r>
          </w:p>
        </w:tc>
        <w:tc>
          <w:tcPr>
            <w:tcW w:w="0" w:type="dxa"/>
            <w:vAlign w:val="bottom"/>
          </w:tcPr>
          <w:p>
            <w:pPr>
              <w:spacing w:after="0"/>
              <w:rPr>
                <w:sz w:val="1"/>
                <w:szCs w:val="1"/>
                <w:color w:val="auto"/>
              </w:rPr>
            </w:pPr>
          </w:p>
        </w:tc>
      </w:tr>
      <w:tr>
        <w:trPr>
          <w:trHeight w:val="268"/>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As of December 31, 2024, the Company served more than 740,000 customers primarily across three core verticals: EverPro for Home Services; EverHealth for Health Services; and EverWell for Wellness Services. Excluding the customers associated with our marketing technology solutions, the Company served more than 725,000 customers (see Note 3. Discontinued Operations).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2024 and the related notes (“Annual Report on Form 10-K”). The December 31, 2024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six months ended June 30, 2025 from those disclosed in the annual consolidated financial statements for the year ended December 31, 2024 and the related notes.</w:t>
      </w:r>
    </w:p>
    <w:p>
      <w:pPr>
        <w:spacing w:after="0" w:line="6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operating results for the three and six months ended June 30, 2025 are not necessarily indicative of the results expected for the full year ending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judgement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w:t>
      </w:r>
      <w:r>
        <w:rPr>
          <w:rFonts w:ascii="Times New Roman" w:cs="Times New Roman" w:eastAsia="Times New Roman" w:hAnsi="Times New Roman"/>
          <w:sz w:val="18"/>
          <w:szCs w:val="18"/>
          <w:color w:val="auto"/>
          <w:strike w:val="1"/>
        </w:rPr>
        <w:t>e</w:t>
      </w:r>
      <w:r>
        <w:rPr>
          <w:rFonts w:ascii="Times New Roman" w:cs="Times New Roman" w:eastAsia="Times New Roman" w:hAnsi="Times New Roman"/>
          <w:sz w:val="18"/>
          <w:szCs w:val="18"/>
          <w:color w:val="auto"/>
        </w:rPr>
        <w:t xml:space="preserve"> and estimating standalone selling price, when applicable, for the allocation of transaction price when multiple performance obligations are included in a contract with a customer.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 and Discontinued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assets and liabilities as held for sale (the “disposal group”) in the period when all the relevant classification criteria have been met. Assets and liabilities held for sale are measured at the lower of carrying value or fair value less cost to sell. Any loss resulting from the measurement is recognized in the period in which the held for sale criteria are met. Conversely, gains are not recognized on the sale of the disposal group until the date of sale. The fair value of the disposal group, less any cost to sell, will be reassessed during each subsequent reporting period it remains classified as held for sale, and any subsequent changes will be reported as an adjustment to the carrying value of the disposal group until the disposal group is no longer classified as held for sale. Upon determining that the disposal group meets the criteria to be classified as held for sale, the Company discontinues depreciation and amortization and the related assets and liabilities are reported as held for sale on the unaudited condensed consolidated balance sheets.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this assessment, the Company also evaluates the criteria for reporting the disposal group as a discontinued operation. Factors which the Company considers include, but are not limited to, whether the disposal represents a strategic shift that would have a major effect on the Company's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late 2024, the Company began a process to review strategic alternatives for its marketing technology solutions. On March 5, 2025, the Board of Directors (“the Board”), in conjunction with Company management committed to a plan to sell the Company’s marketing technology solutions, which is expected to result in a sale transaction in 2025. The Company is currently engaged in an active program to sell its marketing technology solutions. Additionally, the Company determined that its decision to sell marketing technology solutions is considered a strategic shift that will have a major effect on the Company’s operations and financial results and met the criteria for classification as discontinued operations. As a result, the assets and liabilities of marketing technology solutions are presented as held for sale on our unaudited condensed consolidated balance sheets and their operating results are presented as discontinued operations in our unaudited condensed consolidated statements of operations and comprehensive loss for all periods presented. The unaudited condensed consolidated statements of cash flow are inclusive of continuing and discontinued operations for all periods presented. Certain prior period amounts related to discontinued operations have been reclassified and separately presented in the consolidated financial statements and accompanying notes to conform to the current year presentation. Unless otherwise noted, disclosures throughout these notes to the unaudited condensed consolidated financial statements reflect continuing operations only. Refer to Note 3. Discontinued Operations for additional information.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section.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 However, we do not expect that the adoption of this guidance will have a material impact on our consolidated financial statements.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which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that its marketing technology solutions met the criteria for discontinued operations reporting effective in the first quarter 2025 (see Note 2. Summary of Significant Accounting Policies). As such, the assets and liabilities of the disposal group are classified as held for sale on our unaudited condensed consolidated balance sheets as of June 30, 2025 and December 31, 2024. The results of operations of marketing technology solutions are presented as income (loss) from discontinued operations, net of income tax on the unaudited condensed consolidated statements of operations and comprehensive loss. During the three and six months ended June 30, 2025, we measured the assets and liabilities of the marketing technology disposal group at estimated fair value less cost to sell and recognized a gain of $0.4 million and a loss of $2.2 million, respectively, and a goodwill impairment charge of $6.9 million during the six months ended June 30, 2025, which are included in (gain) loss on held for sale and impairments within discontinued operations on our unaudited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of marketing technology solutions reported as discontinued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3"/>
          </w:tcPr>
          <w:p>
            <w:pPr>
              <w:ind w:left="6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63,168</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69,131</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46,768</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55,078</w:t>
            </w: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held for sale and impairments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70,269</w:t>
            </w:r>
          </w:p>
        </w:tc>
      </w:tr>
      <w:tr>
        <w:trPr>
          <w:trHeight w:val="23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 (loss) before income tax benefit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income tax</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assets and liabilities classified as held for sale on our condensed consolidated balance sheets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4"/>
          </w:tcPr>
          <w:p>
            <w:pPr>
              <w:jc w:val="right"/>
              <w:ind w:right="99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71"/>
        </w:trPr>
        <w:tc>
          <w:tcPr>
            <w:tcW w:w="8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r>
      <w:tr>
        <w:trPr>
          <w:trHeight w:val="237"/>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56,201</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36"/>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identified as valuation allowance in the above table is the amount necessary to reduce the carrying value of the marketing technology disposal group to estimated fair value less cost to sell as required by applicable accounting standards for discontinued operations measurement.</w:t>
      </w:r>
    </w:p>
    <w:p>
      <w:pPr>
        <w:sectPr>
          <w:pgSz w:w="11900" w:h="16838" w:orient="portrait"/>
          <w:cols w:equalWidth="0" w:num="1">
            <w:col w:w="11240"/>
          </w:cols>
          <w:pgMar w:left="320" w:top="171" w:right="33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754"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non-cash items related to discontinued operations that are included in the accompanying statements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440" w:type="dxa"/>
            <w:vAlign w:val="bottom"/>
            <w:gridSpan w:val="2"/>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0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5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1"/>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9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1,191</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r>
      <w:tr>
        <w:trPr>
          <w:trHeight w:val="27"/>
        </w:trPr>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382</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assets held for sale and impairments</w:t>
            </w:r>
          </w:p>
        </w:tc>
        <w:tc>
          <w:tcPr>
            <w:tcW w:w="940" w:type="dxa"/>
            <w:vAlign w:val="bottom"/>
          </w:tcPr>
          <w:p>
            <w:pPr>
              <w:spacing w:after="0"/>
              <w:rPr>
                <w:sz w:val="21"/>
                <w:szCs w:val="21"/>
                <w:color w:val="auto"/>
              </w:rPr>
            </w:pPr>
          </w:p>
        </w:tc>
        <w:tc>
          <w:tcPr>
            <w:tcW w:w="150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rPr>
              <w:t>(412)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9,021</w:t>
            </w: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Fitness Solutions Disposition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its fitness solutions to Jonas Fitness Portfolio Holdco Inc. (“Jonas Software”). The sale of American Service Finance LLC., ASF Payment Solutions ULC and Technique Fitness Inc. (collectively, “North American Fitness”), closed simultaneously with signing. The sale of EverCommerce UK, including wholly-owned subsidiaries Fitii UK (MyPTHub and MyPTHub LLC) and ClubWise UK and its wholly-owned subsidiary ClubWise Australia (collectively, “UK Fitness” and together with North American Fitness, “Fitness Solutions”), closed July 1, 2024. The divestiture did not qualify for discontinued operations. As a result, our unaudited condensed consolidated financial statements include the results of North American Fitness and UK Fitness for all periods through the applicable date of sale. During the three and six months ended June 30, 2024, the Company recognized losses of $0.2 million and $5.0 million, respectively, related to the sale of Fitness Solutions, which are included in loss on held for sale and impairments on our unaudited condensed consolidated statements of operations and comprehensive loss. Additionally, the Company recognized a $6.4 million goodwill impairment charge representing the allocated goodwill to Fitness Solutions, which is included in loss on held for sale and impairments on the unaudited condensed consolidated statements of operations and comprehensive loss. During the three and six months ended June 30, 2024, we measured the assets and liabilities held for sale at fair value less cost to sell and recognized losses of $0.3 million and $2.9 million, respectively, which are included in loss on held for sale and impairments on our unaudited condensed consolidated statements of operations and comprehensive loss. The loss during the three months ended June 30, 2024 was primarily due to an increase in our accrual of estimated costs to sell.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disaggregation of our revenue from contracts with customers by revenue recognition pattern and geographical market: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40" w:type="dxa"/>
            <w:vAlign w:val="bottom"/>
          </w:tcPr>
          <w:p>
            <w:pPr>
              <w:spacing w:after="0"/>
              <w:rPr>
                <w:sz w:val="16"/>
                <w:szCs w:val="16"/>
                <w:color w:val="auto"/>
              </w:rPr>
            </w:pPr>
          </w:p>
        </w:tc>
      </w:tr>
      <w:tr>
        <w:trPr>
          <w:trHeight w:val="212"/>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8"/>
                <w:szCs w:val="18"/>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7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4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pattern of recognition (timing of transfer of services):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Point in time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 time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145,290</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272,393</w:t>
            </w:r>
          </w:p>
        </w:tc>
      </w:tr>
      <w:tr>
        <w:trPr>
          <w:trHeight w:val="26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278,375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geographical market:</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132,478</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125,957</w:t>
            </w:r>
          </w:p>
        </w:tc>
        <w:tc>
          <w:tcPr>
            <w:tcW w:w="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259,608</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244,818</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r>
      <w:tr>
        <w:trPr>
          <w:trHeight w:val="264"/>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278,375</w:t>
            </w: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15,595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8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net of allowance for expected credit losses, represent rights to consideration in exchange for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have been transferred by us, when payment is unconditional and only the passage of time is required before payment is due.</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represent rights to consideration in exchange for products or services that have been transferred (i.e.,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portion of the performance obligation has been satisfied), but payment is conditional on something other than the passage of time. These amounts typically relate to contracts with the suppliers within our group purchasing programs for which payment is received at least one quarter in arrears from the service period. They also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Contract liabilities, or deferred revenue, represent our obligation to transfer products or services to a customer for which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received in advance of the satisfaction of performance obligations. Long-term deferred revenue is included within other non-current liabilities on the unaudited condensed consolidated balance sheets. Revenue recognized from the contract liability balance at December 31, 2024 was $19.1 million for the six months ended June 30, 2025.</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Customer deposits</w:t>
      </w:r>
      <w:r>
        <w:rPr>
          <w:rFonts w:ascii="Times New Roman" w:cs="Times New Roman" w:eastAsia="Times New Roman" w:hAnsi="Times New Roman"/>
          <w:sz w:val="18"/>
          <w:szCs w:val="18"/>
          <w:color w:val="auto"/>
        </w:rPr>
        <w:t>: Customer deposits relate to payments received in advance for contracts, which allow the customer to terminate a contract and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refund for the unused portion of payments received to date.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our allowance for expected credit losses is as follows as of:</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8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19"/>
                <w:szCs w:val="19"/>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beginning of year</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Disposition of Fitness Solutions</w:t>
            </w:r>
          </w:p>
        </w:tc>
        <w:tc>
          <w:tcPr>
            <w:tcW w:w="94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to held for sale</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end of period</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revenue streams. The aggregate amount of transaction consideration allocated to remaining performance obligations as of June 30, 2025 was $19.1 million. The Company expects to recognize approximately 62% of its remaining performance obligations as revenue within the next year, 30% of its remaining performance obligations as revenue the subsequent year, 7% of its remaining performance obligations as revenue in the third year, and the remainder during the two-year period thereafter.</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to Obtain and Fulfill a Contract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$9.5 million and $8.9 million at June 30, 2025 and December 31, 2024, respectively, and long-term assets were $15.5 million and $16.0 million at June 30, 2025 and December 31, 2024, respectively. The Company recorded amortization expense within sales and marketing on the unaudited condensed consolidated statements of operations and comprehensive loss of $1.5 million and $1.3 million for the three months ended June 30, 2025 and 2024, respectively, and $2.9 million and $2.6 million for the six months ended June 30, 2025 and 2024, respectively. The Company recorded amortization expense within cost of revenues on the unaudited condensed consolidated statements of operations and comprehensive loss of $0.9 million and $0.7 million for the three months ended June 30, 2025 and 2024, respectively, and $1.8 million and $1.4 million for the six months ended June 30, 2025 and 2024,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six months ended June 30, 2025 (in thousands):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35"/>
        </w:trPr>
        <w:tc>
          <w:tcPr>
            <w:tcW w:w="9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863,152</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r>
      <w:tr>
        <w:trPr>
          <w:trHeight w:val="27"/>
        </w:trPr>
        <w:tc>
          <w:tcPr>
            <w:tcW w:w="9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867,205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at June 30, 2025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(41,332)</w:t>
            </w:r>
          </w:p>
        </w:tc>
      </w:tr>
      <w:tr>
        <w:trPr>
          <w:trHeight w:val="27"/>
        </w:trPr>
        <w:tc>
          <w:tcPr>
            <w:tcW w:w="9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totaling $16.3 million relating to marketing technology solutions was reclassified to assets held for sale as of June 30, 2025. The marketing technology solutions goodwill amount was included in the determination of the impairment charge recorded during the three and six months ended June 30, 2025 to adjust the carrying amount of the disposal group’s assets to its estimated fair value less selling costs, which is included in accumulated impairment losses. Refer to Note 3. Discontinued Operations for additional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in conjunction with our review of strategic alternatives for our marketing technology solutions, the Company evaluated the recoverability of our marketing technology reporting unit and determined that the estimated fair value was insufficient to recover the net carrying value of the reporting unit resulting in an impairment charge of approximately $28.1 million during the year ended December 31, 2024, which is included in accumulated impairment losses.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definitive sale and purchase agreements to sell our fitness solutions, we tested the goodwill balance for impairment as of March 31, 2024 (see Note 4. Fitness Solutions Disposition). During the six months ended June 30, 2024, we recognized a $6.4 million goodwill impairment charge representing the allocated goodwill to Fitness Solutions, which is included in loss on held for sale and impairments on the unaudited condensed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0"/>
        </w:trPr>
        <w:tc>
          <w:tcPr>
            <w:tcW w:w="5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12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2"/>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5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5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8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348,495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163,088</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641,316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457,272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0"/>
        </w:trPr>
        <w:tc>
          <w:tcPr>
            <w:tcW w:w="5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12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2"/>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5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5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327,038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184,336</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17,425</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641,046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429,874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$13.5 million and $16.8 million for the three months ended June 30, 2025 and 2024, respectively, and $27.2 million and $34.3 million for the six months ended June 30, 2025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4"/>
          </w:tcPr>
          <w:p>
            <w:pPr>
              <w:jc w:val="right"/>
              <w:ind w:right="892"/>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r>
      <w:tr>
        <w:trPr>
          <w:trHeight w:val="264"/>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$0.6 million and $0.8 million for the three months ended June 30, 2025 and 2024, respectively, and $1.3 million and $1.8 million for the six months ended June 30, 2025 and 2024, respectively.</w:t>
      </w:r>
    </w:p>
    <w:p>
      <w:pPr>
        <w:sectPr>
          <w:pgSz w:w="11900" w:h="16838" w:orient="portrait"/>
          <w:cols w:equalWidth="0" w:num="1">
            <w:col w:w="11240"/>
          </w:cols>
          <w:pgMar w:left="320" w:top="171" w:right="33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Capitalized Software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280" w:type="dxa"/>
            <w:vAlign w:val="bottom"/>
          </w:tcPr>
          <w:p>
            <w:pPr>
              <w:spacing w:after="0"/>
              <w:rPr>
                <w:sz w:val="19"/>
                <w:szCs w:val="19"/>
                <w:color w:val="auto"/>
              </w:rPr>
            </w:pPr>
          </w:p>
        </w:tc>
        <w:tc>
          <w:tcPr>
            <w:tcW w:w="2720" w:type="dxa"/>
            <w:vAlign w:val="bottom"/>
            <w:gridSpan w:val="4"/>
          </w:tcPr>
          <w:p>
            <w:pPr>
              <w:ind w:left="760"/>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3"/>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79,546</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6"/>
              </w:rPr>
              <w:t>68,057</w:t>
            </w:r>
          </w:p>
        </w:tc>
      </w:tr>
      <w:tr>
        <w:trPr>
          <w:trHeight w:val="270"/>
        </w:trPr>
        <w:tc>
          <w:tcPr>
            <w:tcW w:w="280" w:type="dxa"/>
            <w:vAlign w:val="bottom"/>
          </w:tcPr>
          <w:p>
            <w:pPr>
              <w:spacing w:after="0"/>
              <w:rPr>
                <w:sz w:val="23"/>
                <w:szCs w:val="23"/>
                <w:color w:val="auto"/>
              </w:rPr>
            </w:pPr>
          </w:p>
        </w:tc>
        <w:tc>
          <w:tcPr>
            <w:tcW w:w="11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(31,366)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rPr>
              <w:t>(26,462)</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48,180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6"/>
              </w:rPr>
              <w:t>41,595</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71" w:right="339" w:bottom="1440" w:gutter="0" w:footer="0" w:header="0"/>
          <w:type w:val="continuous"/>
        </w:sectPr>
      </w:pP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was $2.5 million and $2.3 million for the three months ended June 30, 2025 and 2024, respectively, and $4.9 million and $4.7 million for the six months ended June 30, 2025 and 2024, respectively. During the ordinary course of business, the Company may determine that certain capitalized features of its software will no longer be used either internally or to deliver value to its customers. The Company recorded a charge of $0.4 million for both the three months ended June 30, 2025 and 2024, and $0.8 million and $0.4 million for the six months ended June 30, 2025 and 2024, respectively, related to capitalized costs associated with abandoned projects, which are included in general and administrative expense on the unaudited condensed consolidated statements of operations and comprehensive loss.</w:t>
      </w:r>
    </w:p>
    <w:p>
      <w:pPr>
        <w:sectPr>
          <w:pgSz w:w="11900" w:h="16838" w:orient="portrait"/>
          <w:cols w:equalWidth="0" w:num="1">
            <w:col w:w="11240"/>
          </w:cols>
          <w:pgMar w:left="320" w:top="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real estate from unrelated parties under operating lease agreements that have initial terms ranging from one year to 9 years. Some leases include one or more options to renew, generally at our sole discretion, of five additional years each.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6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6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ceased use of certain leased premises and subleased certain facilities resulting in impairment charges of $0.4 million during the six months ended June 30, 2024 to impair the right-of-use lease assets to their fair value, which are included in loss on held for sale and impairments on our unaudited condensed consolidated statement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2,017</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bl>
    <w:p>
      <w:pPr>
        <w:spacing w:after="0" w:line="25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included in other non-current assets, accrued expenses and other and other non-current liabilities on the unaudited condensed consolidated balance sheets, related to leases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162"/>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weighted average remaining lease term for operating leases was 4.65 years and 5.15 years, respectively, and the weighted average discount rate was 5.3% and 5.2%,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3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6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24"/>
                <w:szCs w:val="24"/>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3"/>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note with interest payable monthly, interest rate at Adjusted SOFR, plus an applicable margin of 2.50%</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(6.82681% at June 30, 2025) quarterly principal payments of 0.25% of original principal balance with balloon</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payment due July 2028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with interest payable monthly, interest rate at Adjusted SOFR, plus an applicable margin of 2.50%</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(6.93677% at June 30, 2025), and outstanding balance due January 2028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debt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37"/>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525,794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527,942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63"/>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portion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520,294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522,442</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See Note 20. Subsequent Event for additional information on the July 29, 2025 amendment to refinance and extend the maturity date.</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credit agreement, as amended, that provides for one term loan in the aggregate principal amount of $533.5 million (the “Term Loan”), a revolver with a capacity of $155.0 million (the “Revolver”) and a sub-limit of the Revolver available for letters of credit up to an aggregate face amount of $20.0 million as of June 30, 2025. These debt arrangements are collectively referred to herein as the “Credit Facilities”.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Alternative Base Rate (“ABR”) plus an applicable rate, or at a forward-looking term rate based upon the secured overnight financing rate (“SOFR”), plus (i) (a) with respect to the Term Loan,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13, 2024, the Company entered into an amendment (the “Amendment”) to the Credit Facilities to reduce the applicable margin and remove the credit spread adjustment from the existing Term Loan in their entirety in an aggregate principal amount of $533.5 million. Following the Amendment, the Term Loan bears interest, at the borrower’s election, at (x) a forward-looking term rate based upon SOFR plus an applicable margin of 2.50%, with a minimum forward-looking SOFR rate 0.50% or (y) ABR plus an applicable margin of 1.50%, with a minimum ABR of 1.50%, in each case, with no step-downs. The credit spread adjustment was removed in connection with the Amendment. The refinanced Term Loan priced at par and refinanced the existing term loan outstanding under the Credit Agreement immediately prior to giving effect to the Amendment.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June 10, 2025, the Company entered into an additional amendment to the Credit Facilities to reduce the commitments outstanding under the Revolver, extend the maturity of a portion of such commitments and reduce the applicable margin with respect to extended revolving loans. As a result of the amendment, commitments under the Revolver were reduced to from $190.0 million to $155.0 million. With respect to $125.0 million of such commitments, (i) the maturity date was extended to January 6, 2028 and (ii) the applicable margin for (x) Term SOFR loans was reduced to 2.50% and (y) Alternate Base Rate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long-term debt based on trading prices for its debt if available. As of June 30, 2025, the Company obtained trading prices for the term notes outstanding. However, as such trading prices require significant unobservable inputs to the pricing model, such instruments are classified as Level 2. The fair value amounts were approximately $531.4 million and $537.4 million as of June 30, 2025 and December 31, 2024,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the following interest rate swap agreements in connection with its Credit Facilities to convert a portion of the floating rate component of the Term Loan from a floating rate to fixed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w:t>
            </w:r>
          </w:p>
        </w:tc>
      </w:tr>
      <w:tr>
        <w:trPr>
          <w:trHeight w:val="226"/>
        </w:trPr>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2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Fixed Interest</w:t>
            </w: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0" w:type="dxa"/>
            <w:vAlign w:val="bottom"/>
          </w:tcPr>
          <w:p>
            <w:pPr>
              <w:spacing w:after="0"/>
              <w:rPr>
                <w:sz w:val="19"/>
                <w:szCs w:val="19"/>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Value at</w:t>
            </w:r>
          </w:p>
        </w:tc>
      </w:tr>
      <w:tr>
        <w:trPr>
          <w:trHeight w:val="256"/>
        </w:trPr>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Swap</w:t>
            </w:r>
          </w:p>
        </w:tc>
        <w:tc>
          <w:tcPr>
            <w:tcW w:w="8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3"/>
        </w:trPr>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r>
      <w:tr>
        <w:trPr>
          <w:trHeight w:val="26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Swap</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2220" w:type="dxa"/>
            <w:vAlign w:val="bottom"/>
            <w:tcBorders>
              <w:bottom w:val="single" w:sz="8" w:color="CCEEFF"/>
            </w:tcBorders>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4.212 %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Swap</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8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3.951 %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7"/>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Swap</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8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3.395 %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Swap Agreements are accounted for as derivatives whereby the fair value of each contract is reported within the unaudited condensed consolidated balance sheets, and related gains or losses resulting from changes in the fair value are reported in interest and other expense, net, on the unaudited condensed consolidated statements of operations and comprehensive loss. As of June 30, 2025 the fair value of the Initial and Second Swaps were a liability of $4.7 million, while the fair value of the Third Swap was an asset of $0.2 million, which are reported in other non-current liabilities and other non-current assets, respectively, on the unaudited condensed consolidated balance sheets. The related gains and losses resulting from changes in fair value was a loss of $2.2 million and a gain $1.0 million during the three months ended June 30, 2025 and 2024, respectively, and a loss of $6.0 million and a gain of $5.8 million during the six months ended June 30, 2025 and 2024, respectively.</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Credit Facilities are subject to certain financial and nonfinancial covenants and are secured by substantially all assets of the Company. As of June 30, 2025, the Company was in compliance with all of its covenants.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debt for the years ending December 31 are as follows as of June 30, 2025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515,625</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aggregate maturities of the Company’s debt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529,375</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May 21, 2024, and May 1, 2025 our Board increased the authorization of the Repurchase Program by an additional $50.0 million in shares of the Company’s common stock on each date for a total authorization to repurchase up to $250.0 million in shares of the Company’s common stock and, most recently, extended the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expiration of the Repurchase Program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repurchased and retired 2.0 million and 3.1 million shares of common stock pursuant to the Repurchase Program for $20.6 million and $31.8 million including transaction fees and taxes, during the three and six months ended June 30, 2025, respectively. As of June 30, 2025, $51.1 million remained available under the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Company’s outstanding shares of common stock as of December 31, 2024, as of January 1, 2025 the number of shares reserved for issuance under the 2021 Plan increased by 5.5 million.</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Board adopted the 2021 Employee Stock Purchase Plan (the “ESPP”). For more information on the ESPP, refer to Note 12. Stock-Based Compensation in the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RSU and stock option activity for the six months ended June 30,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RSUs</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33"/>
        </w:trPr>
        <w:tc>
          <w:tcPr>
            <w:tcW w:w="8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gridSpan w:val="3"/>
          </w:tcPr>
          <w:p>
            <w:pPr>
              <w:jc w:val="right"/>
              <w:ind w:right="95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3,901</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2,762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6,074</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5,603</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was $48.3 million and $7.8 million related to outstanding RSUs and stock options,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from continuing operations was classified on the unaudited condensed consolidated statements of operations and comprehensive loss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44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7"/>
                <w:szCs w:val="17"/>
                <w:color w:val="auto"/>
              </w:rPr>
            </w:pPr>
          </w:p>
        </w:tc>
      </w:tr>
      <w:tr>
        <w:trPr>
          <w:trHeight w:val="225"/>
        </w:trPr>
        <w:tc>
          <w:tcPr>
            <w:tcW w:w="5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37"/>
        </w:trPr>
        <w:tc>
          <w:tcPr>
            <w:tcW w:w="5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 Attributable to Common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as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Pr>
          <w:p>
            <w:pPr>
              <w:spacing w:after="0"/>
              <w:rPr>
                <w:sz w:val="18"/>
                <w:szCs w:val="18"/>
                <w:color w:val="auto"/>
              </w:rPr>
            </w:pPr>
          </w:p>
        </w:tc>
        <w:tc>
          <w:tcPr>
            <w:tcW w:w="176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3"/>
        </w:trPr>
        <w:tc>
          <w:tcPr>
            <w:tcW w:w="5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73"/>
        </w:trPr>
        <w:tc>
          <w:tcPr>
            <w:tcW w:w="5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7"/>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r>
      <w:tr>
        <w:trPr>
          <w:trHeight w:val="27"/>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185,908</w:t>
            </w: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185,908</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reconciliation of the denominators of the basic and diluted EPS computations for income (loss) from continuing operations and loss from discontinued operations, net of income tax.</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560" w:type="dxa"/>
            <w:vAlign w:val="bottom"/>
            <w:gridSpan w:val="6"/>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jc w:val="center"/>
              <w:ind w:left="27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1940" w:type="dxa"/>
            <w:vAlign w:val="bottom"/>
            <w:gridSpan w:val="3"/>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3"/>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0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5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3"/>
          </w:tcPr>
          <w:p>
            <w:pPr>
              <w:ind w:left="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185,908</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outstanding 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184,241</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184,838</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80" w:type="dxa"/>
            <w:vAlign w:val="bottom"/>
            <w:gridSpan w:val="4"/>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92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unvested RSUs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4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5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anti-dilutive outstanding potential common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6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7"/>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center"/>
              <w:ind w:right="132"/>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533"/>
        </w:trPr>
        <w:tc>
          <w:tcPr>
            <w:tcW w:w="3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7"/>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center"/>
              <w:ind w:right="132"/>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21"/>
                <w:szCs w:val="21"/>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7"/>
        </w:trPr>
        <w:tc>
          <w:tcPr>
            <w:tcW w:w="3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expense was $1.2 million and $0.7 million for the three months ended June 30, 2025 and 2024, respectively, and $1.8 million and $6.6 million for the six months ended June 30, 2025 and 2024, respectively. The difference in income tax expense for the three and six months ended June 30, 2025 as compared to the corresponding periods in 2024 was driven primarily by an increase in net income from continuing operations and discrete items before tax, including the sale of North American Fitness during the six months ended June 30, 2024.</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These changes were not reflected in the income tax provision for the period ended June 30, 2025, as enactment occurred after the balance sheet date. The Company is currently evaluating the impact on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purchase obligations incurred in the normal course of business to help deliver our services and products and provide support to its customers. These contracts with vendors primarily relate to software service, targeted mail costs, third-party fulfillment costs and software hosting. Unrecognized future minimum payments due under these agreements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7300" w:type="dxa"/>
            <w:vAlign w:val="bottom"/>
            <w:gridSpan w:val="2"/>
          </w:tcPr>
          <w:p>
            <w:pPr>
              <w:jc w:val="right"/>
              <w:ind w:right="3880"/>
              <w:spacing w:after="0"/>
              <w:rPr>
                <w:sz w:val="20"/>
                <w:szCs w:val="20"/>
                <w:color w:val="auto"/>
              </w:rPr>
            </w:pPr>
            <w:r>
              <w:rPr>
                <w:rFonts w:ascii="Times New Roman" w:cs="Times New Roman" w:eastAsia="Times New Roman" w:hAnsi="Times New Roman"/>
                <w:sz w:val="18"/>
                <w:szCs w:val="18"/>
                <w:b w:val="1"/>
                <w:bCs w:val="1"/>
                <w:color w:val="auto"/>
              </w:rPr>
              <w:t>EverCommerce Inc.</w:t>
            </w:r>
          </w:p>
        </w:tc>
        <w:tc>
          <w:tcPr>
            <w:tcW w:w="960" w:type="dxa"/>
            <w:vAlign w:val="bottom"/>
          </w:tcPr>
          <w:p>
            <w:pPr>
              <w:spacing w:after="0"/>
              <w:rPr>
                <w:sz w:val="20"/>
                <w:szCs w:val="20"/>
                <w:color w:val="auto"/>
              </w:rPr>
            </w:pPr>
          </w:p>
        </w:tc>
      </w:tr>
      <w:tr>
        <w:trPr>
          <w:trHeight w:val="324"/>
        </w:trPr>
        <w:tc>
          <w:tcPr>
            <w:tcW w:w="2980" w:type="dxa"/>
            <w:vAlign w:val="bottom"/>
          </w:tcPr>
          <w:p>
            <w:pPr>
              <w:spacing w:after="0"/>
              <w:rPr>
                <w:sz w:val="24"/>
                <w:szCs w:val="24"/>
                <w:color w:val="auto"/>
              </w:rPr>
            </w:pPr>
          </w:p>
        </w:tc>
        <w:tc>
          <w:tcPr>
            <w:tcW w:w="73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960" w:type="dxa"/>
            <w:vAlign w:val="bottom"/>
          </w:tcPr>
          <w:p>
            <w:pPr>
              <w:spacing w:after="0"/>
              <w:rPr>
                <w:sz w:val="24"/>
                <w:szCs w:val="24"/>
                <w:color w:val="auto"/>
              </w:rPr>
            </w:pPr>
          </w:p>
        </w:tc>
      </w:tr>
      <w:tr>
        <w:trPr>
          <w:trHeight w:val="94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6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29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73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6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7"/>
        </w:trPr>
        <w:tc>
          <w:tcPr>
            <w:tcW w:w="29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6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6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7"/>
        </w:trPr>
        <w:tc>
          <w:tcPr>
            <w:tcW w:w="29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6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6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payments due</w:t>
            </w:r>
          </w:p>
        </w:tc>
        <w:tc>
          <w:tcPr>
            <w:tcW w:w="7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w:t>
      </w:r>
    </w:p>
    <w:p>
      <w:pPr>
        <w:jc w:val="both"/>
        <w:ind w:firstLine="8"/>
        <w:spacing w:after="0" w:line="251"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Moelis &amp; Company v. West Palm Beach Firefighters’ Pension Fund, Case No. 340, 2024 (Del. Supr.). The Company believes it has meritorious defenses to the claims of the plaintiff and members of the class and any liability for the alleged claims is not currently probable and the potential loss or range of loss is not reasonably estimable.</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applicability of nexus in jurisdictions in which the Company sells products and services. As of June 30, 2025 and December 31, 2024, the Company recorded a liability in the amount of $9.9 million and $10.7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Geographic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 as of: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3"/>
          </w:tcPr>
          <w:p>
            <w:pPr>
              <w:jc w:val="right"/>
              <w:ind w:right="895"/>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42,872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in our Annual Report on Form 10-K for the year ended December 31, 2024. Based on being a single reportable segment company, the Company has disclosed net income (loss) from continuing operations as its primary measure of profit or loss used by the chief operating decision maker (“CODM”), which is reported on the unaudited condensed consolidated statement of operations and comprehensive loss as net income (loss) from continuing operations. The CODM is provided financial information inclusive of net income (loss) from continuing operations, which is used to assess performance of the segment and decide how to allocate resources. The CODM uses net income (loss) from continuing operations, among other metrics, to assist in evaluating the financial performance of the Company and monitoring budget versus actual results. The CODM does not review assets in evaluating segments results, and therefore, such information is not presented. The measure of segment assets is reported on the consolidated balance sheets as total assets.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customers in a similar manner regardless of industry. See Notes 5. Revenue and 18. Geographic Areas for disaggregated information regarding the Company's revenues and long-lived assets by geography,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segment information for revenues, net loss and significant expenses: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40" w:type="dxa"/>
            <w:vAlign w:val="bottom"/>
            <w:gridSpan w:val="4"/>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center"/>
              <w:ind w:left="59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center"/>
              <w:ind w:left="59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278,375</w:t>
            </w:r>
          </w:p>
        </w:tc>
      </w:tr>
      <w:tr>
        <w:trPr>
          <w:trHeight w:val="27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115,970</w:t>
            </w:r>
          </w:p>
        </w:tc>
      </w:tr>
      <w:tr>
        <w:trPr>
          <w:trHeight w:val="24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4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Third-party commissions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tools and hosting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27,247</w:t>
            </w:r>
          </w:p>
        </w:tc>
      </w:tr>
      <w:tr>
        <w:trPr>
          <w:trHeight w:val="24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r>
      <w:tr>
        <w:trPr>
          <w:trHeight w:val="27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w:t>
            </w: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40,805</w:t>
            </w:r>
          </w:p>
        </w:tc>
      </w:tr>
      <w:tr>
        <w:trPr>
          <w:trHeight w:val="24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37"/>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142,254</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143,075</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283,593</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296,937</w:t>
            </w:r>
          </w:p>
        </w:tc>
      </w:tr>
      <w:tr>
        <w:trPr>
          <w:trHeight w:val="27"/>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r>
      <w:tr>
        <w:trPr>
          <w:trHeight w:val="27"/>
        </w:trPr>
        <w:tc>
          <w:tcPr>
            <w:tcW w:w="5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ind w:left="340" w:hanging="206"/>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information that is regularly reviewed by the CODM.</w:t>
      </w:r>
    </w:p>
    <w:p>
      <w:pPr>
        <w:spacing w:after="0" w:line="68" w:lineRule="exact"/>
        <w:rPr>
          <w:rFonts w:ascii="Times New Roman" w:cs="Times New Roman" w:eastAsia="Times New Roman" w:hAnsi="Times New Roman"/>
          <w:sz w:val="14"/>
          <w:szCs w:val="14"/>
          <w:color w:val="auto"/>
        </w:rPr>
      </w:pPr>
    </w:p>
    <w:p>
      <w:pPr>
        <w:ind w:left="340" w:hanging="206"/>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corporate overhead expenses, transaction-related and other non-recurring or unusual costs, facility expenses, bad debt and other miscellaneous cost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29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40" w:type="dxa"/>
            <w:vAlign w:val="bottom"/>
            <w:gridSpan w:val="4"/>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3"/>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4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Significant Non-cash Items: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r>
      <w:tr>
        <w:trPr>
          <w:trHeight w:val="27"/>
        </w:trPr>
        <w:tc>
          <w:tcPr>
            <w:tcW w:w="5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reconciling items or adjustments between segment revenues, net loss, total assets and consolidated revenues, net loss and total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2025, the Company entered into an amendment to the Credit Facilities (the “2025 Amendment”) to, among other things, refinance the existing Term Loan in an aggregate principal amount of $529.4 million. The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Alternate Base Rate (as defined in the Credit Agreement) plus an applicable margin of 1.25%, with a minimum Alternate Base Rate of 1.50%, in each case, with no step-downs. The refinanced Term Loan priced at par and refinanced the existing term loan outstanding under the Credit Agreement immediately prior to giving effect to the 2025 Amendment.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one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2024 (the “Annual Report on Form 10-K”) filed with the Securities and Exchange Commission (“SEC”) on March 13, 2025. Additionally, our historical results are not necessarily indicative of the results that may be expected for any period in the future. Unless otherwise noted, disclosures within Item 2. Management’s Discussion and Analysis of Financial Condition and Results of Operations relate solely to the Company's continuing operations, which excludes the marketing technology disposal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As of December 31, 2024, we served more than 740,000 customers primarily across three core verticals: EverPro for Home Services; EverHealth for Health Services; and EverWell for Wellness Services. Excluding the customers associated with marketing technology solutions, which we anticipate selling in the year ending December 31, 2025, we served more than 725,000 customers (see Note 3. Discontinued Operations in this Quarterly Report on Form 10-Q).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w:t>
      </w:r>
    </w:p>
    <w:p>
      <w:pPr>
        <w:spacing w:after="0" w:line="68" w:lineRule="exact"/>
        <w:rPr>
          <w:sz w:val="20"/>
          <w:szCs w:val="20"/>
          <w:color w:val="auto"/>
        </w:rPr>
      </w:pPr>
    </w:p>
    <w:p>
      <w:pPr>
        <w:jc w:val="both"/>
        <w:ind w:left="500" w:hanging="168"/>
        <w:spacing w:after="0" w:line="26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Management Software: </w:t>
      </w:r>
      <w:r>
        <w:rPr>
          <w:rFonts w:ascii="Times New Roman" w:cs="Times New Roman" w:eastAsia="Times New Roman" w:hAnsi="Times New Roman"/>
          <w:sz w:val="18"/>
          <w:szCs w:val="18"/>
          <w:color w:val="auto"/>
        </w:rPr>
        <w:t>Our vertically-tailored Business Management Software is the system of action at the center of a service business’s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68"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74" w:lineRule="exact"/>
        <w:rPr>
          <w:rFonts w:ascii="Times New Roman" w:cs="Times New Roman" w:eastAsia="Times New Roman" w:hAnsi="Times New Roman"/>
          <w:sz w:val="18"/>
          <w:szCs w:val="18"/>
          <w:b w:val="1"/>
          <w:bCs w:val="1"/>
          <w:color w:val="auto"/>
        </w:rPr>
      </w:pPr>
    </w:p>
    <w:p>
      <w:pPr>
        <w:jc w:val="both"/>
        <w:ind w:left="500" w:hanging="168"/>
        <w:spacing w:after="0" w:line="256"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Solutions: </w:t>
      </w:r>
      <w:r>
        <w:rPr>
          <w:rFonts w:ascii="Times New Roman" w:cs="Times New Roman" w:eastAsia="Times New Roman" w:hAnsi="Times New Roman"/>
          <w:sz w:val="18"/>
          <w:szCs w:val="18"/>
          <w:color w:val="auto"/>
        </w:rPr>
        <w:t>Our Customer Experience Solutions modernize how businesses engage and interact with customers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Net Promoter Score-based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power the full scope of our customers’ businesses. This results in a self-reinforcing flywheel effect, enabling us to drive value for our customers and, in turn, improve customer stickiness, increase our market share and fuel our growth.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continuing operations generate two types of revenue: (i) Subscription and Transaction Fees, which are primarily recurring revenue streams, and (ii) Other revenue, which consists primarily of one-time revenue streams. Our recurring revenue generally consists of monthly, quarterly and annual software and maintenance subscriptions and transaction revenue associated with integrated payments and billing solutions.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benefits from attractive unit economics. Approximately 97% of our revenue was recurring or re-occurring in both the six months ended June 30, 2025 and 2024, and we maintained an annualized net revenue retention rate from continuing operations of approximately 97% for both the quarters ended June 30, 2025 and 2024. Our annualized pro forma net revenue retention rate was equal to the annualized net revenue retention rate for the quarters ended June 30, 2025 and 2024, respectively, as the acquisitions and dispositions closed during the prior period were not material to our prior period unaudited condensed consolidated results on a proforma basis.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2024 is the difference between the recurring or re-occurring revenue generated in November 2024 and the same such revenue generated in November 2023, for customers with a start date prior to December 1, 2023 and no end date or cancelled relationship on or after November 1, 2024.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2024 is the difference between the recurring or re-occurring revenue generated in November 2024 and the same such revenue generated in November 2023, for customers that cancelled on or after November 1, 2023 and before November 1, 2024.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Climate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macroeconomic climate has seen in the recent years, and may continue to see, pressure from global developments such as international geopolitical conflicts, increased tariffs and proposed tariffs between the United States and other nations, trade restrictions and conflict,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late 2024, the Company began a process to review strategic alternatives for its marketing technology solutions. On March 5, 2025, the Board of Directors (“the Board”), in conjunction with Company management committed to a plan to sell the Company’s marketing technology solutions, which is expected to result in a sale transaction in 2025. The Company is currently engaged in an active program to sell its marketing technology solutions. Additionally, the Company determined that its decision to sell marketing technology solutions is considered a strategic shift that will have a major effect on the Company’s operations and financial results and met the criteria for classification as discontinued operations. As a result, the assets and liabilities of marketing technology solutions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presented as held for sale on our unaudited condensed consolidated balance sheets and their operating results are presented as discontinued operations in our unaudited condensed consolidated statements of operations and comprehensive loss for all periods presented. During the three and six months ended June 30, 2025, we measured the assets and liabilities of the marketing technology disposal group at estimated fair value less cost to sell and recognized a gain of $0.4 million and a loss of $2.2 million, respectively, and a goodwill impairment charge of $6.9 million during the six months ended June 30, 2025, which are included in loss from discontinued operations, net of income tax, on our unaudited condensed consolidated statements of operations and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Fitness Solutions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2024, we entered into definitive sale and purchase agreements to sell our fitness solutions, comprised of North American Fitness and UK Fitness (“Fitness Solutions”), to Jonas Software (see Note 4. Fitness Solutions Disposition in this Quarterly Report on Form 10-Q). The sale of North American Fitness closed simultaneously with signing and the sale of UK Fitness closed July 1, 2024. The divestiture did not qualify for reporting as a discontinued operation and therefore, its results were included in our unaudited condensed consolidated financial statements included in this Quarterly Report on Form 10-Q through the applicable date of sale. During the three and six months ended June 30, 2024, the Company recognized losses of $0.2 million and $5.0 million, respectively, related to the sale of Fitness Solutions, which are included in loss on held for sale and impairments on our unaudited condensed consolidated statements of operations and comprehensive loss. Additionally, the Company recognized a $6.4 million goodwill impairment charge during the six months ended June 30, 2024 representing the allocated goodwill to Fitness Solutions, which is included in loss on held for sale and impairments on our unaudited condensed consolidated statements of operations and comprehensive loss included in this Quarterly Report on Form 10-Q. During the three and six months ended June 30, 2024, we measured the assets and liabilities held for sale at fair value less cost to sell and recognized losses of $0.3 million and $2.9 million, respectively, which are included in loss on held for sale and impairments on our unaudited condensed consolidated statements of operations and comprehensive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performance and future success depends on a number of factors that present significant opportunities for us but also pose risks and challenges. For discussion of these factors, please see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w:t>
      </w:r>
      <w:r>
        <w:rPr>
          <w:rFonts w:ascii="Times New Roman" w:cs="Times New Roman" w:eastAsia="Times New Roman" w:hAnsi="Times New Roman"/>
          <w:sz w:val="18"/>
          <w:szCs w:val="18"/>
          <w:color w:val="auto"/>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 Key Business and Financial Metrics – Non-GAAP Financial Measures” </w:t>
      </w:r>
      <w:r>
        <w:rPr>
          <w:rFonts w:ascii="Times New Roman" w:cs="Times New Roman" w:eastAsia="Times New Roman" w:hAnsi="Times New Roman"/>
          <w:sz w:val="18"/>
          <w:szCs w:val="18"/>
          <w:color w:val="auto"/>
        </w:rPr>
        <w:t>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 Unless otherwise noted, all amounts, percentages and discussions below reflect only the results of operations and financial condition of our continuing operations (see Note 3. Discontinued Operations in this Quarterly Report on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Revenue Growth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 Growth Rate is a key performance measure that our management uses to assess our consolidated operating performance over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also uses this metric for planning and forecasting purposes.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year-over-year Pro Forma Revenue Growth Rate is calculated as though all acquisitions and divestitures completed as of the end of the latest period were completed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of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Growth Rate was 5.3% and 4.3% for the three and six months ended June 30, 2025, respectively. Total revenues include pre-divestiture revenue from Fitness Solutions, which was divested in 2024 (see Note 4. Fitness Solutions Disposition in this Quarterly Report on Form 10-Q), of $2.7 million and $8.1 million, during the three and six months ended June 30, 2024, respectively. Our Pro Forma Revenue Growth rate was 7.4% for both the three and six months ended June 30, 2025, reflective of the underlying growth in our business as a result of new customers and providing more solutions to existing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U.S. GAAP measures of income (loss) or profitability.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the most directly comparable financial measure calculated in accordance with U.S. GAAP, to Adjusted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allocated to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 from continuing operations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11,812</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6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from continuing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10,392</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calculated as net income (loss) adjusted to exclude interest and other expense, net, income tax expense (benefit), depreciation and amortization, other amortization, stock-based compensation,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executive separation costs, severance expense related to planned restructuring activities, and costs associated with integration and transformation improvements. Transaction-related and other non-recurring or unusual costs are excluded as they are not representative of our underlying operating performance. Adjusted EBITDA should be viewed as a measure of operating performance that is a supplement to, and not a substitute for, operating income or loss, net earnings or loss and other U.S. GAAP measures of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from continuing operations, the most directly comparable financial measure calculated in accordance with U.S. GAAP, to Adjusted EBITDA from continuing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4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43"/>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r>
      <w:tr>
        <w:trPr>
          <w:trHeight w:val="243"/>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5"/>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and other non-recurring or unusual</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components of our financial results described below relate to continuing operations other than loss from discontinued operations, net of income tax. For additional information concerning our accounting policies, see Note 2. Summary of Significant Accounting Policies in the notes to the consolidated financial statements included in our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derive our revenue from two primary sources which are described in detail below: (i) Subscription and Transaction Fees, which are primarily recurring revenue streams, and (ii) Other revenue, which consists primarily of the sale of distinct professional services and hardware. Our revenue recognition policies are discussed in more detail below under </w:t>
      </w: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Subscription and Transaction Fees</w:t>
      </w:r>
      <w:r>
        <w:rPr>
          <w:rFonts w:ascii="Times New Roman" w:cs="Times New Roman" w:eastAsia="Times New Roman" w:hAnsi="Times New Roman"/>
          <w:sz w:val="18"/>
          <w:szCs w:val="18"/>
          <w:color w:val="auto"/>
        </w:rPr>
        <w:t>: Revenue includes (i) recurring monthly, quarterly and annual SaaS subscriptions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from the sale of our Business Management, Customer Experience and Billing &amp;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Revenue includes (i) consulting, implementation, training and other professional services; (ii) revenue from various 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(iii) event income; and (iv) hardware sales related to our business management or payment software solutions.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rate of growth of subscription and transaction fees, labor costs, third-party expenses and acquisitions and dispositions. For the three and six months ended June 30, 2025, revenue from subscription and transaction fees increased 5.3% and 4.3%, respectively, compared to the prior year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increase as a percentage of revenue during 2025 as we continue to dedicate substantial resources to develop, improve and expand the functionality of our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due to increased costs as a result of being a public company. As we are able to further scale our operations in the future, we would expect that general and administrative expenses would decrease as a percentage of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relate to intangible assets, property and equipment and capitalized software.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and Impairments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on held for sale represents the measurement of a disposal group at the lower of its carrying value or fair value less cost to sell in the period the held for sale criteria are met, and subsequent remeasurement each reporting period the disposal group remains classified as held for sale. Impairments include a goodwill impairment charge representing the allocated goodwill and a loss on disposition from the sale of North American Fitness, representing the difference between the consideration received and the net carrying amount of the assets sold and transaction costs during the three months ended March 31, 2024 (see Note 4. Fitness Solutions Disposition in this Quarterly Report on Form 10-Q). Impairments also include operating lease impairments related to the Company’s decision to cease use of certain leased premises and sublease certain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Income Tax</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(loss) from discontinued operations, net of income tax consists of the operating results of marketing technology solutions, including the measurement of the disposal group at the lower of carrying value or estimated fair value less cost to sell. For more information regarding the disposal group, see Note 3. Discontinued Operations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period-to-period comparisons of our historical results are not necessarily indicative of our results of operations that may be expected in the future. The following comparative information for results of operations for all periods presented have been adjusted to reflect discontinued operations related to Marketing Technology Solutions and includes the operating results of Fitness Solutions for all periods through the applicable date of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7"/>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42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(exclusive of depreciation and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7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70"/>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r>
      <w:tr>
        <w:trPr>
          <w:trHeight w:val="237"/>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26,600</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4260" w:type="dxa"/>
            <w:vAlign w:val="bottom"/>
            <w:shd w:val="clear" w:color="auto" w:fill="CCEEFF"/>
          </w:tcPr>
          <w:p>
            <w:pPr>
              <w:ind w:left="460"/>
              <w:spacing w:after="0" w:line="205" w:lineRule="exact"/>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4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before income tax expense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w:t>
            </w:r>
          </w:p>
        </w:tc>
      </w:tr>
      <w:tr>
        <w:trPr>
          <w:trHeight w:val="225"/>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4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 (percentage of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key components of operating costs within our results of operations as a percentage of revenue for the three and six months ended June 30, 2025 compared to the same period in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3800" w:type="dxa"/>
            <w:vAlign w:val="bottom"/>
          </w:tcPr>
          <w:p>
            <w:pPr>
              <w:spacing w:after="0"/>
              <w:rPr>
                <w:sz w:val="18"/>
                <w:szCs w:val="18"/>
                <w:color w:val="auto"/>
              </w:rPr>
            </w:pPr>
          </w:p>
        </w:tc>
        <w:tc>
          <w:tcPr>
            <w:tcW w:w="1540" w:type="dxa"/>
            <w:vAlign w:val="bottom"/>
            <w:gridSpan w:val="3"/>
          </w:tcPr>
          <w:p>
            <w:pPr>
              <w:jc w:val="center"/>
              <w:ind w:left="7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20" w:type="dxa"/>
            <w:vAlign w:val="bottom"/>
            <w:gridSpan w:val="3"/>
          </w:tcPr>
          <w:p>
            <w:pPr>
              <w:jc w:val="center"/>
              <w:ind w:left="7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3"/>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15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3"/>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revenue growth remains a key focus, we remain committed to continued expansion of gross margin, net income and Adjusted EBITDA through ongoing transformation initiatives. As a percentage of revenue, cost of revenues declined from 22.7% for the six months ended June 30, 2024, to 22.2% for the six months ended June 30, 2025, an improvement of approximately 60 basis points resulting in higher gross margin. As a percentage of revenue, the combination of cost of revenue, sales and marketing, product development and general and administrative costs declined from 79.9% for the six months ended June 30, 2024 as compared to 78.0% for the six months ended June 30, 2025, an improvement of 190 basis points. A discussion on primary drivers of cost reductions resulting in improved margin follows in the subsequent sections.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63"/>
        </w:trPr>
        <w:tc>
          <w:tcPr>
            <w:tcW w:w="4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3"/>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6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290,288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increased $7.5 million, or 5.3%, and $11.9 million, or 4.3%, for the three and six months ended June 30, 2025, respectively, as compared to the same periods in 2024. Revenue from subscription and transaction fees increased 5.3% and 4.3% and other revenue increased 6.9% and 3.9% during the three and six months ended June 30, 2025, respectively, as compared to the prior year periods. The majority of our revenue growth is attributable to the successful delivery of system of action capabilities to our SMBs in our verticals of home services, health and wellness. The subscription and transaction fees revenue increase consists primarily of increases from (a) business management software and (b) billing and payment solutions. Business management software revenues drove a $5.8 million and $9.8 million increase in subscription and transaction fees revenue for the three and six months ended June 30, 2025, respectively, due to an expansion in take rate and number of customers, and certain price increases across our portfolio. Billing and payment solutions revenues drove an increase of $1.3 million and $1.7 million during the three and six months ended June 30, 2025, respectively. The increase in the three-month period was primarily due to higher transaction volumes processed through our payment platforms, partially offset by lower revenue due to the Fitness Solutions divestiture. Subscription and transaction fees revenue also includes pre-divestiture revenue from Fitness Solutions of $2.7 million and $8.0 million for the three and six months ended June 30, 2024, respectively, (see Note 4. Fitness Solutions Disposition in this Quarterly Report on Form 10-Q). Other revenues increased $0.3 million and $0.4 million during the three and six months ended June 30, 2025, respectively, as compared to the same periods in 2024, primarily driven by higher revenues related to project implementation and customer development services.</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8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4"/>
          </w:tcPr>
          <w:p>
            <w:pPr>
              <w:jc w:val="right"/>
              <w:ind w:right="33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4"/>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33,395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31,561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64,583</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63,062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revenues increased by $1.8 million, or 5.8%, and $1.5 million, or 2.4%, for the three and six months ended June 30, 2025, respectively, as compared to the same periods in 2024. The increase for the three-month period was primarily comprised of an additional $0.9 million in communication services expenses, a $0.5 million increase in software hosting expenses, a $0.4 million increase in personnel and compensation expense, $0.3 million increase in application programming interface fees, $0.3 million increase in software and tools, and a $0.2 million increase in outsourced services, partially offset by a $0.7 million decrease in clearinghouse fees. The increase for the six-month period was driven primarily by an additional $1.1 million in communication services expenses, a $0.6 million increase in outsourced services, a $0.5 million increase in software hosting expenses, $0.5 million increase in application programming interface fees, and a $0.4 million increase in software and tools, partially offset by a $1.7 million decrease in clearinghouse fees.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9"/>
                <w:szCs w:val="19"/>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30,611</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28,959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59,394</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$1.7 million, or 5.7%, and $2.9 million, or 5.1%, for the three and six months ended June 30, 2025, respectively, as compared to the same periods in 2024. The increase for the three-month period was driven primarily by an additional $1.6 million in personnel and compensation expenses, $0.6 million in consulting and outsourced services, and $0.3 million in advertising expense, partially offset by a $0.5 million decrease in volume from third-party channels, and a $0.3 million decrease in software and tools. The increase for the six-month period was driven primarily by an additional $1.9 million in personnel and compensation expenses, $0.8 million in advertising expense, and $0.7 million in consulting and outsourced services, partially offset by a $0.5 million decrease in volume from third-party channels, and a $0.3 million decrease in software and tools.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6"/>
        </w:trPr>
        <w:tc>
          <w:tcPr>
            <w:tcW w:w="4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19,497</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39,460</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38,534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bl>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Product development expenses increased by $0.3 million, or 1.4%, and $0.9 million, or 2.4%, for the three and six months ended June 30, 2025, respectively, as compared to the same periods in 2024. Product developments expenses were relatively consistent in the three-month period as compared to the prior year period and declined as a percentage of revenue by 50 basis points. The increase in the six-month period was driven primarily by an additional $2.5 million in outsourced services and $0.3 million in software and tools, partially offset by a $1.8 million reduction in personnel and compensation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4"/>
          </w:tcPr>
          <w:p>
            <w:pPr>
              <w:jc w:val="right"/>
              <w:ind w:right="96"/>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32,121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32,712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w:t>
            </w:r>
          </w:p>
        </w:tc>
        <w:tc>
          <w:tcPr>
            <w:tcW w:w="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64,353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(951)</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$0.6 million, or 1.8%, and $1.0 million, or 1.5%, for the three and six months ended June 30, 2025, respectively, as compared to the same periods in 2024. General and administrative expenses were relatively consistent in the three-month period as compared to the prior year period and declined as a percentage of revenue by 160 basis points. The</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decrease for the six-month period was driven primarily by an additional $3.8 million in capitalized services due to system enhancement projects, a $3.0 million decrease in personnel and compensation expense, and a $0.8 million decrease in facility expense. These decreases were partially offset by an additional $3.1 million in stock-based compensation expense, $1.4 million in outsourced services, $1.4 million in professional fees, $0.5 million in software and tools, and $0.2 million in bad debt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6"/>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16,589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19,901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(3,312)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33,357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40,805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decreased by $3.3 million, or 16.6%, and $7.4 million, or 18.3%, for the three and six months ended June 30, 2025, respectively, as compared to the same periods in 2024. The decrease for the three and six-month periods were driven by $3.3 million and $7.1 million in lower intangible assets’ amortization, respectively, due to the reduced rate of replacement assets resulting from a reduction in the number of business acquisitions compared to prior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and Impairments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20"/>
                <w:szCs w:val="20"/>
                <w:color w:val="auto"/>
              </w:rPr>
            </w:pPr>
          </w:p>
        </w:tc>
        <w:tc>
          <w:tcPr>
            <w:tcW w:w="124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6"/>
        </w:trPr>
        <w:tc>
          <w:tcPr>
            <w:tcW w:w="430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7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r>
      <w:tr>
        <w:trPr>
          <w:trHeight w:val="27"/>
        </w:trPr>
        <w:tc>
          <w:tcPr>
            <w:tcW w:w="4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we recorded a $0.1 million working capital adjustment related to the disposal of Fitness Solutions. In March 2024, we entered into definitive sale and purchase agreements to sell our Fitness Solutions (see Note 4. Fitness Solutions Disposition in this Quarterly Report on Form 10-Q). The North American Fitness transaction resulted in a loss on disposal of $0.2 million and $5.0 million during the three and six months ended June 30, 2024, respectively, and a goodwill impairment charge of $3.4 million representing allocated goodwill during the three months ended March 31, 2024. Additionally, we recognized a loss on held for sale of $0.3 million and $2.9 million during the three and six months ended June 30, 2024, respectively, which represents the measurement of the UK Fitness disposal group at fair value less costs to sell. The six months ended June 30, 2024 included right-of-use lease asset impairments charges of $0.4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8,798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21,557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15,343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7"/>
        </w:trPr>
        <w:tc>
          <w:tcPr>
            <w:tcW w:w="4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and other expense, net, decreased by $0.8 million, or 7.9%, and increased $6.2 million, or 40.5%, for the three and six months ended June 30, 2025, respectively, as compared to the same periods in 2024, with the changes primarily driven by volatility of interest rates and foreign currency. The decrease for the three-month period was driven primarily by a $1.8 million unrealized foreign currency gain, a $3.6 million decrease in interest expense, and a $0.4 million increase in interest income. The decreases were partially offset by an unrealized loss of $2.1 million on interest rate swaps recorded during the three months ended June 30, 2025 as compared to an unrealized gain of $1.0 million in the comparative period. The increase for the six-month period was driven primarily by an unrealized loss of $6.0 million on interest rate swaps recorded during the six months ended June 30, 2025 as compared to an unrealized gain of $5.8 million in the comparative period. The increase was partially offset by a $3.6 million decrease in interest expense, a $1.2 million unrealized foreign currency gain, and a $0.8 million increase in interest income. The decline in interest expense in the three and six-month periods is a result of lower variable base interest rates on the Company’s Credit Facilities (as defined below), the amendment to the Term Loan (as defined below) in the fourth quarter 2024 resulting in a reduction in margin and the removal of the credit spread adjustment, and the swap executed in the third quarter 2024 to covert $125 million of the floating rate component of our Term Loan to a fixed rate (see Note 11. Long-Term Debt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33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(1,243)</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(1,755)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increased by $0.5 million and decreased by $4.9 million for the three and six months ended June 30, 2025, respectively, as compared to the corresponding periods in 2024, with the change driven primarily by an increase in net income from continuing operations and discrete items, including the sale of North American Fitness during the six months ended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Income Tax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37"/>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2,392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(6,255)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from discontinued operations, net of income tax was income of $2.4 million during the three months ended June 30, 2025 compared to a loss of $0.8 million during the three months ended June 30, 2024. Loss from discontinued operations increased $5.2 million during the six months ended June 30, 2025, as compared to the same period in 2024. Discontinued operations for all periods presented consists of the operating results of marketing technology solutions. The increase in income from discontinued operations in the three-month period was due primarily to the discontinuation of depreciation and amortization upon classification of assets as held for sale. The increase in loss from discontinued operations during the six-month period was due to an impairment charge of $9.0 million, comprised of a goodwill impairment charge of $6.9 million and a valuation allowance of $2.2 million to adjust the marketing technology disposal group to estimated fair value less cost to sell. We did not have similar expenses during the six months ended June 30, 2024, (see Note 3. Discontinued Operations in this Quarterly Report on Form 10-Q). This was partially offset by the discontinuation of depreciation and amortization upon classification of assets as held for sale.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our primary sources of liquidity have been net cash provided by operating activities, proceeds from equity issuances and proceeds from long-term debt.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liquidity for items such as strategic investments in the ongoing transformation of our business and infrastructure, business acquisitions and share repurchases authorized through our Repurchase Program (defined below). Absent significant deterioration of market conditions, we expect that working capital requirements, capital expenditures, acquisitions, the Company’s Repurchase Program, debt servicing and lease obligations will be our principal needs for liquidity going forward.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2025, we had cash, cash equivalents and restricted cash of $151.1 million, $155.0 million of available borrowing capacity under our Revolver (as defined below) and $529.4 million outstanding under our Term Loan.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cash flow data, inclusive of continuing and discontinued operations, for the periods indicated therein:</w:t>
      </w:r>
    </w:p>
    <w:p>
      <w:pPr>
        <w:spacing w:after="0" w:line="24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24130</wp:posOffset>
            </wp:positionV>
            <wp:extent cx="1920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7"/>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1"/>
                <w:szCs w:val="21"/>
                <w:color w:val="auto"/>
              </w:rPr>
            </w:pPr>
          </w:p>
        </w:tc>
      </w:tr>
      <w:tr>
        <w:trPr>
          <w:trHeight w:val="26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$57.7 million for the six months ended June 30, 2025, compared to $37.2 million for the six months ended June 30, 2024. Changes in net cash provided by operating activities resulted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cash provided by operating activities for the six months ended June 30, 2025 compared to the six months ended June 30, 2024 was primarily due to lower costs as a result of our transformation and optimization initiatives comprised of a reduction in general overhead expenses, including personnel expenses, to support our business of $8.2 million, lower costs directly related to the delivery of our services and products of $3.9 million, lower interest payments of $3.5 million, higher cash collections from our subscription and transaction fees, which includes revenues from payment processing, of approximately $3.4 million, lower taxes paid of $0.6 million, and higher interest income of $0.8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used in investing activities of $13.7 million related primarily to costs to develop software of $12.7 million and $1.0 million for purchases of property and equipment.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of $8.5 million was related primarily to costs to develop software of $8.7 million and $1.0 million for purchases of property and equipment, partially offset by proceeds from the sale of North American Fitness, net of transaction costs, cash and restricted cash sold for approximately $1.2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used in financing activities of $29.6 million related primarily to the repurchase and retirement of shares of our common stock of $31.6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used in financing activities of $34.2 million was related primarily to the repurchase and retirement of shares of our common stock of $36.0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repurchase and retirement of shares of our common stock, refer to Note 12. Equity in the notes to the unaudited condensed consolidated financial statements included in this Quarterly Report on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 credit agreement, as amended, that, as of June 30, 2025 provided for one term loan for an aggregate principal amount of $533.5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our option at ABR plus an applicable rate, or at a forward-looking term rate based upon the secured overnight financing rate (“SOFR”), plus (i) (a) with respect to the Term Loan,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our first lien net leverage ratio. The ABR represents the highest of the prime rate, Federal Reserve Bank of New York rate plus ½ of 1%, and the Adjusted SOFR for a one month interest period plus 1%. The applicable rate for the Term Loan and the Revolver is 3.0% for Adjusted SOFR borrowings and 2.0% for ABR borrowings, in each case subject to change based on our first lien net leverage ratio.</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13, 2024, the Company entered into an amendment (the “Amendment”) to the Credit Facilities to reduce the applicable margin and remove the credit spread adjustment from the existing Term Loan in their entirety in an aggregate principal amount of $533.5 million. Following the Amendment, the Term Loan bears interest, at the borrower’s election, at (x) a forward-looking term rate based upon SOFR plus an applicable margin of 2.50%, with a minimum forward-looking SOFR rate 0.50% or (y) ABR plus an applicable margin of 1.50%, with a minimum ABR of 1.50%, in each case, with no step-downs. The credit spread adjustment was removed in connection with the Amendment. The refinanced Term Loan priced at par and refinanced all of the existing term loans outstanding under the Credit Agreement immediately prior to giving effect to the Amendment.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June 10, 2025, the Company entered into an additional amendment to the Credit Facilities to reduce the commitments outstanding under the Revolver, extend the maturity of a portion of such commitments and reduce the applicable margin with respect to extended revolving loans. As a result of the amendment, commitments under the Revolver were reduced from $190.0 million to $155.0 million. With respect to $125.0 million of such commitments, (i) the maturity date was extended to January 6, 2028 and (ii) the applicable margin for (x) Term SOFR loans was reduced to 2.50% and (y) Alternate Base Rate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2025, the Company entered into an amendment to the Credit Facilities (the “2025 Amendment”) to, among other things, refinance the existing Term Loan in an aggregate principal amount of $529.4 million. The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Alternate Base Rate (as defined in the Credit Agreement) plus an applicable margin of 1.25%, with a minimum Alternate Base Rate of 1.50%, in each case, with no step-downs. The refinanced Term Loan priced at par and refinanced the existing term loan outstanding under the Credit Agreement immediately prior to giving effect to the 2025 Amendment.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one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the following interest rate swap agreements in connection with our Credit Facilities to convert a portion of the floating rate component of the Term Loan from a floating rate to fixed rate: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2"/>
        </w:trPr>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Fixed Interest</w:t>
            </w: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80" w:type="dxa"/>
            <w:vAlign w:val="bottom"/>
          </w:tcPr>
          <w:p>
            <w:pPr>
              <w:spacing w:after="0"/>
              <w:rPr>
                <w:sz w:val="18"/>
                <w:szCs w:val="18"/>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 Value at</w:t>
            </w:r>
          </w:p>
        </w:tc>
      </w:tr>
      <w:tr>
        <w:trPr>
          <w:trHeight w:val="256"/>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3"/>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80" w:type="dxa"/>
            <w:vAlign w:val="bottom"/>
          </w:tcPr>
          <w:p>
            <w:pPr>
              <w:spacing w:after="0"/>
              <w:rPr>
                <w:sz w:val="20"/>
                <w:szCs w:val="20"/>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218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4.212 %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r>
      <w:tr>
        <w:trPr>
          <w:trHeight w:val="24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3.951 %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3.395 %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borrowed under the Revolver may be repaid and re-borrowed through maturity of the Revolver in July 2026. The Term Loan matures in July 2028. The Term Loan may be repaid or prepaid but may not be re-borrowed.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was $529.4 million outstanding under our Credit Facilities, all of which was related to the Term Loan as no amounts were outstanding under the Revolver. The effective interest rate on the Term Loan was approximately 7.17% for the three months ended June 30, 2025, excluding the effect of any interest rate swap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were in compliance with the covenants under the Credit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November 5, 2023, May 21, 2024, and May 1, 2025 our Board increased the authorization of the Repurchase Program by an additional $50.0 million in shares of the Company’s common stock on each date for a total authorization to repurchase up to $250.0 million in shares of the Company’s common stock, and extended the expiration of the Repurchase Program most recently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repurchased and retired 2.0 million and 3.1 million shares of common stock for approximately $20.6 million and $31.8 million, including transaction fees and taxes, during the three and six months ended June 30, 2025, respectively. As of June 30, 2025, $51.1 million remained available under the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of June 30, 2025 from those disclosed in our Annual Report on Form 10-K.</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Notes 10. Leases, 11. Long-Term Debt and 17. Commitments and Contingencies in the notes to the unaudited condensed consolidated financial statements included in this Quarterly Report on Form 10-Q for a discussion of our operating leases, debt and contractual obligations,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critical accounting policies are described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Policies” </w:t>
      </w:r>
      <w:r>
        <w:rPr>
          <w:rFonts w:ascii="Times New Roman" w:cs="Times New Roman" w:eastAsia="Times New Roman" w:hAnsi="Times New Roman"/>
          <w:sz w:val="18"/>
          <w:szCs w:val="18"/>
          <w:color w:val="auto"/>
        </w:rPr>
        <w:t>in our Annual Report on Form 10-K. During the six months ended June 30, 2025, there were no material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policies from those discussed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Under the Jumpstart Our Business Startups Act of 2012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disclosures regarding market risk as described in our Annual Report on Form 10-K under the heading Part II, Item 7A. </w:t>
      </w:r>
      <w:r>
        <w:rPr>
          <w:rFonts w:ascii="Times New Roman" w:cs="Times New Roman" w:eastAsia="Times New Roman" w:hAnsi="Times New Roman"/>
          <w:sz w:val="18"/>
          <w:szCs w:val="18"/>
          <w:i w:val="1"/>
          <w:i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2025, our disclosure controls and procedures were not effective at the reasonable assurance level, due to the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 Procedures”</w:t>
      </w:r>
      <w:r>
        <w:rPr>
          <w:rFonts w:ascii="Times New Roman" w:cs="Times New Roman" w:eastAsia="Times New Roman" w:hAnsi="Times New Roman"/>
          <w:sz w:val="18"/>
          <w:szCs w:val="18"/>
          <w:color w:val="auto"/>
        </w:rPr>
        <w:t xml:space="preserve"> in our Annual Report on Form 10-K for the year ended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work to remediate our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w:t>
      </w:r>
      <w:r>
        <w:rPr>
          <w:rFonts w:ascii="Times New Roman" w:cs="Times New Roman" w:eastAsia="Times New Roman" w:hAnsi="Times New Roman"/>
          <w:sz w:val="18"/>
          <w:szCs w:val="18"/>
          <w:color w:val="auto"/>
        </w:rPr>
        <w:t>in our Annual Report on Form 10-K for the year ended December 31, 2024. There were no changes in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defined in Rules 13a-15(f) and 15d-15(f) under the Exchange Act)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17. Commitments and Contingencies in the notes to the unaudited condensed consolidated financial statements included in this Quarterly Report on Form 10-Q for a discussion of material legal proceedings. 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There have been no material changes to our risk factors from those included in our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we repurchased approximately $20.6 million in shares of our common stock under our Repurchase Program, including transaction fees and taxes. The stock repurchase activity under our Repurchase Program during the three months ended June 30, 2025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203"/>
        </w:trPr>
        <w:tc>
          <w:tcPr>
            <w:tcW w:w="4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w w:val="99"/>
              </w:rPr>
              <w:t>Average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purchased as part of publicly</w:t>
            </w:r>
          </w:p>
        </w:tc>
        <w:tc>
          <w:tcPr>
            <w:tcW w:w="260" w:type="dxa"/>
            <w:vAlign w:val="bottom"/>
          </w:tcPr>
          <w:p>
            <w:pPr>
              <w:spacing w:after="0"/>
              <w:rPr>
                <w:sz w:val="17"/>
                <w:szCs w:val="17"/>
                <w:color w:val="auto"/>
              </w:rPr>
            </w:pPr>
          </w:p>
        </w:tc>
        <w:tc>
          <w:tcPr>
            <w:tcW w:w="184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shares that may yet be</w:t>
            </w:r>
          </w:p>
        </w:tc>
      </w:tr>
      <w:tr>
        <w:trPr>
          <w:trHeight w:val="189"/>
        </w:trPr>
        <w:tc>
          <w:tcPr>
            <w:tcW w:w="4540" w:type="dxa"/>
            <w:vAlign w:val="bottom"/>
          </w:tcPr>
          <w:p>
            <w:pPr>
              <w:spacing w:after="0"/>
              <w:rPr>
                <w:sz w:val="16"/>
                <w:szCs w:val="16"/>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Total number of</w:t>
            </w:r>
          </w:p>
        </w:tc>
        <w:tc>
          <w:tcPr>
            <w:tcW w:w="26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color w:val="auto"/>
              </w:rPr>
              <w:t>price paid</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announced plans or</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purchased under the plans or</w:t>
            </w:r>
          </w:p>
        </w:tc>
      </w:tr>
      <w:tr>
        <w:trPr>
          <w:trHeight w:val="243"/>
        </w:trPr>
        <w:tc>
          <w:tcPr>
            <w:tcW w:w="45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shares purchased</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color w:val="auto"/>
                <w:w w:val="99"/>
              </w:rPr>
              <w:t>per share</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programs </w:t>
            </w:r>
            <w:r>
              <w:rPr>
                <w:rFonts w:ascii="Times New Roman" w:cs="Times New Roman" w:eastAsia="Times New Roman" w:hAnsi="Times New Roman"/>
                <w:sz w:val="21"/>
                <w:szCs w:val="21"/>
                <w:color w:val="auto"/>
                <w:w w:val="96"/>
                <w:vertAlign w:val="superscript"/>
              </w:rPr>
              <w:t>(1)</w:t>
            </w: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4"/>
              </w:rPr>
              <w:t xml:space="preserve">programs </w:t>
            </w:r>
            <w:r>
              <w:rPr>
                <w:rFonts w:ascii="Times New Roman" w:cs="Times New Roman" w:eastAsia="Times New Roman" w:hAnsi="Times New Roman"/>
                <w:sz w:val="21"/>
                <w:szCs w:val="21"/>
                <w:color w:val="auto"/>
                <w:w w:val="94"/>
                <w:vertAlign w:val="superscript"/>
              </w:rPr>
              <w:t>(1)</w:t>
            </w:r>
          </w:p>
        </w:tc>
      </w:tr>
      <w:tr>
        <w:trPr>
          <w:trHeight w:val="217"/>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0" w:type="dxa"/>
            <w:vAlign w:val="bottom"/>
            <w:gridSpan w:val="4"/>
          </w:tcPr>
          <w:p>
            <w:pPr>
              <w:jc w:val="right"/>
              <w:ind w:right="1596"/>
              <w:spacing w:after="0"/>
              <w:rPr>
                <w:sz w:val="20"/>
                <w:szCs w:val="20"/>
                <w:color w:val="auto"/>
              </w:rPr>
            </w:pPr>
            <w:r>
              <w:rPr>
                <w:rFonts w:ascii="Times New Roman" w:cs="Times New Roman" w:eastAsia="Times New Roman" w:hAnsi="Times New Roman"/>
                <w:sz w:val="16"/>
                <w:szCs w:val="16"/>
                <w:i w:val="1"/>
                <w:iCs w:val="1"/>
                <w:color w:val="auto"/>
              </w:rPr>
              <w:t>(in thousands, except per share and share amounts)</w:t>
            </w:r>
          </w:p>
        </w:tc>
      </w:tr>
      <w:tr>
        <w:trPr>
          <w:trHeight w:val="73"/>
        </w:trPr>
        <w:tc>
          <w:tcPr>
            <w:tcW w:w="4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40" w:type="dxa"/>
            <w:vAlign w:val="bottom"/>
          </w:tcPr>
          <w:p>
            <w:pPr>
              <w:spacing w:after="0"/>
              <w:rPr>
                <w:sz w:val="6"/>
                <w:szCs w:val="6"/>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2025 - April 30, 2025</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616,214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9.91</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616,214</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15,474</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 2025 - May 31, 2025</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615,384</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10.18</w:t>
            </w:r>
          </w:p>
        </w:tc>
        <w:tc>
          <w:tcPr>
            <w:tcW w:w="2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615,384</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59,211</w:t>
            </w:r>
          </w:p>
        </w:tc>
      </w:tr>
      <w:tr>
        <w:trPr>
          <w:trHeight w:val="29"/>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2025 - June 30, 2025</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812,523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9.96</w:t>
            </w:r>
          </w:p>
        </w:tc>
        <w:tc>
          <w:tcPr>
            <w:tcW w:w="2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812,523</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51,115</w:t>
            </w:r>
          </w:p>
        </w:tc>
      </w:tr>
      <w:tr>
        <w:trPr>
          <w:trHeight w:val="29"/>
        </w:trPr>
        <w:tc>
          <w:tcPr>
            <w:tcW w:w="4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14, 2022, our Board approved the Repurchase Program with authorization to purchase up to $50.0 million in shares of the Company’s common stock through the expiration of the program on December 21, 2022. On November 7, 2022, November 5, 2023, May 21, 2024, and May 1, 2025 our Board increased the authorization of the Repurchase Program by an additional $50.0 million in shares of the Company’s common stock on each date for a total authorization to repurchase up to $250.0 million in shares of the Company’s common stock and, most recently, extended the expiration of the Repurchase Program through December 31, 2026.</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2025 Eric Remer, our Chief Executive Officer and Chairman of the Board of Directors, entered into a Rule 10b5-1 trading arrangement (the “Remer 10b5-1 Sales Plan”) intended to satisfy the affirmative defense conditions of Rule 10b5-1(c) for the sale of up to 1.0 million shares of the Company’s common stock held by Mr. Remer, until September 10, 2026 or upon the occurrence of certain events described in the Remer 10b5-1 Sales Plan.</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other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Furnished</w:t>
            </w:r>
          </w:p>
        </w:tc>
      </w:tr>
      <w:tr>
        <w:trPr>
          <w:trHeight w:val="23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54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57"/>
        </w:trPr>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3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20" w:type="dxa"/>
            <w:vAlign w:val="bottom"/>
            <w:gridSpan w:val="7"/>
            <w:shd w:val="clear" w:color="auto" w:fill="CCEEFF"/>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Certificate of Incorporation of EverCommerce Inc</w:t>
              </w:r>
            </w:hyperlink>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4"/>
              </w:rPr>
              <w:t>7/9/2021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5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Amended and Restated Bylaws of EverCommerce Inc</w:t>
              </w:r>
            </w:hyperlink>
          </w:p>
        </w:tc>
        <w:tc>
          <w:tcPr>
            <w:tcW w:w="1280" w:type="dxa"/>
            <w:vAlign w:val="bottom"/>
            <w:tcBorders>
              <w:top w:val="single" w:sz="8" w:color="0000FF"/>
            </w:tcBorders>
          </w:tcPr>
          <w:p>
            <w:pPr>
              <w:spacing w:after="0"/>
              <w:rPr>
                <w:sz w:val="16"/>
                <w:szCs w:val="16"/>
                <w:color w:val="auto"/>
              </w:rPr>
            </w:pPr>
          </w:p>
        </w:tc>
        <w:tc>
          <w:tcPr>
            <w:tcW w:w="620" w:type="dxa"/>
            <w:vAlign w:val="bottom"/>
            <w:tcBorders>
              <w:top w:val="single" w:sz="8" w:color="CCEEFF"/>
            </w:tcBorders>
            <w:gridSpan w:val="4"/>
          </w:tcPr>
          <w:p>
            <w:pPr>
              <w:spacing w:after="0"/>
              <w:rPr>
                <w:sz w:val="16"/>
                <w:szCs w:val="16"/>
                <w:color w:val="auto"/>
              </w:rPr>
            </w:pPr>
          </w:p>
        </w:tc>
        <w:tc>
          <w:tcPr>
            <w:tcW w:w="9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w w:val="94"/>
              </w:rPr>
              <w:t>7/9/2021</w:t>
            </w: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223"/>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7"/>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4, dated as of June 10, 2025, to the Credit Agreement dated as</w:t>
              </w:r>
            </w:hyperlink>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000" w:type="dxa"/>
            <w:vAlign w:val="bottom"/>
            <w:tcBorders>
              <w:top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of July 6, 2021, among EverCommerce Intermediate Inc., EverCommerce</w:t>
              </w:r>
            </w:hyperlink>
          </w:p>
        </w:tc>
        <w:tc>
          <w:tcPr>
            <w:tcW w:w="2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60" w:type="dxa"/>
            <w:vAlign w:val="bottom"/>
            <w:gridSpan w:val="10"/>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Solutions Inc., Royal Bank of Canada, as administrative agent and collateral</w:t>
              </w:r>
            </w:hyperlink>
          </w:p>
        </w:tc>
      </w:tr>
      <w:tr>
        <w:trPr>
          <w:trHeight w:val="169"/>
        </w:trPr>
        <w:tc>
          <w:tcPr>
            <w:tcW w:w="880" w:type="dxa"/>
            <w:vAlign w:val="bottom"/>
          </w:tcPr>
          <w:p>
            <w:pPr>
              <w:jc w:val="right"/>
              <w:ind w:right="519"/>
              <w:spacing w:after="0" w:line="155" w:lineRule="exact"/>
              <w:rPr>
                <w:sz w:val="20"/>
                <w:szCs w:val="20"/>
                <w:color w:val="auto"/>
              </w:rPr>
            </w:pPr>
            <w:r>
              <w:rPr>
                <w:rFonts w:ascii="Times New Roman" w:cs="Times New Roman" w:eastAsia="Times New Roman" w:hAnsi="Times New Roman"/>
                <w:sz w:val="16"/>
                <w:szCs w:val="16"/>
                <w:color w:val="auto"/>
                <w:w w:val="92"/>
              </w:rPr>
              <w:t>10.1</w:t>
            </w:r>
          </w:p>
        </w:tc>
        <w:tc>
          <w:tcPr>
            <w:tcW w:w="160" w:type="dxa"/>
            <w:vAlign w:val="bottom"/>
          </w:tcPr>
          <w:p>
            <w:pPr>
              <w:spacing w:after="0"/>
              <w:rPr>
                <w:sz w:val="14"/>
                <w:szCs w:val="14"/>
                <w:color w:val="auto"/>
              </w:rPr>
            </w:pPr>
          </w:p>
        </w:tc>
        <w:tc>
          <w:tcPr>
            <w:tcW w:w="4940" w:type="dxa"/>
            <w:vAlign w:val="bottom"/>
            <w:tcBorders>
              <w:top w:val="single" w:sz="8" w:color="0000FF"/>
            </w:tcBorders>
            <w:gridSpan w:val="8"/>
          </w:tcPr>
          <w:p>
            <w:pPr>
              <w:spacing w:after="0" w:line="155"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agent, and the other parties and lenders party thereto.</w:t>
              </w:r>
            </w:hyperlink>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10.2</w:t>
            </w:r>
          </w:p>
        </w:tc>
        <w:tc>
          <w:tcPr>
            <w:tcW w:w="5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Amended and Restated Non-Employee Director Compensation Policy</w:t>
            </w:r>
          </w:p>
        </w:tc>
      </w:tr>
      <w:tr>
        <w:trPr>
          <w:trHeight w:val="20"/>
        </w:trPr>
        <w:tc>
          <w:tcPr>
            <w:tcW w:w="88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5320" w:type="dxa"/>
            <w:vAlign w:val="bottom"/>
            <w:gridSpan w:val="11"/>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5, dated as of July 29, 2025 to the Credit Agreement, dated as of</w:t>
              </w:r>
            </w:hyperlink>
          </w:p>
        </w:tc>
      </w:tr>
      <w:tr>
        <w:trPr>
          <w:trHeight w:val="169"/>
        </w:trPr>
        <w:tc>
          <w:tcPr>
            <w:tcW w:w="88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14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July 6, 2021, among EverCommerce Intermediate Inc., EverCommerce</w:t>
              </w:r>
            </w:hyperlink>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160" w:type="dxa"/>
            <w:vAlign w:val="bottom"/>
            <w:gridSpan w:val="10"/>
          </w:tcPr>
          <w:p>
            <w:pPr>
              <w:spacing w:after="0" w:line="183"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Solutions Inc., Royal Bank of Canada, as administrative agent and collateral</w:t>
              </w:r>
            </w:hyperlink>
          </w:p>
        </w:tc>
      </w:tr>
      <w:tr>
        <w:trPr>
          <w:trHeight w:val="169"/>
        </w:trPr>
        <w:tc>
          <w:tcPr>
            <w:tcW w:w="880" w:type="dxa"/>
            <w:vAlign w:val="bottom"/>
          </w:tcPr>
          <w:p>
            <w:pPr>
              <w:jc w:val="right"/>
              <w:ind w:right="519"/>
              <w:spacing w:after="0" w:line="155" w:lineRule="exact"/>
              <w:rPr>
                <w:sz w:val="20"/>
                <w:szCs w:val="20"/>
                <w:color w:val="auto"/>
              </w:rPr>
            </w:pPr>
            <w:r>
              <w:rPr>
                <w:rFonts w:ascii="Times New Roman" w:cs="Times New Roman" w:eastAsia="Times New Roman" w:hAnsi="Times New Roman"/>
                <w:sz w:val="16"/>
                <w:szCs w:val="16"/>
                <w:color w:val="auto"/>
                <w:w w:val="92"/>
              </w:rPr>
              <w:t>10.3</w:t>
            </w:r>
          </w:p>
        </w:tc>
        <w:tc>
          <w:tcPr>
            <w:tcW w:w="160" w:type="dxa"/>
            <w:vAlign w:val="bottom"/>
          </w:tcPr>
          <w:p>
            <w:pPr>
              <w:spacing w:after="0"/>
              <w:rPr>
                <w:sz w:val="14"/>
                <w:szCs w:val="14"/>
                <w:color w:val="auto"/>
              </w:rPr>
            </w:pPr>
          </w:p>
        </w:tc>
        <w:tc>
          <w:tcPr>
            <w:tcW w:w="4940" w:type="dxa"/>
            <w:vAlign w:val="bottom"/>
            <w:tcBorders>
              <w:top w:val="single" w:sz="8" w:color="0000FF"/>
            </w:tcBorders>
            <w:gridSpan w:val="8"/>
          </w:tcPr>
          <w:p>
            <w:pPr>
              <w:spacing w:after="0" w:line="155"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agent, and the other parties and lenders party thereto.</w:t>
              </w:r>
            </w:hyperlink>
          </w:p>
        </w:tc>
        <w:tc>
          <w:tcPr>
            <w:tcW w:w="220" w:type="dxa"/>
            <w:vAlign w:val="bottom"/>
            <w:gridSpan w:val="2"/>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36"/>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31.1</w:t>
            </w:r>
          </w:p>
        </w:tc>
        <w:tc>
          <w:tcPr>
            <w:tcW w:w="5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260" w:type="dxa"/>
            <w:vAlign w:val="bottom"/>
            <w:gridSpan w:val="3"/>
          </w:tcPr>
          <w:p>
            <w:pPr>
              <w:spacing w:after="0"/>
              <w:rPr>
                <w:sz w:val="20"/>
                <w:szCs w:val="20"/>
                <w:color w:val="auto"/>
              </w:rPr>
            </w:pPr>
          </w:p>
        </w:tc>
      </w:tr>
      <w:tr>
        <w:trPr>
          <w:trHeight w:val="223"/>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31.2</w:t>
            </w:r>
          </w:p>
        </w:tc>
        <w:tc>
          <w:tcPr>
            <w:tcW w:w="5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300" w:type="dxa"/>
            <w:vAlign w:val="bottom"/>
            <w:gridSpan w:val="4"/>
          </w:tcPr>
          <w:p>
            <w:pPr>
              <w:spacing w:after="0"/>
              <w:rPr>
                <w:sz w:val="19"/>
                <w:szCs w:val="19"/>
                <w:color w:val="auto"/>
              </w:rPr>
            </w:pPr>
          </w:p>
        </w:tc>
      </w:tr>
      <w:tr>
        <w:trPr>
          <w:trHeight w:val="223"/>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32.1</w:t>
            </w:r>
          </w:p>
        </w:tc>
        <w:tc>
          <w:tcPr>
            <w:tcW w:w="5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r>
      <w:tr>
        <w:trPr>
          <w:trHeight w:val="223"/>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32.2</w:t>
            </w:r>
          </w:p>
        </w:tc>
        <w:tc>
          <w:tcPr>
            <w:tcW w:w="49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400" w:type="dxa"/>
            <w:vAlign w:val="bottom"/>
            <w:gridSpan w:val="5"/>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gridSpan w:val="5"/>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p>
        </w:tc>
        <w:tc>
          <w:tcPr>
            <w:tcW w:w="53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r>
      <w:tr>
        <w:trPr>
          <w:trHeight w:val="210"/>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-1409700</wp:posOffset>
            </wp:positionV>
            <wp:extent cx="7132320" cy="53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880" w:val="left"/>
          <w:tab w:leader="none" w:pos="1920" w:val="left"/>
          <w:tab w:leader="none" w:pos="28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001-40575</w:t>
      </w:r>
      <w:r>
        <w:rPr>
          <w:sz w:val="20"/>
          <w:szCs w:val="20"/>
          <w:color w:val="auto"/>
        </w:rPr>
        <w:tab/>
      </w: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color w:val="auto"/>
        </w:rPr>
        <w:t>6/10/2025</w:t>
      </w:r>
    </w:p>
    <w:p>
      <w:pPr>
        <w:spacing w:after="0" w:line="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80" w:val="left"/>
          <w:tab w:leader="none" w:pos="1920" w:val="left"/>
          <w:tab w:leader="none" w:pos="28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001-40575</w:t>
      </w:r>
      <w:r>
        <w:rPr>
          <w:sz w:val="20"/>
          <w:szCs w:val="20"/>
          <w:color w:val="auto"/>
        </w:rPr>
        <w:tab/>
      </w: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color w:val="auto"/>
        </w:rPr>
        <w:t>7/30/2025</w:t>
      </w:r>
    </w:p>
    <w:p>
      <w:pPr>
        <w:spacing w:after="0" w:line="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6"/>
          <w:szCs w:val="16"/>
          <w:color w:val="auto"/>
        </w:rPr>
        <w:t>**</w:t>
      </w:r>
    </w:p>
    <w:p>
      <w:pPr>
        <w:spacing w:after="0" w:line="459" w:lineRule="exact"/>
        <w:rPr>
          <w:sz w:val="20"/>
          <w:szCs w:val="20"/>
          <w:color w:val="auto"/>
        </w:rPr>
      </w:pPr>
    </w:p>
    <w:p>
      <w:pPr>
        <w:sectPr>
          <w:pgSz w:w="11900" w:h="16838" w:orient="portrait"/>
          <w:cols w:equalWidth="0" w:num="2">
            <w:col w:w="6200" w:space="140"/>
            <w:col w:w="4900"/>
          </w:cols>
          <w:pgMar w:left="320" w:top="128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7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XBRL document.</w:t>
            </w:r>
          </w:p>
        </w:tc>
        <w:tc>
          <w:tcPr>
            <w:tcW w:w="29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9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9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9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29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9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0" w:type="dxa"/>
            <w:vAlign w:val="bottom"/>
          </w:tcPr>
          <w:p>
            <w:pPr>
              <w:spacing w:after="0"/>
              <w:rPr>
                <w:sz w:val="17"/>
                <w:szCs w:val="17"/>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2920" w:type="dxa"/>
            <w:vAlign w:val="bottom"/>
          </w:tcPr>
          <w:p>
            <w:pPr>
              <w:spacing w:after="0"/>
              <w:rPr>
                <w:sz w:val="17"/>
                <w:szCs w:val="17"/>
                <w:color w:val="auto"/>
              </w:rPr>
            </w:pPr>
          </w:p>
        </w:tc>
      </w:tr>
      <w:tr>
        <w:trPr>
          <w:trHeight w:val="224"/>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7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Exhibit 101)</w:t>
            </w:r>
          </w:p>
        </w:tc>
        <w:tc>
          <w:tcPr>
            <w:tcW w:w="29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bl>
    <w:p>
      <w:pPr>
        <w:spacing w:after="0" w:line="3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EVERCOMMERCE INC.</w:t>
      </w:r>
    </w:p>
    <w:p>
      <w:pPr>
        <w:spacing w:after="0" w:line="329" w:lineRule="exact"/>
        <w:rPr>
          <w:sz w:val="20"/>
          <w:szCs w:val="20"/>
          <w:color w:val="auto"/>
        </w:rPr>
      </w:pPr>
    </w:p>
    <w:p>
      <w:pPr>
        <w:ind w:left="20"/>
        <w:spacing w:after="0"/>
        <w:tabs>
          <w:tab w:leader="none" w:pos="6400" w:val="left"/>
          <w:tab w:leader="none" w:pos="8540" w:val="left"/>
        </w:tabs>
        <w:rPr>
          <w:sz w:val="20"/>
          <w:szCs w:val="20"/>
          <w:color w:val="auto"/>
        </w:rPr>
      </w:pPr>
      <w:r>
        <w:rPr>
          <w:rFonts w:ascii="Times New Roman" w:cs="Times New Roman" w:eastAsia="Times New Roman" w:hAnsi="Times New Roman"/>
          <w:sz w:val="18"/>
          <w:szCs w:val="18"/>
          <w:b w:val="1"/>
          <w:bCs w:val="1"/>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400" w:val="left"/>
          <w:tab w:leader="none" w:pos="8400" w:val="left"/>
        </w:tabs>
        <w:rPr>
          <w:sz w:val="20"/>
          <w:szCs w:val="20"/>
          <w:color w:val="auto"/>
        </w:rPr>
      </w:pPr>
      <w:r>
        <w:rPr>
          <w:rFonts w:ascii="Times New Roman" w:cs="Times New Roman" w:eastAsia="Times New Roman" w:hAnsi="Times New Roman"/>
          <w:sz w:val="18"/>
          <w:szCs w:val="18"/>
          <w:b w:val="1"/>
          <w:bCs w:val="1"/>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Ryan H. Siurek</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0" w:right="339" w:bottom="1440" w:gutter="0" w:footer="0" w:header="0"/>
        </w:sectPr>
      </w:pPr>
    </w:p>
    <w:bookmarkStart w:id="44" w:name="page45"/>
    <w:bookmarkEnd w:id="44"/>
    <w:p>
      <w:pPr>
        <w:ind w:left="9960"/>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EverCommerce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Non-Employee Director Compensation Policy</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EverCommerce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be eligible to receive cash and equity compensation as set forth in this Non-Employee Director Compensation Policy (as amended from time to time,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or an affiliate of Providence Strategic Growth Partners L.L.C. or Silver Lake Technology Management L.L.C.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may be eligible to receive such cash or equity compensation, unless such Non-Employee Director declines the receipt of such cash or equity compensation by written notice to the Company. This Policy became effective on June 30, 2021 and is hereby amended and restated effective as of May 17, 2025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17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Retainers</w:t>
      </w:r>
      <w:r>
        <w:rPr>
          <w:rFonts w:ascii="Times New Roman" w:cs="Times New Roman" w:eastAsia="Times New Roman" w:hAnsi="Times New Roman"/>
          <w:sz w:val="21"/>
          <w:szCs w:val="21"/>
          <w:color w:val="auto"/>
        </w:rPr>
        <w:t>. Each Non-Employee Director shall receive an annual retainer of $55,000 for service 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Board.</w:t>
      </w:r>
    </w:p>
    <w:p>
      <w:pPr>
        <w:spacing w:after="0" w:line="142"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a Non-Employee Director shall receive the following annual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retainers:</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Lead Independent Director of the Board</w:t>
      </w:r>
      <w:r>
        <w:rPr>
          <w:rFonts w:ascii="Times New Roman" w:cs="Times New Roman" w:eastAsia="Times New Roman" w:hAnsi="Times New Roman"/>
          <w:sz w:val="22"/>
          <w:szCs w:val="22"/>
          <w:color w:val="auto"/>
        </w:rPr>
        <w:t>. A Non-Employee Director serving as Lead Independent Director of the Board shall receive an additional annual retainer of $15,000 for such service.</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Committee</w:t>
      </w:r>
      <w:r>
        <w:rPr>
          <w:rFonts w:ascii="Times New Roman" w:cs="Times New Roman" w:eastAsia="Times New Roman" w:hAnsi="Times New Roman"/>
          <w:sz w:val="22"/>
          <w:szCs w:val="22"/>
          <w:color w:val="auto"/>
        </w:rPr>
        <w:t>. A Non-Employee Director serving as Chairperson of the Audit Committee shall receive an additional annual retainer of $25,000 for such service. A Non-Employee Director serving as a member of the Audit Committee (other than the Chairperson) shall receive an additional annual retainer of $20,000 for such service.</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$15,000 for such service.</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Nominating and Corporate Governance Committee</w:t>
      </w:r>
      <w:r>
        <w:rPr>
          <w:rFonts w:ascii="Times New Roman" w:cs="Times New Roman" w:eastAsia="Times New Roman" w:hAnsi="Times New Roman"/>
          <w:sz w:val="22"/>
          <w:szCs w:val="22"/>
          <w:color w:val="auto"/>
        </w:rPr>
        <w:t>. A Non-Employee Director serving as Chairperson of the Nominating and Corporate Governance Committee shall receive an additional annual retainer of $20,000 for such service. A Non-Employee Director serving as a member of the Nominating and Corporate Governance Committee (other than the Chairperson) shall receive an additional annual retainer of $10,000 for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26" w:right="339" w:bottom="1440" w:gutter="0" w:footer="0" w:header="0"/>
        </w:sectPr>
      </w:pPr>
    </w:p>
    <w:bookmarkStart w:id="45" w:name="page46"/>
    <w:bookmarkEnd w:id="45"/>
    <w:p>
      <w:pPr>
        <w:jc w:val="both"/>
        <w:ind w:firstLine="1304"/>
        <w:spacing w:after="0" w:line="211" w:lineRule="auto"/>
        <w:tabs>
          <w:tab w:leader="none" w:pos="194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 Non-Employee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1"/>
          <w:szCs w:val="21"/>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53"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Each Non-Employee Director who (i) serves on the Board as of the date of any annual meeting of the Company’s stockholders (an “</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and (ii) will continue to serve as a Non-Employee Director immediately following such Annual Meeting shall be automatically granted, on the date of such Annual Meeting, an award of restricted stock units that have an aggregate fair value on the date of such Annual Meeting of $200,000 (as determined in accordance with ASC 718 and with the number of shares of common stock underlying such award subject to adjustment as provided in the Equity Plan). The awards described in this Section 2(a) shall be referred to as the “</w:t>
      </w:r>
      <w:r>
        <w:rPr>
          <w:rFonts w:ascii="Times New Roman" w:cs="Times New Roman" w:eastAsia="Times New Roman" w:hAnsi="Times New Roman"/>
          <w:sz w:val="22"/>
          <w:szCs w:val="22"/>
          <w:b w:val="1"/>
          <w:bCs w:val="1"/>
          <w:i w:val="1"/>
          <w:iCs w:val="1"/>
          <w:color w:val="auto"/>
        </w:rPr>
        <w:t>Annual Awards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Except as otherwise determined by the Board, each Non-Employee Director who is initially elected or appointed to the Board shall be automatically granted, on the date of such Non-Employee Director’s initial election or appointment (such Non-Employee Director’s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 an award of restricted stock units that have an aggregate fair value on such Non-Employee Director’s Start Date equal to $300,000 (as determined in accordance with ASC 718 with the number of shares of common stock underlying each such award subject to adjustment as provided in the Equity Plan). The awards described in this Section 2(b)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For the avoidance of doubt, no Non-Employee Director shall be granted more than one Initial Award.</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Awards Granted to Non-Employee Directors</w:t>
      </w:r>
      <w:r>
        <w:rPr>
          <w:rFonts w:ascii="Times New Roman" w:cs="Times New Roman" w:eastAsia="Times New Roman" w:hAnsi="Times New Roman"/>
          <w:sz w:val="22"/>
          <w:szCs w:val="22"/>
          <w:color w:val="auto"/>
        </w:rPr>
        <w:t>. Each Annual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95" w:right="339" w:bottom="1440" w:gutter="0" w:footer="0" w:header="0"/>
        </w:sectPr>
      </w:pPr>
    </w:p>
    <w:bookmarkStart w:id="46" w:name="page47"/>
    <w:bookmarkEnd w:id="46"/>
    <w:p>
      <w:pPr>
        <w:jc w:val="both"/>
        <w:spacing w:after="0" w:line="215" w:lineRule="auto"/>
        <w:rPr>
          <w:sz w:val="20"/>
          <w:szCs w:val="20"/>
          <w:color w:val="auto"/>
        </w:rPr>
      </w:pPr>
      <w:r>
        <w:rPr>
          <w:rFonts w:ascii="Times New Roman" w:cs="Times New Roman" w:eastAsia="Times New Roman" w:hAnsi="Times New Roman"/>
          <w:sz w:val="22"/>
          <w:szCs w:val="22"/>
          <w:color w:val="auto"/>
        </w:rPr>
        <w:t>the applicable vesting date. Each Initial Award shall vest and become exercisable on the first anniversary of the date of grant, subject to the Non-Employee Director continuing in service on the Board through the applicable vesting date. No portion of an Annual Award or Initial Award that is unvested or unexercisable at the time of a Non-Employee Director’s termination of service on the Board shall become vested and exercisable thereafter. All of a Non-Employee Director’s Annual Awards and Initial Awards shall vest in full immediately prior to the occurrence of a Change in Control (as defined in the Equity Plan), to the extent outstanding at such time.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95"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78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72"/>
        </w:trPr>
        <w:tc>
          <w:tcPr>
            <w:tcW w:w="342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H. Siurek, certify that:</w:t>
      </w:r>
    </w:p>
    <w:p>
      <w:pPr>
        <w:spacing w:after="0" w:line="198"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20" w:hanging="412"/>
        <w:spacing w:after="0" w:line="231"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78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Ryan H. Siurek</w:t>
            </w:r>
          </w:p>
        </w:tc>
        <w:tc>
          <w:tcPr>
            <w:tcW w:w="0" w:type="dxa"/>
            <w:vAlign w:val="bottom"/>
          </w:tcPr>
          <w:p>
            <w:pPr>
              <w:spacing w:after="0"/>
              <w:rPr>
                <w:sz w:val="1"/>
                <w:szCs w:val="1"/>
                <w:color w:val="auto"/>
              </w:rPr>
            </w:pPr>
          </w:p>
        </w:tc>
      </w:tr>
      <w:tr>
        <w:trPr>
          <w:trHeight w:val="73"/>
        </w:trPr>
        <w:tc>
          <w:tcPr>
            <w:tcW w:w="342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June 30, 2025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June 30, 2025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35"/>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1190CDE7"/>
    <w:multiLevelType w:val="hybridMultilevel"/>
    <w:lvl w:ilvl="0">
      <w:lvlJc w:val="left"/>
      <w:lvlText w:val="%1"/>
      <w:numFmt w:val="decimal"/>
      <w:start w:val="1"/>
    </w:lvl>
    <w:lvl w:ilvl="1">
      <w:lvlJc w:val="left"/>
      <w:lvlText w:val="(%2)"/>
      <w:numFmt w:val="lowerLetter"/>
      <w:start w:val="3"/>
    </w:lvl>
  </w:abstractNum>
  <w:abstractNum w:abstractNumId="9">
    <w:nsid w:val="66EF438D"/>
    <w:multiLevelType w:val="hybridMultilevel"/>
    <w:lvl w:ilvl="0">
      <w:lvlJc w:val="left"/>
      <w:lvlText w:val="%1."/>
      <w:numFmt w:val="decimal"/>
      <w:start w:val="2"/>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6" Type="http://schemas.openxmlformats.org/officeDocument/2006/relationships/hyperlink" Target="https://www.sec.gov/Archives/edgar/data/0001853145/000114036121023912/nt10022251x16_ex3-1.htm" TargetMode="External"/><Relationship Id="rId57" Type="http://schemas.openxmlformats.org/officeDocument/2006/relationships/hyperlink" Target="https://www.sec.gov/Archives/edgar/data/0001853145/000114036121023912/nt10022251x16_ex3-2.htm" TargetMode="External"/><Relationship Id="rId58" Type="http://schemas.openxmlformats.org/officeDocument/2006/relationships/hyperlink" Target="https://www.sec.gov/Archives/edgar/data/1853145/000185314525000023/evercommerce-amendmentno4x.htm" TargetMode="External"/><Relationship Id="rId60" Type="http://schemas.openxmlformats.org/officeDocument/2006/relationships/hyperlink" Target="https://www.sec.gov/Archives/edgar/data/1853145/000185314525000030/amendmentno5tothe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2025-08-06T16:17:49Z</dcterms:created>
  <dcterms:modified xsi:type="dcterms:W3CDTF">2025-08-06T16:17:49Z</dcterms:modified>
</cp:coreProperties>
</file>