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600" w:hanging="534"/>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rFonts w:ascii="MS PGothic" w:cs="MS PGothic" w:eastAsia="MS PGothic" w:hAnsi="MS PGothic"/>
          <w:sz w:val="18"/>
          <w:szCs w:val="18"/>
          <w:color w:val="auto"/>
          <w:highlight w:val="black"/>
        </w:rPr>
      </w:pPr>
    </w:p>
    <w:p>
      <w:pPr>
        <w:ind w:left="29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26"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001-40575</w:t>
      </w:r>
    </w:p>
    <w:p>
      <w:pPr>
        <w:spacing w:after="0" w:line="145" w:lineRule="exact"/>
        <w:rPr>
          <w:sz w:val="24"/>
          <w:szCs w:val="24"/>
          <w:color w:val="auto"/>
        </w:rPr>
      </w:pPr>
    </w:p>
    <w:tbl>
      <w:tblPr>
        <w:tblLayout w:type="fixed"/>
        <w:tblInd w:w="1560" w:type="dxa"/>
        <w:tblCellMar>
          <w:top w:w="0" w:type="dxa"/>
          <w:left w:w="0" w:type="dxa"/>
          <w:bottom w:w="0" w:type="dxa"/>
          <w:right w:w="0" w:type="dxa"/>
        </w:tblCellMar>
      </w:tblPr>
      <w:tr>
        <w:trPr>
          <w:trHeight w:val="383"/>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29"/>
                <w:szCs w:val="29"/>
                <w:b w:val="1"/>
                <w:bCs w:val="1"/>
                <w:color w:val="auto"/>
                <w:w w:val="99"/>
              </w:rPr>
              <w:t>EverCommerce Inc.</w:t>
            </w:r>
          </w:p>
        </w:tc>
      </w:tr>
      <w:tr>
        <w:trPr>
          <w:trHeight w:val="280"/>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92"/>
        </w:trPr>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7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81-4063248</w:t>
            </w:r>
          </w:p>
        </w:tc>
      </w:tr>
      <w:tr>
        <w:trPr>
          <w:trHeight w:val="19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8"/>
              </w:rPr>
              <w:t>(State or other jurisdiction of</w:t>
            </w:r>
          </w:p>
        </w:tc>
        <w:tc>
          <w:tcPr>
            <w:tcW w:w="4760" w:type="dxa"/>
            <w:vAlign w:val="bottom"/>
          </w:tcPr>
          <w:p>
            <w:pPr>
              <w:jc w:val="center"/>
              <w:ind w:left="3782"/>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5"/>
              </w:rPr>
              <w:t>Identification No.)</w:t>
            </w:r>
          </w:p>
        </w:tc>
      </w:tr>
      <w:tr>
        <w:trPr>
          <w:trHeight w:val="342"/>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3601 Walnut Street, Suite 400</w:t>
            </w:r>
          </w:p>
        </w:tc>
        <w:tc>
          <w:tcPr>
            <w:tcW w:w="4760" w:type="dxa"/>
            <w:vAlign w:val="bottom"/>
          </w:tcPr>
          <w:p>
            <w:pPr>
              <w:spacing w:after="0"/>
              <w:rPr>
                <w:sz w:val="24"/>
                <w:szCs w:val="24"/>
                <w:color w:val="auto"/>
              </w:rPr>
            </w:pPr>
          </w:p>
        </w:tc>
      </w:tr>
      <w:tr>
        <w:trPr>
          <w:trHeight w:val="20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Denver, Colorado</w:t>
            </w:r>
          </w:p>
        </w:tc>
        <w:tc>
          <w:tcPr>
            <w:tcW w:w="47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80205</w:t>
            </w:r>
          </w:p>
        </w:tc>
      </w:tr>
      <w:tr>
        <w:trPr>
          <w:trHeight w:val="210"/>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88"/>
        </w:trPr>
        <w:tc>
          <w:tcPr>
            <w:tcW w:w="2200" w:type="dxa"/>
            <w:vAlign w:val="bottom"/>
          </w:tcPr>
          <w:p>
            <w:pPr>
              <w:spacing w:after="0"/>
              <w:rPr>
                <w:sz w:val="24"/>
                <w:szCs w:val="24"/>
                <w:color w:val="auto"/>
              </w:rPr>
            </w:pPr>
          </w:p>
        </w:tc>
        <w:tc>
          <w:tcPr>
            <w:tcW w:w="4760" w:type="dxa"/>
            <w:vAlign w:val="bottom"/>
          </w:tcPr>
          <w:p>
            <w:pPr>
              <w:jc w:val="center"/>
              <w:ind w:right="942"/>
              <w:spacing w:after="0"/>
              <w:rPr>
                <w:sz w:val="20"/>
                <w:szCs w:val="20"/>
                <w:color w:val="auto"/>
              </w:rPr>
            </w:pPr>
            <w:r>
              <w:rPr>
                <w:rFonts w:ascii="Times New Roman" w:cs="Times New Roman" w:eastAsia="Times New Roman" w:hAnsi="Times New Roman"/>
                <w:sz w:val="16"/>
                <w:szCs w:val="16"/>
                <w:b w:val="1"/>
                <w:bCs w:val="1"/>
                <w:color w:val="auto"/>
              </w:rPr>
              <w:t>(720) 647-4948</w:t>
            </w:r>
          </w:p>
        </w:tc>
      </w:tr>
      <w:tr>
        <w:trPr>
          <w:trHeight w:val="190"/>
        </w:trPr>
        <w:tc>
          <w:tcPr>
            <w:tcW w:w="2200" w:type="dxa"/>
            <w:vAlign w:val="bottom"/>
          </w:tcPr>
          <w:p>
            <w:pPr>
              <w:spacing w:after="0"/>
              <w:rPr>
                <w:sz w:val="16"/>
                <w:szCs w:val="16"/>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186"/>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EVCM</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7"/>
        </w:trPr>
        <w:tc>
          <w:tcPr>
            <w:tcW w:w="396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182"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5, 2025, there were 182,540,870 shares of the registrant’s common stock, par value $0.00001,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2025 (unaudited) and December 31, 2024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for the three months ended March</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 2025 and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 for the three months ended March 31, 2025 and</w:t>
            </w: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three months ended March 31, 2025 and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2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40" w:type="dxa"/>
            <w:vAlign w:val="bottom"/>
          </w:tcPr>
          <w:p>
            <w:pPr>
              <w:spacing w:after="0"/>
              <w:rPr>
                <w:sz w:val="21"/>
                <w:szCs w:val="21"/>
                <w:color w:val="auto"/>
              </w:rPr>
            </w:pPr>
          </w:p>
        </w:tc>
      </w:tr>
      <w:tr>
        <w:trPr>
          <w:trHeight w:val="1290"/>
        </w:trPr>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expectations regarding the strategic review of our Marketing Technology Solutions including any potential sale, progress towards remediation of our material weakness and our objectives for future operations.</w:t>
      </w:r>
    </w:p>
    <w:p>
      <w:pPr>
        <w:spacing w:after="0" w:line="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small and medium-sized businesses is relatively immature and unproven; we are subject to economic and political risk, the business cycles of our clients and changes in the overall level of consumer and commercial spending, which could negatively impact our business, financial condition and results of operations;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the inability to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conditions and growth prospects; unauthorized disclosure, destruction or modification of data, disruption of our software or services or cyber breaches could expose us to liability, protracted and costly litigation and damage our reputation; our use of artificial intelligence technologies and evolving regulatory framework governing the use of such technologies;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impairment in the value of our goodwill or intangible assets;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our ability to improve our margin, in particular within Marketing Technology Solutions; the impact of a future pandemic, epidemic, or outbreak of infectious disease could impact our business, financial condition and results of operations, as well as the business or operations of their parties with whom we conduct business; our success in achieving our objectives through acquisitions, divestitures or other strategic transactions; our revenues and profits generated through acquisitions may be less than anticipated, and we may fail to uncover all liabilities of acquisition targets; risks related to scrutiny on environmental sustainability and social initiatives; our ability to adequately protect or enforce our intellectual property and other proprietary rights; risk of patent, trademark and other intellectual property infringement claims; risks related to governmental regulation and other legal obligations, particularly related to privacy, data protection and information security, and our actual or perceived failure to comply with such obligations;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2024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4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148,408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135,782</w:t>
            </w:r>
          </w:p>
        </w:tc>
      </w:tr>
      <w:tr>
        <w:trPr>
          <w:trHeight w:val="202"/>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$2.1 million and $2.3 million at March 31, 2025 and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8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31,090</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12,839</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Assets held for sale</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11,422</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30,231</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27,181</w:t>
            </w:r>
          </w:p>
        </w:tc>
      </w:tr>
      <w:tr>
        <w:trPr>
          <w:trHeight w:val="227"/>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218,314</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software, net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41,595</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36,127</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2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44,779</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211,172</w:t>
            </w:r>
          </w:p>
        </w:tc>
      </w:tr>
      <w:tr>
        <w:trPr>
          <w:trHeight w:val="237"/>
        </w:trPr>
        <w:tc>
          <w:tcPr>
            <w:tcW w:w="8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863,686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863,152</w:t>
            </w:r>
          </w:p>
        </w:tc>
      </w:tr>
      <w:tr>
        <w:trPr>
          <w:trHeight w:val="24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1,414,100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1,421,268</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50,840</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22,107</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11,382</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14,298</w:t>
            </w:r>
          </w:p>
        </w:tc>
      </w:tr>
      <w:tr>
        <w:trPr>
          <w:trHeight w:val="227"/>
        </w:trPr>
        <w:tc>
          <w:tcPr>
            <w:tcW w:w="84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110,726</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Long-term debt, net of current maturities and deferred financing costs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521,364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522,442</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36,301</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r>
      <w:tr>
        <w:trPr>
          <w:trHeight w:val="227"/>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674,531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670,442</w:t>
            </w:r>
          </w:p>
        </w:tc>
      </w:tr>
      <w:tr>
        <w:trPr>
          <w:trHeight w:val="25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2"/>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$0.00001 par value, 50,000,000 shares authorized and no shares issued or outstanding as of March 31, 2025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and December 31, 2024</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$0.00001 par value, 2,000,000,000 shares authorized and 183,034,613 and 183,725,236 shares issued and</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March 31, 2025 and December 31, 2024, respectively</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(14,318)</w:t>
            </w:r>
          </w:p>
        </w:tc>
      </w:tr>
      <w:tr>
        <w:trPr>
          <w:trHeight w:val="233"/>
        </w:trPr>
        <w:tc>
          <w:tcPr>
            <w:tcW w:w="8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1,422,185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1,426,206</w:t>
            </w:r>
          </w:p>
        </w:tc>
      </w:tr>
      <w:tr>
        <w:trPr>
          <w:trHeight w:val="253"/>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(668,777)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(661,064)</w:t>
            </w:r>
          </w:p>
        </w:tc>
      </w:tr>
      <w:tr>
        <w:trPr>
          <w:trHeight w:val="230"/>
        </w:trPr>
        <w:tc>
          <w:tcPr>
            <w:tcW w:w="8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739,569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750,826</w:t>
            </w:r>
          </w:p>
        </w:tc>
      </w:tr>
      <w:tr>
        <w:trPr>
          <w:trHeight w:val="268"/>
        </w:trPr>
        <w:tc>
          <w:tcPr>
            <w:tcW w:w="8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1,414,100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1,421,268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3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137,852</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20,904</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r>
      <w:tr>
        <w:trPr>
          <w:trHeight w:val="23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142,148</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 before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 net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6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8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in computing net income (loss) per share:</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183,467,698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186,635,095</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185,222,240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186,635,095</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gridSpan w:val="3"/>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9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2"/>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1,426,206</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(661,064)</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750,826</w:t>
            </w:r>
          </w:p>
        </w:tc>
        <w:tc>
          <w:tcPr>
            <w:tcW w:w="0" w:type="dxa"/>
            <w:vAlign w:val="bottom"/>
          </w:tcPr>
          <w:p>
            <w:pPr>
              <w:spacing w:after="0"/>
              <w:rPr>
                <w:sz w:val="1"/>
                <w:szCs w:val="1"/>
                <w:color w:val="auto"/>
              </w:rPr>
            </w:pPr>
          </w:p>
        </w:tc>
      </w:tr>
      <w:tr>
        <w:trPr>
          <w:trHeight w:val="225"/>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 net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shares withheld 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0" w:type="dxa"/>
            <w:vAlign w:val="bottom"/>
          </w:tcPr>
          <w:p>
            <w:pPr>
              <w:spacing w:after="0"/>
              <w:rPr>
                <w:sz w:val="1"/>
                <w:szCs w:val="1"/>
                <w:color w:val="auto"/>
              </w:rPr>
            </w:pPr>
          </w:p>
        </w:tc>
      </w:tr>
      <w:tr>
        <w:trPr>
          <w:trHeight w:val="26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183,034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1,422,185</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(668,777)</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739,569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4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880" w:type="dxa"/>
            <w:vAlign w:val="bottom"/>
            <w:gridSpan w:val="3"/>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6"/>
                <w:szCs w:val="16"/>
                <w:color w:val="auto"/>
              </w:rPr>
            </w:pPr>
          </w:p>
        </w:tc>
        <w:tc>
          <w:tcPr>
            <w:tcW w:w="9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1,454,026</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(619,975)</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1,448,535</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(636,299)</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800,686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17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26035</wp:posOffset>
            </wp:positionV>
            <wp:extent cx="1765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22,951</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interest rate swap valuation adjustments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7"/>
        </w:trPr>
        <w:tc>
          <w:tcPr>
            <w:tcW w:w="8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Capitalization of software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disposition of fitness solutions, net of transaction costs, cash and restricted cash</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taxes paid for RSU withholdings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8460" w:type="dxa"/>
            <w:vAlign w:val="bottom"/>
            <w:shd w:val="clear" w:color="auto" w:fill="CCEEFF"/>
          </w:tcPr>
          <w:p>
            <w:pPr>
              <w:ind w:left="320"/>
              <w:spacing w:after="0" w:line="201"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 including cash and restricted cash</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5"/>
        </w:trPr>
        <w:tc>
          <w:tcPr>
            <w:tcW w:w="84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classified as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including cash and restricted cash classified as held for sale: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96,179</w:t>
            </w:r>
          </w:p>
        </w:tc>
      </w:tr>
      <w:tr>
        <w:trPr>
          <w:trHeight w:val="264"/>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148,408</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92,906</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70"/>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11,095</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9"/>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EverCommerce Inc. and subsidiaries (the “Company” or “EverCommerce”) is a leading provider of integrated software-as-a-service (“SaaS”) solutions or services for service-based small and medium-sized businesses (“service SMBs”). Our platforms span across the full lifecycle of interactions between consumers and service professionals with vertical-specific applications. As of December 31, 2024, the Company served more than 740,000 customers primarily across three core verticals: EverPro for Home Services; EverHealth for Health Services; and EverWell for Wellness Services. Excluding the customers associated with our marketing technology solutions, the Company served more than 725,000 customers (see Note 3. Discontinued Operations).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2024 and the related notes (“Annual Report on Form 10-K”). The December 31, 2024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three months ended March 31, 2025 from those disclosed in the annual consolidated financial statements for the year ended December 31, 2024 and the related notes.</w:t>
      </w:r>
    </w:p>
    <w:p>
      <w:pPr>
        <w:spacing w:after="0" w:line="80"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The operating results for the three months ended March 31, 2025 are not necessarily indicative of the results expected for the full year ending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judgement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w:t>
      </w:r>
      <w:r>
        <w:rPr>
          <w:rFonts w:ascii="Times New Roman" w:cs="Times New Roman" w:eastAsia="Times New Roman" w:hAnsi="Times New Roman"/>
          <w:sz w:val="18"/>
          <w:szCs w:val="18"/>
          <w:color w:val="auto"/>
          <w:strike w:val="1"/>
        </w:rPr>
        <w:t>e</w:t>
      </w:r>
      <w:r>
        <w:rPr>
          <w:rFonts w:ascii="Times New Roman" w:cs="Times New Roman" w:eastAsia="Times New Roman" w:hAnsi="Times New Roman"/>
          <w:sz w:val="18"/>
          <w:szCs w:val="18"/>
          <w:color w:val="auto"/>
        </w:rPr>
        <w:t xml:space="preserve"> and estimating standalone selling price, when applicable, for the allocation of transaction price when multiple performance obligations are included in a contract with a customer.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 and Discontinued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classifies assets and liabilities as held for sale (the “disposal group”) in the period when all the relevant classification criteria have been met. Assets and liabilities held for sale are measured at the lower of carrying value or fair value less cost to sell. Any loss resulting from the measurement is recognized in the period in which the held for sale criteria are met. Conversely, gains are not recognized on the sale of the disposal group until the date of sale. The fair value of the disposal group, less any cost to sell, will be reassessed during each subsequent reporting period it remains classified as held for sale, and any subsequent changes will be reported as an adjustment to the carrying value of the disposal group until the disposal group is no longer classified as held for sale. Upon determining that the disposal group meets the criteria to be classified as held for sale, the Company discontinues depreciation and amortization and the related assets and liabilities are reported as held for sale on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this assessment, the Company also evaluates the criteria for reporting the disposal group as a discontinued operation. Factors which the Company considers include, but are not limited to, whether the disposal represents a strategic shift that would have a major effect on the Company's operations and financial results.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late 2024, the Company began a process to review strategic alternatives for its marketing technology solutions. On March 5, 2025, the Board of Directors (“the Board”), in conjunction with Company management committed to a plan to sell the Company’s marketing technology solutions, which is expected to result in a sale transaction in 2025. The Company is currently engaged in an active program to sell its marketing technology solutions. Additionally, the Company determined that its decision to sell marketing technology solutions is considered a strategic shift that will have a major effect on the Company’s operations and financial results and met the criteria for classification as discontinued operations. As a result, the assets and liabilities of marketing technology solutions are presented as held for sale on our unaudited condensed consolidated balance sheets and their operating results are presented as discontinued operations in our unaudited condensed consolidated statements of operations and comprehensive loss for all periods presented. The unaudited condensed consolidated statements of cash flow are inclusive of continuing and discontinued operations for all periods presented. Certain prior period amounts related to discontinued operations have been reclassified and separately presented in the consolidated financial statements and accompanying notes to conform to the current year presentation. Unless otherwise noted, disclosures throughout these notes to the unaudited condensed consolidated financial statements reflect continuing operations only. Refer to Note 3. Discontinued Operations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Times New Roman" w:cs="Times New Roman" w:eastAsia="Times New Roman" w:hAnsi="Times New Roman"/>
          <w:sz w:val="18"/>
          <w:szCs w:val="18"/>
          <w:i w:val="1"/>
          <w:iCs w:val="1"/>
          <w:color w:val="auto"/>
        </w:rPr>
        <w:t>“Recently Issued Accounting Pronouncements”</w:t>
      </w:r>
      <w:r>
        <w:rPr>
          <w:rFonts w:ascii="Times New Roman" w:cs="Times New Roman" w:eastAsia="Times New Roman" w:hAnsi="Times New Roman"/>
          <w:sz w:val="18"/>
          <w:szCs w:val="18"/>
          <w:color w:val="auto"/>
        </w:rPr>
        <w:t xml:space="preserve"> section.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 However, we do not expect that the adoption of this guidance will have a material impact on our consolidated financial statements.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which requires public companies to disclose,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at each interim and annual reporting period. Public companies will be required to disclose the amounts related to purchases of inventory, employee compensation, depreciation, intangible asset amortization, and selling expenses. The amendments in this update are effective for fiscal years beginning after December 15, 2026, and interim reporting periods beginning after December 15, 2027, with early adoption permitted. The Company is currently evaluating the impact of adopting the amendments in this update on its consolidated financial statements and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its marketing technology solutions met the criteria for discontinued operations reporting effective in the first quarter 2025 (see Note 2. Summary of Significant Accounting Policies). As such, the assets and liabilities of the disposal group are classified as held for sale on our unaudited condensed consolidated balance sheets as of March 31, 2025 and December 31, 2024. The results of operations of marketing technology solutions are presented as loss from discontinued operations, net of income tax in the unaudited condensed consolidated statements of operations and comprehensive loss. During the 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we recognized an impairment charge of $9.4 million, comprised of a goodwill impairment charge of $6.9 million and a valuation allowance of $2.6 million to adjust the carrying value of the marketing technology disposal group to estimated fair value less cost to sell, which is included in loss on held for sale and impairments within discontinued operations on our unaudited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of marketing technology solutions reported as discontinued operations:</w:t>
      </w:r>
    </w:p>
    <w:p>
      <w:pPr>
        <w:spacing w:after="0" w:line="174"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28,632</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32,261</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20,661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37,356</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32,575</w:t>
            </w:r>
          </w:p>
        </w:tc>
      </w:tr>
      <w:tr>
        <w:trPr>
          <w:trHeight w:val="23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(8,724)</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 before income tax benefit</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(8,721)</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income tax</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(8,647)</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assets and liabilities classified as held for sale on our condensed consolidated balance sheets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2"/>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99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71"/>
        </w:trPr>
        <w:tc>
          <w:tcPr>
            <w:tcW w:w="8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Pr>
          <w:p>
            <w:pPr>
              <w:spacing w:after="0"/>
              <w:rPr>
                <w:sz w:val="6"/>
                <w:szCs w:val="6"/>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r>
      <w:tr>
        <w:trPr>
          <w:trHeight w:val="237"/>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49,003</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56,201</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4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36"/>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w:t>
            </w: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6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605"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identified as valuation allowance in the above table is the amount necessary to reduce the carrying value of the marketing technology disposal group to estimated fair value less cost to sell as required by applicable accounting standards for discontinued operations measurement.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non-cash items related to discontinued operations that are included in the accompanying statements of cash flows:</w:t>
      </w:r>
    </w:p>
    <w:p>
      <w:pPr>
        <w:spacing w:after="0" w:line="164"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1,191</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assets held for sale and impairments</w:t>
            </w:r>
          </w:p>
        </w:tc>
        <w:tc>
          <w:tcPr>
            <w:tcW w:w="9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9,433</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Fitness Solutions Disposition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13, 2024, the Company entered into definitive sale and purchase agreements to sell its fitness solutions to Jonas Fitness Portfolio Holdco Inc. (“Jonas Software”). The sale of American Service Finance LLC., ASF Payment Solutions ULC and Technique Fitness Inc. (collectively, “North American Fitness”), closed simultaneously with signing. The sale of EverCommerce UK, including wholly-owned subsidiaries Fitii UK (MyPTHub and MyPTHub LLC) and ClubWise UK and its wholly-owned subsidiary ClubWise Australia (collectively, “UK Fitness” and together with North American Fitness, “Fitness Solutions”), closed July 1, 2024. The divestiture did not qualify for discontinued operations. As a result, our unaudited condensed consolidated financial statements include the results of North American Fitness and UK Fitness for all periods through the applicable date of sale. During the three months ended March 31, 2024, the Company recognized a loss of $4.8 million, related to the sale of Fitness Solutions, which is included in loss on held for sale and impairments on our unaudited condensed consolidated statements of operations and comprehensive loss. Additionally, the Company recognized a $6.4 million goodwill impairment charge representing the allocated goodwill to Fitness Solutions, which is included in loss on held for sale and impairments on the unaudited condensed consolidated statements of operations and comprehensive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disaggregation of our revenue from contracts with customers by revenue recognition pattern and geographical market:</w:t>
      </w:r>
    </w:p>
    <w:p>
      <w:pPr>
        <w:spacing w:after="0" w:line="282"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pattern of recognition (timing of transfer of services):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139,665</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134,724</w:t>
            </w:r>
          </w:p>
        </w:tc>
      </w:tr>
      <w:tr>
        <w:trPr>
          <w:trHeight w:val="264"/>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geographical market: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127,130</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18,991</w:t>
            </w:r>
          </w:p>
        </w:tc>
      </w:tr>
      <w:tr>
        <w:trPr>
          <w:trHeight w:val="264"/>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137,852</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as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3"/>
          </w:tcPr>
          <w:p>
            <w:pPr>
              <w:jc w:val="right"/>
              <w:ind w:right="95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32,356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8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net of allowance for expected credit losses, represent rights to consideration in exchange for products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have been transferred by us, when payment is unconditional and only the passage of time is required before payment is due.</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represent rights to consideration in exchange for products or services that have been transferred (i.e.,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portion of the performance obligation has been satisfied), but payment is conditional on something other than the passage of time. These amounts typically relate to contracts with the suppliers within our group purchasing programs for which payment is received at least one quarter in arrears from the service period. They also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Contract liabilities, or deferred revenue, represent our obligation to transfer products or services to a customer for which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received in advance of the satisfaction of performance obligations. Long-term deferred revenue is included within other non-current liabilities on the unaudited condensed consolidated balance sheets. Revenue recognized from the contract liability balance at December 31, 2024 was $16.3 million for the three months ended March 31, 2025.</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Customer deposits</w:t>
      </w:r>
      <w:r>
        <w:rPr>
          <w:rFonts w:ascii="Times New Roman" w:cs="Times New Roman" w:eastAsia="Times New Roman" w:hAnsi="Times New Roman"/>
          <w:sz w:val="18"/>
          <w:szCs w:val="18"/>
          <w:color w:val="auto"/>
        </w:rPr>
        <w:t>: Customer deposits relate to payments received in advance for contracts, which allow the customer to terminate a contract and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refund for the unused portion of payments received to date.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Activity in our allowance for expected credit losses is as follows as of:</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7"/>
        </w:trPr>
        <w:tc>
          <w:tcPr>
            <w:tcW w:w="8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19"/>
                <w:szCs w:val="19"/>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beginning of year</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Disposition of Fitness Solutions</w:t>
            </w:r>
          </w:p>
        </w:tc>
        <w:tc>
          <w:tcPr>
            <w:tcW w:w="94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to held for sale</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end of period</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revenue streams. The aggregate amount of transaction consideration allocated to remaining performance obligations as of March 31, 2025 was $19.1 million. The Company expects to recognize approximately 61% of its remaining performance obligations as revenue within the next year, 29% of its remaining performance obligations as revenue the subsequent year, 8% of its remaining performance obligations as revenue in the third year, and the remainder during the two-year period thereafter.</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to Obtain and Fulfill a Contract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$9.2 million and $8.9 million at March 31, 2025 and December 31, 2024, respectively, and long-term assets were $15.9 million and $16.0 million at March 31, 2025 and December 31, 2024, respectively. The Company recorded amortization expense within sales and marketing on the unaudited condensed consolidated statements of operations and comprehensive loss of $1.4 million and $1.3 million for the three months ended March 31, 2025 and 2024, respectively. The Company recorded amortization expense within cost of revenues on the unaudited condensed consolidated statements of operations and comprehensive loss of $0.9 million and $0.7 million for the three months ended March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three months ended March 31, 2025 (in thousands):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35"/>
        </w:trPr>
        <w:tc>
          <w:tcPr>
            <w:tcW w:w="9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863,152</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7"/>
        </w:trPr>
        <w:tc>
          <w:tcPr>
            <w:tcW w:w="9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863,686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 at March 31, 2025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(41,332)</w:t>
            </w:r>
          </w:p>
        </w:tc>
      </w:tr>
      <w:tr>
        <w:trPr>
          <w:trHeight w:val="27"/>
        </w:trPr>
        <w:tc>
          <w:tcPr>
            <w:tcW w:w="9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totaling $16.3 million relating to marketing technology solutions was reclassified to assets held for sale as of March 31, 2025. The marketing technology solutions goodwill amount was included in the determination of the impairment charge recorded during the three months ended March 31, 2025 to adjust the carrying amount of the disposal group’s assets to its estimated fair value less selling costs, which is included in accumulated impairment losses. Refer to Note 3. Discontinued Operations for additional information.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in conjunction with our review of strategic alternatives for our marketing technology solutions, the Company evaluated the recoverability of our marketing technology reporting unit and determined that the estimated fair value was insufficient to recover the net carrying value of the reporting unit resulting in an impairment charge of approximately $28.1 million during the year ended December 31, 2024, which is included in accumulated impairment losses.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definitive sale and purchase agreements to sell our fitness solutions, we tested the goodwill balance for impairment as of March 31, 2024 (see Note 4. Fitness Solutions Disposition). During the three months ended March 31, 2024, we recognized a $6.4 million goodwill impairment charge representing the allocated goodwill to Fitness Solutions, which is included in loss on held for sale and impairments on the unaudited condensed consolidated statements of operations and comprehensive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0"/>
        </w:trPr>
        <w:tc>
          <w:tcPr>
            <w:tcW w:w="5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12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2"/>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5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5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511,381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173,680</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641,056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443,579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0"/>
        </w:trPr>
        <w:tc>
          <w:tcPr>
            <w:tcW w:w="5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12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12"/>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2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5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5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327,038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184,336</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17,425</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641,046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429,874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$13.7 million and $17.5 million for the three months ended March 31,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gridSpan w:val="4"/>
          </w:tcPr>
          <w:p>
            <w:pPr>
              <w:jc w:val="right"/>
              <w:ind w:right="892"/>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w:t>
            </w:r>
          </w:p>
        </w:tc>
      </w:tr>
      <w:tr>
        <w:trPr>
          <w:trHeight w:val="26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$0.7 million and $1.0 million for the three months ended March 31, 2025 and 2024,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Capitalized Software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ind w:left="800"/>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6"/>
              </w:rPr>
              <w:t>72,476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6"/>
              </w:rPr>
              <w:t>68,057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21"/>
                <w:szCs w:val="21"/>
                <w:color w:val="auto"/>
              </w:rPr>
            </w:pPr>
          </w:p>
        </w:tc>
        <w:tc>
          <w:tcPr>
            <w:tcW w:w="122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(28,903)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rPr>
              <w:t>(26,462)</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6"/>
              </w:rPr>
              <w:t>43,573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6"/>
              </w:rPr>
              <w:t>41,595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expense was $2.4 million for the three months ended March 31, 2025 and 2024. During the ordinary course of business, the Company may determine that certain capitalized features of its software will no longer be used either internally or to deliver value to its customers. The Company recorded a charge of $0.4 million for the three months ended March 31, 2025 related to capitalized costs associated with abandoned projects, which are included in general and administrative expense on the unaudited condensed consolidated statements of operations and comprehensive loss. The Company did not have similar charges for the three months ended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real estate from unrelated parties under operating lease agreements that have initial terms ranging from one year to 9 years. Some leases include one or more options to renew, generally at our sole discretion, of five additional years each.</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0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6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ceased use of certain leased premises and subleased certain facilities resulting in impairment charges of $0.4 million during the three months ended March 31, 2024 to impair the right-of-use lease assets to their fair value, which are included in loss on held for sale and impairments on our unaudited condensed consolidated statement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6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1,130</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199</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25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included in other non-current assets, accrued expenses and other and other non-current liabilities on the unaudited condensed consolidated balance sheets, related to leases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right"/>
              <w:ind w:right="95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March 31, 2025 and December 31, 2024, the weighted average remaining lease term for operating leases was 4.92 years and 5.15 years, respectively, and the weighted average discount rate was 5.3% and 5.2%,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36"/>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18,202</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64"/>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right"/>
              <w:ind w:right="952"/>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3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note with interest payable monthly, interest rate at Adjusted SOFR, plus an applicable margin of 2.50%</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(6.82492% at March 31, 2025) quarterly principal payments of 0.25% of original principal balance with</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balloon payment due July 2028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530,750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532,125</w:t>
            </w: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with interest payable monthly, interest rate at Adjusted SOFR, plus an applicable margin of 3.00%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(7.43385% at March 31, 2025), and outstanding balance due July 2026</w:t>
            </w:r>
          </w:p>
        </w:tc>
        <w:tc>
          <w:tcPr>
            <w:tcW w:w="2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debt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37"/>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526,864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527,942</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63"/>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521,364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522,442</w:t>
            </w:r>
          </w:p>
        </w:tc>
      </w:tr>
      <w:tr>
        <w:trPr>
          <w:trHeight w:val="21"/>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credit agreement, as amended, that provides for one term loan for an aggregate principal amount of $550.0 million (“Term Loan”),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the Company’s option at Alternative Base Rate (“ABR”) plus an applicable rate, or at a forward-looking term rate based upon the secured overnight financing rate (“SOFR”), plus (i) (a) with respect to the Term Loan,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1.0%.</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13, 2024, the Company entered into an amendment (the “Amendment”) to the Credit Facilities to reduce the applicable margin and remove the credit spread adjustment from the existing Term Loan in their entirety in an aggregate principal amount of $533.5 million. Following the Amendment, the Term Loan bears interest, at the borrower’s election, at (x) a forward-looking term rate based upon SOFR plus an applicable margin of 2.50%, with a minimum forward-looking SOFR rate 0.50% or (y) ABR plus an applicable margin of 1.50%, with a minimum ABR of 1.50%, in each case, with no step-downs. The credit spread adjustment was removed in connection with the Amendment. The refinanced Term Loan priced at par and refinanced the existing term loan outstanding under the Credit Agreement immediately prior to giving effect to the Amendment.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long-term debt based on trading prices for its debt if available. As of March 31, 2025, the Company obtained trading prices for the term notes outstanding. However, as such trading prices require significant unobservable inputs to the pricing model, such instruments are classified as Level 2. The fair value amounts were approximately $528.8 million and $537.4 million as of March 31, 2025 and December 31, 2024,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the following interest rate swap agreements in connection with its Credit Facilities to convert a portion of the floating rate component of the Term Loan from a floating rate to fixed rate: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Asset (Liability) Fair</w:t>
            </w:r>
          </w:p>
        </w:tc>
      </w:tr>
      <w:tr>
        <w:trPr>
          <w:trHeight w:val="226"/>
        </w:trPr>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2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Fixed Interest</w:t>
            </w: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60" w:type="dxa"/>
            <w:vAlign w:val="bottom"/>
          </w:tcPr>
          <w:p>
            <w:pPr>
              <w:spacing w:after="0"/>
              <w:rPr>
                <w:sz w:val="19"/>
                <w:szCs w:val="19"/>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Value at</w:t>
            </w:r>
          </w:p>
        </w:tc>
      </w:tr>
      <w:tr>
        <w:trPr>
          <w:trHeight w:val="256"/>
        </w:trPr>
        <w:tc>
          <w:tcPr>
            <w:tcW w:w="16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Swap</w:t>
            </w:r>
          </w:p>
        </w:tc>
        <w:tc>
          <w:tcPr>
            <w:tcW w:w="8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33"/>
        </w:trPr>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0"/>
                <w:szCs w:val="20"/>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r>
      <w:tr>
        <w:trPr>
          <w:trHeight w:val="260"/>
        </w:trPr>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Swap</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2022</w:t>
            </w: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2220" w:type="dxa"/>
            <w:vAlign w:val="bottom"/>
            <w:tcBorders>
              <w:bottom w:val="single" w:sz="8" w:color="CCEEFF"/>
            </w:tcBorders>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4.212 %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4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Swap</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8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3.951 %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7"/>
        </w:trPr>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Swap</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86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3.395 %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7"/>
        </w:trPr>
        <w:tc>
          <w:tcPr>
            <w:tcW w:w="1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Swap Agreements are accounted for as derivatives whereby the fair value of each contract is reported within the unaudited condensed consolidated balance sheets, and related gains or losses resulting from changes in the fair value are reported in interest and other expense, net, in the unaudited condensed consolidated statements of operations and comprehensive loss. As of March 31, 2025 the fair value of the Initial and Second Swaps were a liability of $3.3 million, while the fair value of the Third Swap was an asset of $0.9 million, which are reported in other non-current liabilities and other non-current assets, respectively, on the unaudited condensed consolidated balance sheets. The related gains and losses resulting from changes in fair value was a loss of $3.9 million and a gain $4.8 million during the three months ended March 31, 2025 and 2024, respectively.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Credit Facilities are subject to certain financial and nonfinancial covenants and are secured by substantially all assets of the Company. As of March 31, 2025, the Company was in compliance with all of its covenants.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debt for the years ending December 31 are as follows as of March 31, 2025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515,625</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aggregate maturities of the Company’s debt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530,750</w:t>
            </w:r>
          </w:p>
        </w:tc>
      </w:tr>
      <w:tr>
        <w:trPr>
          <w:trHeight w:val="21"/>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2022, our Board approved a stock repurchase program (as subsequently amended, the “Repurchase Program”) with authorization to purchase up to $50.0 million in shares of the Company’s common stock through the expiration of the program on December 21, 2022. On November 7, 2022, November 5, 2023, May 21, 2024, and May 1, 2025 our Board increased the authorization of the Repurchase Program by an additional $50.0 million in shares of the Company’s common stock on each date for a total authorization to repurchase up to $250.0 million in shares of the Company’s common stock and, most recently, extended the expiration of the Repurchase Program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and retired 1.1 million shares of common stock pursuant to the Repurchase Program for $11.2 million including transaction fees and taxes, during the three months ended March 31, 2025. As of March 31, 2025, $21.6 million remained available under the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Company’s outstanding shares of common stock as of December 31, 2024, as of January 1, 2025 the number of shares reserved for issuance under the 2021</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increased by 5.5 million.</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Company’s Board adopted the 2021 Employee Stock Purchase Plan (the “ESPP”). For more information on the ESPP, refer to Note 12. Stock-Based Compensation in the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RSU and stock option activity for the three months ended March 31,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RSUs</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33"/>
        </w:trPr>
        <w:tc>
          <w:tcPr>
            <w:tcW w:w="8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gridSpan w:val="3"/>
          </w:tcPr>
          <w:p>
            <w:pPr>
              <w:jc w:val="right"/>
              <w:ind w:right="952"/>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3,901</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2,762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6,074</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total unrecognized compensation expense was $51.4 million and $9.0 million related to outstanding RSUs and stock options,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from continuing operations was classified in the unaudited condensed consolidated statements of operations and comprehensive loss as follows:</w:t>
      </w:r>
    </w:p>
    <w:p>
      <w:pPr>
        <w:spacing w:after="0" w:line="178"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24130</wp:posOffset>
            </wp:positionV>
            <wp:extent cx="1903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7"/>
        </w:trPr>
        <w:tc>
          <w:tcPr>
            <w:tcW w:w="8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as of:</w:t>
      </w:r>
    </w:p>
    <w:p>
      <w:pPr>
        <w:spacing w:after="0" w:line="174"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0"/>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i w:val="1"/>
                <w:iCs w:val="1"/>
                <w:color w:val="auto"/>
              </w:rPr>
              <w:t>(in thousands except</w:t>
            </w:r>
          </w:p>
        </w:tc>
      </w:tr>
      <w:tr>
        <w:trPr>
          <w:trHeight w:val="212"/>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i w:val="1"/>
                <w:iCs w:val="1"/>
                <w:color w:val="auto"/>
              </w:rPr>
              <w:t>per share amounts)</w:t>
            </w:r>
          </w:p>
        </w:tc>
      </w:tr>
      <w:tr>
        <w:trPr>
          <w:trHeight w:val="87"/>
        </w:trPr>
        <w:tc>
          <w:tcPr>
            <w:tcW w:w="8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64"/>
        </w:trPr>
        <w:tc>
          <w:tcPr>
            <w:tcW w:w="8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8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068"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5"/>
              </w:rPr>
              <w:t>0.01</w:t>
            </w:r>
          </w:p>
        </w:tc>
        <w:tc>
          <w:tcPr>
            <w:tcW w:w="8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
        </w:trPr>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1"/>
        </w:trPr>
        <w:tc>
          <w:tcPr>
            <w:tcW w:w="8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reconciliation of the denominators of the basic and diluted EPS computations for income (loss) from continuing operations and loss from discontinued operations, net of income tax.</w:t>
      </w:r>
    </w:p>
    <w:p>
      <w:pPr>
        <w:spacing w:after="0" w:line="110"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14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3"/>
        </w:trPr>
        <w:tc>
          <w:tcPr>
            <w:tcW w:w="8240" w:type="dxa"/>
            <w:vAlign w:val="bottom"/>
          </w:tcPr>
          <w:p>
            <w:pPr>
              <w:spacing w:after="0"/>
              <w:rPr>
                <w:sz w:val="20"/>
                <w:szCs w:val="20"/>
                <w:color w:val="auto"/>
              </w:rPr>
            </w:pPr>
          </w:p>
        </w:tc>
        <w:tc>
          <w:tcPr>
            <w:tcW w:w="2040" w:type="dxa"/>
            <w:vAlign w:val="bottom"/>
            <w:gridSpan w:val="3"/>
          </w:tcPr>
          <w:p>
            <w:pPr>
              <w:ind w:left="10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183,468</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subject to outstanding RSUs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pursuant to ESPP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185,222</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0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24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20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unvested RSUs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pursuant to ESPP</w:t>
            </w:r>
          </w:p>
        </w:tc>
        <w:tc>
          <w:tcPr>
            <w:tcW w:w="20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anti-dilutive outstanding potential common stock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6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2025 and 2024.</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7"/>
        </w:trPr>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center"/>
              <w:ind w:right="132"/>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533"/>
        </w:trPr>
        <w:tc>
          <w:tcPr>
            <w:tcW w:w="3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7"/>
        </w:trPr>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center"/>
              <w:ind w:right="132"/>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21"/>
                <w:szCs w:val="21"/>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7"/>
        </w:trPr>
        <w:tc>
          <w:tcPr>
            <w:tcW w:w="3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income tax expense was $0.5 million and $5.9 million for the three months ended March 31, 2025 and 2024, respectively. The difference in income tax expense for the three months ended March 31, 2025 as compared to the corresponding period in 2024 was driven primarily by an increase in pre-tax book income from continuing operations and discrete items, including the sale of North American Fitness during the three months ended March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non-cancelable contractual purchase obligations incurred in the normal course of business to help deliver our services and products and provide support to its customers. These contracts with vendors primarily relate to software service, targeted mail costs, third-party fulfillment costs and software hosting. Unrecognized future minimum payments due under these agreements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(remainder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payments due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w:t>
      </w:r>
    </w:p>
    <w:p>
      <w:pPr>
        <w:jc w:val="both"/>
        <w:ind w:firstLine="8"/>
        <w:spacing w:after="0" w:line="251"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Moelis &amp; Company v. West Palm Beach Firefighters’ Pension Fund, Case No. 340, 2024 (Del. Supr.). The Company believes it has meritorious defenses to the claims of the plaintiff and members of the class and any liability for the alleged claims is not currently probable and the potential loss or range of loss is not reasonably estimable.</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applicability of nexus in jurisdictions in which the Company sells products and services. As of March 31, 2025 and December 31, 2024, the Company recorded a liability in the amount of $10.3 million and $10.7 million, respectively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Geographic Areas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60" w:type="dxa"/>
            <w:vAlign w:val="bottom"/>
            <w:gridSpan w:val="3"/>
          </w:tcPr>
          <w:p>
            <w:pPr>
              <w:jc w:val="right"/>
              <w:ind w:right="895"/>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39,868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reportable segment. The segment derives revenue from providing SaaS and other technology-based solutions to help service SMB’s optimize their operations, improve customer relationships and experience, and accelerate growth. The Company primarily focuses on three core vertical markets: EverPro for Home Services, EverHealth for Health Services, and EverWell for Wellness Services.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in our Annual Report on Form 10-K for the year ended December 31, 2024. Based on being a single reportable segment company, the Company has disclosed net income (loss) from continuing operations as its primary measure of profit or loss used by the chief operating decision maker (“CODM”), which is reported on the unaudited condensed consolidated statement of operations and comprehensive loss as net income (loss) from continuing operations. The CODM is provided financial information inclusive of net income (loss) from continuing operations, which is used to assess performance of the segment and decide how to allocate resources. The CODM uses net income (loss) from continuing operations, among other metrics, to assist in evaluating the financial performance of the Company and monitoring budget versus actual results. The CODM does not review assets in evaluating segments results,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such information is not presented. The measure of segment assets is reported on the consolidated balance sheets as total assets.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Disaggregated information is not used for assessing the performance of the Company or for making resource allocation decisions. The CODM reviews financial information presented on an aggregated and consolidated basis, together with revenue information of the three core vertical markets. The software and technology-based solutions provided by the Company are deployed and implemented to customers in a similar manner regardless of industry. See Notes 5. Revenue and 18. Geographic Areas for disaggregated information regarding the Company's revenues and long-lived assets by geography,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segment information for revenues, net loss and significant expenses:</w:t>
      </w:r>
    </w:p>
    <w:p>
      <w:pPr>
        <w:spacing w:after="0" w:line="6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3"/>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137,852</w:t>
            </w:r>
          </w:p>
        </w:tc>
      </w:tr>
      <w:tr>
        <w:trPr>
          <w:trHeight w:val="27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57,118</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Third-party commissions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 tools and hosting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r>
      <w:tr>
        <w:trPr>
          <w:trHeight w:val="27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r>
      <w:tr>
        <w:trPr>
          <w:trHeight w:val="237"/>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153,862</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340" w:hanging="206"/>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information that is regularly reviewed by the CODM.</w:t>
      </w:r>
    </w:p>
    <w:p>
      <w:pPr>
        <w:spacing w:after="0" w:line="68" w:lineRule="exact"/>
        <w:rPr>
          <w:rFonts w:ascii="Times New Roman" w:cs="Times New Roman" w:eastAsia="Times New Roman" w:hAnsi="Times New Roman"/>
          <w:sz w:val="14"/>
          <w:szCs w:val="14"/>
          <w:color w:val="auto"/>
        </w:rPr>
      </w:pPr>
    </w:p>
    <w:p>
      <w:pPr>
        <w:ind w:left="340" w:hanging="206"/>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corporate overhead expenses, transaction-related and other non-recurring or unusual costs, facility expenses, bad debt and other miscellaneous cost of services.</w:t>
      </w:r>
    </w:p>
    <w:p>
      <w:pPr>
        <w:spacing w:after="0" w:line="75"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3"/>
        </w:trPr>
        <w:tc>
          <w:tcPr>
            <w:tcW w:w="8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w:t>
            </w:r>
          </w:p>
        </w:tc>
      </w:tr>
      <w:tr>
        <w:trPr>
          <w:trHeight w:val="27"/>
        </w:trPr>
        <w:tc>
          <w:tcPr>
            <w:tcW w:w="8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Significant Non-cash Items: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reconciling items or adjustments between segment revenues, net loss, total assets and consolidated revenues, net loss and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2024 (the “Annual Report on Form 10-K”) filed with the Securities and Exchange Commission (“SEC”) on March 13, 2025. Additionally, our historical results are not necessarily indicative of the results that may be expected for any period in the future. Unless otherwise noted, disclosures within Item 2. Management’s Discussion and Analysis of Financial Condition and Results of Operations relate solely to the Company's continuing operations, which excludes the marketing technology disposal group.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As of December 31, 2024, we served more than 740,000 customers primarily across three core verticals: EverPro for Home Services; EverHealth for Health Services; and EverWell for Wellness Services. Excluding the customers associated with marketing technology solutions, which we anticipate selling in the year ending December 31, 2025, we served more than 725,000 customers (see Note 3. Discontinued Operations in this Quarterly Report on Form 10-Q).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w:t>
      </w:r>
    </w:p>
    <w:p>
      <w:pPr>
        <w:spacing w:after="0" w:line="68" w:lineRule="exact"/>
        <w:rPr>
          <w:sz w:val="20"/>
          <w:szCs w:val="20"/>
          <w:color w:val="auto"/>
        </w:rPr>
      </w:pPr>
    </w:p>
    <w:p>
      <w:pPr>
        <w:jc w:val="both"/>
        <w:ind w:left="500" w:hanging="168"/>
        <w:spacing w:after="0" w:line="26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Management Software: </w:t>
      </w:r>
      <w:r>
        <w:rPr>
          <w:rFonts w:ascii="Times New Roman" w:cs="Times New Roman" w:eastAsia="Times New Roman" w:hAnsi="Times New Roman"/>
          <w:sz w:val="18"/>
          <w:szCs w:val="18"/>
          <w:color w:val="auto"/>
        </w:rPr>
        <w:t>Our vertically-tailored Business Management Software is the system of action at the center of a service business’s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68"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Billing &amp; Payment Solutions: </w:t>
      </w:r>
      <w:r>
        <w:rPr>
          <w:rFonts w:ascii="Times New Roman" w:cs="Times New Roman" w:eastAsia="Times New Roman" w:hAnsi="Times New Roman"/>
          <w:sz w:val="18"/>
          <w:szCs w:val="18"/>
          <w:color w:val="auto"/>
        </w:rPr>
        <w:t>Our Billing &amp; Payment Solutions provide integrated payments, billing and invoicing automation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74" w:lineRule="exact"/>
        <w:rPr>
          <w:rFonts w:ascii="Times New Roman" w:cs="Times New Roman" w:eastAsia="Times New Roman" w:hAnsi="Times New Roman"/>
          <w:sz w:val="18"/>
          <w:szCs w:val="18"/>
          <w:b w:val="1"/>
          <w:bCs w:val="1"/>
          <w:color w:val="auto"/>
        </w:rPr>
      </w:pPr>
    </w:p>
    <w:p>
      <w:pPr>
        <w:jc w:val="both"/>
        <w:ind w:left="500" w:hanging="168"/>
        <w:spacing w:after="0" w:line="256"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Experience Solutions: </w:t>
      </w:r>
      <w:r>
        <w:rPr>
          <w:rFonts w:ascii="Times New Roman" w:cs="Times New Roman" w:eastAsia="Times New Roman" w:hAnsi="Times New Roman"/>
          <w:sz w:val="18"/>
          <w:szCs w:val="18"/>
          <w:color w:val="auto"/>
        </w:rPr>
        <w:t>Our Customer Experience Solutions modernize how businesses engage and interact with customers by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insights and manage the customer experience lifecycle. These applications include: customer health scoring, customer support systems, real-time alerts, Net Promoter Score-based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go to market with suites of solutions that are aligned to our three core verticals.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power the full scope of our customers’ businesses. This results in a self-reinforcing flywheel effect, enabling us to drive value for our customers and, in turn, improve customer stickiness, increase our market share and fuel our growth.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continuing operations generate two types of revenue: (i) Subscription and Transaction Fees, which are primarily recurring revenue streams, and (ii) Other revenue, which consists primarily of one-time revenue streams. Our recurring revenue generally consists of monthly, quarterly and annual software and maintenance subscriptions and transaction revenue associated with integrated payments and billing solutions.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benefits from attractive unit economics. Approximately 97% of our revenue was recurring or re-occurring in the three months ended March 31, 2025 and 2024, and we maintained an annualized net revenue retention rate from continuing operations of approximately 97% and 99% for the quarters ended March 31, 2025 and 2024, respectively. Our annualized pro forma net revenue retention rate was equal to the annualized net revenue retention rate for the quarters ended March 31, 2025 and 2024, respectively, as the acquisitions and dispositions closed during the prior period were not material to our prior period unaudited condensed consolidated results on a proforma basis.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2024 is the difference between the recurring or re-occurring revenue generated in November 2024 and the same such revenue generated in November 2023, for customers with a start date prior to December 1, 2023 and no end date or cancelled relationship on or after November 1, 2024.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2024 is the difference between the recurring or re-occurring revenue generated in November 2024 and the same such revenue generated in November 2023, for customers that cancelled on or after November 1, 2023 and before November 1, 2024. The annualized pro forma net revenue retention rate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Climate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macroeconomic climate has seen in the recent years, and may continue to see, pressure from global developments such as international geopolitical conflicts, increased tariffs and proposed tariffs between the United States and other nations, trade restrictions and conflict, terrorism, pandemics or health crises,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late 2024, the Company began a process to review strategic alternatives for its marketing technology solutions. On March 5, 2025, the Board of Directors (“the Board”), in conjunction with Company management committed to a plan to sell the Company’s marketing technology solutions, which is expected to result in a sale transaction in 2025. The Company is currently engaged in an active program to sell its marketing technology solutions. Additionally, the Company determined that its decision to sell marketing technology solutions is considered a strategic shift that will have a major effect on the Company’s operations and financial results and met the criteria for classification as discontinued operations. As a result, the assets and liabilities of marketing technology solutions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presented as held for sale on our unaudited condensed consolidated balance sheets and their operating results are presented as discontinued operations in our unaudited condensed consolidated statements of operations and comprehensive loss for all periods presented. During the three months ended March 31, 2025, we recognized an impairment charge of $9.4 million, comprised of a goodwill impairment charge of $6.9 million and a valuation allowance of $2.6 million to adjust the carrying value of the marketing technology disposal group to estimated fair value less cost to sell, which is included in loss from discontinued operations, net of income tax, on our unaudited condensed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Fitness Solutions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2024, we entered into definitive sale and purchase agreements to sell our fitness solutions, comprised of North American Fitness and UK Fitness (“Fitness Solutions”), to Jonas Software (see Note 4. Fitness Solutions Disposition in this Quarterly Report on Form 10-Q). The sale of North American Fitness closed simultaneously with signing and the sale of UK Fitness closed July 1, 2024. The divestiture did not qualify for reporting as a discontinued operation and therefore, its results were included in our unaudited condensed consolidated financial statements included in this Quarterly Report on Form 10-Q through the applicable date of sale. During the three months ended March 31, 2024, we recognized a loss of $4.8 million related to the disposal of North American Fitness, a goodwill impairment charge of $6.4 million representing the allocated goodwill to Fitness Solutions, which are included in loss on held for sale and impairments on our unaudited condensed consolidated statements of operations and comprehensive loss included in this Quarterly Report on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our performance and future success depends on a number of factors that present significant opportunities for us but also pose risks and challenges. For discussion of these factors, please see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 </w:t>
      </w:r>
      <w:r>
        <w:rPr>
          <w:rFonts w:ascii="Times New Roman" w:cs="Times New Roman" w:eastAsia="Times New Roman" w:hAnsi="Times New Roman"/>
          <w:sz w:val="18"/>
          <w:szCs w:val="18"/>
          <w:color w:val="auto"/>
        </w:rPr>
        <w:t xml:space="preserve">Key Factors Affecting Our Performance” included in our Annual Report on Form 10-K. For a discussion about why we consider our Non-GAAP measures useful and a discussion of the material risks and limitations of such measures, please see Part II,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 Key Business and Financial Metrics – Non-GAAP Financial Measures” </w:t>
      </w:r>
      <w:r>
        <w:rPr>
          <w:rFonts w:ascii="Times New Roman" w:cs="Times New Roman" w:eastAsia="Times New Roman" w:hAnsi="Times New Roman"/>
          <w:sz w:val="18"/>
          <w:szCs w:val="18"/>
          <w:color w:val="auto"/>
        </w:rPr>
        <w:t>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filed on March 13,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accounting principles generally accepted in the United States of America (“U.S. GAAP”), we believe the following key business and non-GAAP financial measures are useful in evaluating and comparing our financial and operational performance over multiple periods, identifying trends affecting our business, formulating business plans and making strategic decisions. Unless otherwise noted, all amounts, percentages and discussions below reflect only the results of operations and financial condition of our continuing operations (see Note 3. Discontinued Operations in this Quarterly Report on Form 10-Q).</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Revenue Growth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Revenue Growth Rate is a key performance measure that our management uses to assess our consolidated operating performance over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also uses this metric for planning and forecasting purposes.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year-over-year Pro Forma Revenue Growth Rate is calculated as though all acquisitions and divestitures completed as of the end of the latest period were completed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of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Growth Rate was 3.2% for the three months ended March 31, 2025. Total revenues include pre-divestiture revenue from Fitness Solutions, which was divested in 2024 (see Note 4. Fitness Solutions Disposition in this Quarterly Report on Form 10-Q), of</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$5.4 million during the three months ended March 31, 2024. Our Pro Forma Revenue Growth rate was 7.4% for the three months ended March 31, 2025, reflective of the underlying growth in our business as a result of new customers and providing more solutions to existing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U.S. GAAP measures of income (loss) or profitability.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the most directly comparable financial measure calculated in accordance with U.S. GAAP, to Adjusted Gross Profit.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7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7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allocated to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 from continuing operations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from continuing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calculated as net loss adjusted to exclude interest and other expense, net, income tax expense (benefit), depreciation and amortization, other amortization, stock-based compensation,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executive separation costs, severance expense related to planned restructuring activities, and costs associated with integration and transformation improvements. Transaction-related and other non-recurring or unusual costs are excluded as they are not representative of our underlying operating performance. Adjusted EBITDA should be viewed as a measure of operating performance that is a supplement to, and not a substitute for, operating income or loss, net earnings or loss and other U.S. GAAP measures of income (loss).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from continuing operations, the most directly comparable financial measure calculated in accordance with U.S. GAAP, to Adjusted EBITDA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80" w:type="dxa"/>
            <w:vAlign w:val="bottom"/>
          </w:tcPr>
          <w:p>
            <w:pPr>
              <w:spacing w:after="0"/>
              <w:rPr>
                <w:sz w:val="19"/>
                <w:szCs w:val="19"/>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77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7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43"/>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43"/>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amortization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43"/>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and other non-recurring or unusual costs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r>
      <w:tr>
        <w:trPr>
          <w:trHeight w:val="27"/>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7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Components of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components of our financial results described below relate to continuing operations other than loss from discontinued operations, net of income tax. For additional information concerning our accounting policies, see Note 2. Summary of Significant Accounting Policies in the notes to the consolidated financial statements included in our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derive our revenue from two primary sources which are described in detail below: (i) Subscription and Transaction Fees, which are primarily recurring revenue streams, and (ii) Other revenue, which consists primarily of the sale of distinct professional services and hardware. Our revenue recognition policies are discussed in more detail below under </w:t>
      </w: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Subscription and Transaction Fees</w:t>
      </w:r>
      <w:r>
        <w:rPr>
          <w:rFonts w:ascii="Times New Roman" w:cs="Times New Roman" w:eastAsia="Times New Roman" w:hAnsi="Times New Roman"/>
          <w:sz w:val="18"/>
          <w:szCs w:val="18"/>
          <w:color w:val="auto"/>
        </w:rPr>
        <w:t>: Revenue includes (i) recurring monthly, quarterly and annual SaaS subscriptions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from the sale of our Business Management, Customer Experience and Billing &amp;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Revenue includes (i) consulting, implementation, training and other professional services; (ii) revenue from various 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(iii) event income; and (iv) hardware sales related to our business management or payment software solutions.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rate of growth of subscription and transaction fees, labor costs, third-party expenses and acquisitions and dispositions. For the three months ended March 31, 2025, revenue from subscription and transaction fees increased 3.3% compared to the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w:t>
      </w:r>
    </w:p>
    <w:p>
      <w:pPr>
        <w:sectPr>
          <w:pgSz w:w="11900" w:h="16838" w:orient="portrait"/>
          <w:cols w:equalWidth="0" w:num="1">
            <w:col w:w="11240"/>
          </w:cols>
          <w:pgMar w:left="320" w:top="14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type w:val="continuous"/>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 We expect our sales and marketing expenses will increase in absolute dollars and may increase as a percentage of revenue for the foreseeable future as we continue to increase investments to support our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increase as a percentage of revenue during 2025 as we continue to dedicate substantial resources to develop, improve and expand the functionality of our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due to increased costs as a result of being a public company. As we are able to further scale our operations in the future, we would expect that general and administrative expenses would decrease as a percentage of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relate to intangible assets, property and equipment and capitalized software.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Held for Sale and Impairments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Loss on held for sale represents the measurement of a disposal group at the lower of its carrying value or fair value less cost to sell in the period the held for sale criteria are met, and subsequent remeasurement each reporting period the disposal group remains classified as held for sale. Impairments include a goodwill impairment charge representing the allocated goodwill and a loss on disposition from the sale of North American Fitness, representing the difference between the consideration received and the net carrying amount of the assets sold and transaction costs during the three months ended March 31, 2024 (see Note 4. Fitness Solutions Disposition in this Quarterly Report on Form 10-Q). Impairments also include operating lease impairments related to the Company’s decision to cease use of certain leased premises and sublease certain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 Net of Income Tax</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from discontinued operations, net of income tax consists of the operating results of marketing technology solutions, including the measurement of the disposal group at the lower of carrying value or estimated fair value less cost to sell. For more information regarding the disposal group, see Note 3. Discontinued Operations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period-to-period comparisons of our historical results are not necessarily indicative of our results of operations that may be expected in the future. The following comparative information for results of operations for all periods presented have been adjusted to reflect discontinued operations related to Marketing Technology Solutions and includes the operating results of Fitness Solutions for all periods through the applicable date of sale.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47"/>
        </w:trPr>
        <w:tc>
          <w:tcPr>
            <w:tcW w:w="7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137,779</w:t>
            </w:r>
          </w:p>
        </w:tc>
        <w:tc>
          <w:tcPr>
            <w:tcW w:w="120" w:type="dxa"/>
            <w:vAlign w:val="bottom"/>
          </w:tcPr>
          <w:p>
            <w:pPr>
              <w:spacing w:after="0"/>
              <w:rPr>
                <w:sz w:val="21"/>
                <w:szCs w:val="21"/>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(exclusive of depreciation and amortization presented separately below)</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0" w:type="dxa"/>
            <w:vAlign w:val="bottom"/>
          </w:tcPr>
          <w:p>
            <w:pPr>
              <w:spacing w:after="0"/>
              <w:rPr>
                <w:sz w:val="1"/>
                <w:szCs w:val="1"/>
                <w:color w:val="auto"/>
              </w:rPr>
            </w:pPr>
          </w:p>
        </w:tc>
      </w:tr>
      <w:tr>
        <w:trPr>
          <w:trHeight w:val="237"/>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from continuing operations before income tax (expense) benefit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0"/>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 (percentage of 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key components of operating costs within our results of operations as a percentage of revenue for the three months ended March 31, 2025 compared to the same period in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26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7420" w:type="dxa"/>
            <w:vAlign w:val="bottom"/>
          </w:tcPr>
          <w:p>
            <w:pPr>
              <w:spacing w:after="0"/>
              <w:rPr>
                <w:sz w:val="18"/>
                <w:szCs w:val="18"/>
                <w:color w:val="auto"/>
              </w:rPr>
            </w:pPr>
          </w:p>
        </w:tc>
        <w:tc>
          <w:tcPr>
            <w:tcW w:w="1640" w:type="dxa"/>
            <w:vAlign w:val="bottom"/>
            <w:gridSpan w:val="3"/>
          </w:tcPr>
          <w:p>
            <w:pPr>
              <w:jc w:val="center"/>
              <w:ind w:left="77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2"/>
                <w:szCs w:val="22"/>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7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3"/>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63"/>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103.1 %</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revenue growth remains a key focus, we remain committed to continued expansion of gross margin, net income and Adjusted EBITDA through ongoing transformation initiatives. As a percentage of revenue, cost of revenues declined from 22.9% for the three months ended March 31, 2024, to 21.9% for the three months ended March 31, 2025, an improvement of approximately 100 basis points resulting in higher gross margin. As a percentage of revenue, the combination of cost of revenue, sales and marketing, product development and general and administrative costs declined from 79.8% for the three months ended March 31, 2024 as compared to 78.2% for the three months ended March 31, 2025, an improvement of 220 basis points. A discussion on primary drivers of cost reductions resulting in improved margin follows in the subsequent sections.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64"/>
        </w:trPr>
        <w:tc>
          <w:tcPr>
            <w:tcW w:w="77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3"/>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7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7"/>
        </w:trPr>
        <w:tc>
          <w:tcPr>
            <w:tcW w:w="7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4"/>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142,273</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increased $4.4 million, or 3.2%, for the three months ended March 31, 2025, as compared to the same period in 2024. The growth of revenue from subscription and transaction fees was 3.3% during the three months ended March 31, 2025, as compared to the prior year period, while other revenue was consistent with the prior year period. The majority of our revenue growth is attributable to the successful delivery of system of action capabilities to our SMBs in our verticals of home services, health and wellness. The subscription and transaction fees revenue increase consists primarily of increases from (a) business management software and (b) billing and payment solutions. Business management software revenues drove a $4.0 million increase in subscription and transaction fees revenue for the three months ended March 31, 2025, due to an expansion in our number of customers, certain price increases across our portfolio, and an increase in rebate revenue from contracted suppliers due to growth of membership subscriptions in group purchasing programs. Billing and payment solutions revenues drove an increase of $0.4 million during the three months ended March 31, 2025. The increase in the three-month period was primarily due to higher transaction volumes processed through our payment platforms, partially offset by lower revenue due to the Fitness Solutions divestiture. Subscription and transaction fees revenue also includes pre-divestiture revenue from Fitness Solutions of $5.8 million for the three months ended March 31, 2024 (see Note 4. Fitness Solutions Disposition in this Quarterly Report on Form 10-Q). Other revenues were relatively consistent as compared to the prior year period.</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7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gridSpan w:val="4"/>
          </w:tcPr>
          <w:p>
            <w:pPr>
              <w:jc w:val="right"/>
              <w:ind w:right="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1"/>
                <w:szCs w:val="21"/>
                <w:color w:val="auto"/>
              </w:rPr>
            </w:pP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31,501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7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decreased by $0.3 million, or 1.0%, for the three months ended March 31, 2025 as compared to the same period in 2024. As a percentage of revenue, cost of revenues decreased slightly in the three-month period from 22.9% to 21.9%, an improvement of 100 basis points, due to cost discipline through ongoing transformation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7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7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80" w:type="dxa"/>
            <w:vAlign w:val="bottom"/>
            <w:gridSpan w:val="4"/>
          </w:tcPr>
          <w:p>
            <w:pPr>
              <w:jc w:val="center"/>
              <w:ind w:right="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1"/>
                <w:szCs w:val="21"/>
                <w:color w:val="auto"/>
              </w:rPr>
            </w:pPr>
          </w:p>
        </w:tc>
      </w:tr>
      <w:tr>
        <w:trPr>
          <w:trHeight w:val="2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27,564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7"/>
        </w:trPr>
        <w:tc>
          <w:tcPr>
            <w:tcW w:w="7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$1.2 million, or 4.4%, for the three months ended March 31, 2025 as compared to the same period in 2024. The increase was driven primarily by an additional $0.5 million in advertising expense, $0.4 million increase in personnel and compensation expenses, and $0.2 million in outsourced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7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80" w:type="dxa"/>
            <w:vAlign w:val="bottom"/>
            <w:gridSpan w:val="4"/>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1"/>
                <w:szCs w:val="21"/>
                <w:color w:val="auto"/>
              </w:rPr>
            </w:pPr>
          </w:p>
        </w:tc>
      </w:tr>
      <w:tr>
        <w:trPr>
          <w:trHeight w:val="2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19,963</w:t>
            </w:r>
          </w:p>
        </w:tc>
        <w:tc>
          <w:tcPr>
            <w:tcW w:w="5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by $0.7 million, or 3.4%, for the three months ended March 31, 2025 as compared to the same period in 2024. The increase was driven primarily by an additional $1.5 million in outsourced services, partially offset by a $0.5 million reduction in personnel and compensation expenses and a $0.2 million decrease in professional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238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780" w:type="dxa"/>
            <w:vAlign w:val="bottom"/>
          </w:tcPr>
          <w:p>
            <w:pPr>
              <w:spacing w:after="0"/>
              <w:rPr>
                <w:sz w:val="20"/>
                <w:szCs w:val="20"/>
                <w:color w:val="auto"/>
              </w:rPr>
            </w:pPr>
          </w:p>
        </w:tc>
        <w:tc>
          <w:tcPr>
            <w:tcW w:w="1540" w:type="dxa"/>
            <w:vAlign w:val="bottom"/>
            <w:tcBorders>
              <w:bottom w:val="single" w:sz="8" w:color="auto"/>
            </w:tcBorders>
            <w:gridSpan w:val="2"/>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50"/>
        </w:trPr>
        <w:tc>
          <w:tcPr>
            <w:tcW w:w="7780" w:type="dxa"/>
            <w:vAlign w:val="bottom"/>
          </w:tcPr>
          <w:p>
            <w:pPr>
              <w:spacing w:after="0"/>
              <w:rPr>
                <w:sz w:val="21"/>
                <w:szCs w:val="21"/>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7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1"/>
                <w:szCs w:val="21"/>
                <w:color w:val="auto"/>
              </w:rPr>
            </w:pPr>
          </w:p>
        </w:tc>
      </w:tr>
      <w:tr>
        <w:trPr>
          <w:trHeight w:val="25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31,281</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31,641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(360)</w:t>
            </w:r>
          </w:p>
        </w:tc>
      </w:tr>
      <w:tr>
        <w:trPr>
          <w:trHeight w:val="27"/>
        </w:trPr>
        <w:tc>
          <w:tcPr>
            <w:tcW w:w="7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$0.4 million, or 1.1%, for the three months ended March 31, 2025 as compared to the same period in 2024. As a percentage of revenue, general and administrative expenses decreased slightly in the three-month period from 23.0% to 22.0%, an improvement of 100 basis points, due to cost discipline through ongoing transformation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6"/>
        </w:trPr>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7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gridSpan w:val="4"/>
          </w:tcPr>
          <w:p>
            <w:pPr>
              <w:jc w:val="center"/>
              <w:ind w:right="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0"/>
                <w:szCs w:val="20"/>
                <w:color w:val="auto"/>
              </w:rPr>
            </w:pPr>
          </w:p>
        </w:tc>
      </w:tr>
      <w:tr>
        <w:trPr>
          <w:trHeight w:val="2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20,904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7"/>
        </w:trPr>
        <w:tc>
          <w:tcPr>
            <w:tcW w:w="7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decreased by $4.1 million, or 19.8%, for the three months ended March 31, 2025 as compared to the same period in 2024. The reduction in depreciation and amortization was driven primarily by the reduced rate of replacement assets resulting from a slowdown in business acquisitions. The decrease for the three-month period was driven primarily by $3.8 million in lower intangible assets’ amortization and $0.3 million of property and equipment depreciation.</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Held for Sale and Impairments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0" w:type="dxa"/>
            <w:vAlign w:val="bottom"/>
          </w:tcPr>
          <w:p>
            <w:pPr>
              <w:spacing w:after="0"/>
              <w:rPr>
                <w:sz w:val="16"/>
                <w:szCs w:val="16"/>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8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78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7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4"/>
          </w:tcPr>
          <w:p>
            <w:pPr>
              <w:jc w:val="center"/>
              <w:ind w:right="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0"/>
                <w:szCs w:val="20"/>
                <w:color w:val="auto"/>
              </w:rPr>
            </w:pPr>
          </w:p>
        </w:tc>
      </w:tr>
      <w:tr>
        <w:trPr>
          <w:trHeight w:val="2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85</w:t>
            </w: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r>
      <w:tr>
        <w:trPr>
          <w:trHeight w:val="27"/>
        </w:trPr>
        <w:tc>
          <w:tcPr>
            <w:tcW w:w="78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we recorded a $0.1 million working capital adjustment related to the disposal of Fitness Solutions. In March 2024, we entered into definitive sale and purchase agreements to sell our Fitness Solutions (see Note 4. Fitness Solutions Disposition in this Quarterly Report on Form 10-Q). During the three months ended March 31, 2024, the North American Fitness transaction resulted in a loss on disposal of $4.8 million and a goodwill impairment charge of $6.4 million representing the allocated goodwill to Fitness Solutions. The three months ended March 31, 2024 included right-of-use lease asset impairments charges of $0.4 million. We did not have similar right-of-use lease asset impairment charges during the three months ended March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7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7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80" w:type="dxa"/>
            <w:vAlign w:val="bottom"/>
            <w:gridSpan w:val="4"/>
          </w:tcPr>
          <w:p>
            <w:pPr>
              <w:jc w:val="center"/>
              <w:ind w:right="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1"/>
                <w:szCs w:val="21"/>
                <w:color w:val="auto"/>
              </w:rPr>
            </w:pPr>
          </w:p>
        </w:tc>
      </w:tr>
      <w:tr>
        <w:trPr>
          <w:trHeight w:val="2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7"/>
        </w:trPr>
        <w:tc>
          <w:tcPr>
            <w:tcW w:w="7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and other expense, net, increased by $7.0 million, or 120.3%, for the three months ended March 31, 2025 as compared to the same period in 2024 with the changes primarily driven by volatility of interest rates. The increase for the three-month period was driven primarily by an unrealized loss of $3.9 million on interest rate swaps recorded during the three months ended March 31, 2025 as compared to an unrealized gain of $4.8 million in the comparative period. The increase was partially offset by a decrease of $1.9 million in interest expense as a result of lower variable base interest rates on the Company’s Credit Facilities (as defined below), the amendment to the Term Loan in the fourth quarter 2024 resulting in a reduction in margin and the removal of the credit spread adjustment, and the Third Swap executed in the third quarter 2024 to covert $125 million of the floating rate component of our Term Loan to a fixed rate (see Note 11. Long-Term Debt in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36"/>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gridSpan w:val="4"/>
          </w:tcPr>
          <w:p>
            <w:pPr>
              <w:jc w:val="center"/>
              <w:ind w:right="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0"/>
                <w:szCs w:val="20"/>
                <w:color w:val="auto"/>
              </w:rPr>
            </w:pPr>
          </w:p>
        </w:tc>
      </w:tr>
      <w:tr>
        <w:trPr>
          <w:trHeight w:val="25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7"/>
        </w:trPr>
        <w:tc>
          <w:tcPr>
            <w:tcW w:w="7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decreased by $5.4 million for the three months ended March 31, 2025 as compared to the corresponding period in 2024, with the change driven primarily by an increase in pre-tax book income from continuing operations and discrete items, including the sale of North American Fitness during the three months ended March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 Net of Income Tax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left="41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37"/>
        </w:trPr>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gridSpan w:val="4"/>
          </w:tcPr>
          <w:p>
            <w:pPr>
              <w:jc w:val="center"/>
              <w:ind w:right="1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80" w:type="dxa"/>
            <w:vAlign w:val="bottom"/>
          </w:tcPr>
          <w:p>
            <w:pPr>
              <w:spacing w:after="0"/>
              <w:rPr>
                <w:sz w:val="20"/>
                <w:szCs w:val="20"/>
                <w:color w:val="auto"/>
              </w:rPr>
            </w:pPr>
          </w:p>
        </w:tc>
      </w:tr>
      <w:tr>
        <w:trPr>
          <w:trHeight w:val="25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5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r>
      <w:tr>
        <w:trPr>
          <w:trHeight w:val="27"/>
        </w:trPr>
        <w:tc>
          <w:tcPr>
            <w:tcW w:w="7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Loss from discontinued operations, net of income tax increased by $8.3 million during the three months ended March 31, 2025 as compared to the corresponding period in 2024 and consists of the operating results of marketing technology solutions. During the three months ended March 31, 2025, we recognized an impairment charge of $9.4 million, comprised of a goodwill impairment charge of $6.9 million and a valuation allowance of $2.6 million to adjust the marketing technology disposal group to estimated fair value less cost to sell. We did not have similar expenses during the three months ended March 31, 2024. (see Note 3. Discontinued Operations in</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our primary sources of liquidity have been net cash provided by operating activities, proceeds from equity issuances and proceeds from long-term debt.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liquidity for items such as strategic investments in the ongoing transformation of our business and infrastructure, business acquisitions and share repurchases authorized through our Repurchase Program (defined below). Absent significant deterioration of market conditions, we expect that working capital requirements, capital expenditures, acquisitions, the Company’s Repurchase Program, debt servicing and lease obligations will be our principal needs for liquidity going forward.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2025, we had cash, cash equivalents and restricted cash of $148.4 million, $190.0 million of available borrowing capacity under our Revolver (as defined below) and $530.8 million outstanding under our Term Loan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cash flow data, inclusive of continuing and discontinued operations, for the periods indicated therein:</w:t>
      </w:r>
    </w:p>
    <w:p>
      <w:pPr>
        <w:spacing w:after="0" w:line="24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24130</wp:posOffset>
            </wp:positionV>
            <wp:extent cx="1920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7"/>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1"/>
                <w:szCs w:val="21"/>
                <w:color w:val="auto"/>
              </w:rPr>
            </w:pPr>
          </w:p>
        </w:tc>
      </w:tr>
      <w:tr>
        <w:trPr>
          <w:trHeight w:val="26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$30.7 million for the three months ended March 31, 2025, compared to $13.3 million for the three months ended March 31, 2024. Changes in net cash provided by operating activities resulted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cash provided by operating activities for the three months ended March 31, 2025 compared to the three months ended March 31, 2024 was primarily due to lower costs as a result of our transformation and optimization initiatives comprised of a reduction in general overhead expenses, including personnel expenses, to support our business of $6.8 million, lower costs directly related to the delivery of our services and products of $6.1 million, lower interest payments of $2.0 million, higher cash collections from our subscription and transaction fees, which includes revenues from payment processing, of approximately $3.0 million and higher interest income of $0.4 million. These increases were partially offset by higher taxes of $0.9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of $5.6 million related primarily to costs to develop software of $5.1 million and $0.5 million for purchases of property and equipment.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investing activities of $3.6 million was related primarily to costs to develop software of $4.4 million and $0.4 million for purchases of property and equipment, partially offset by proceeds from the sale of North American Fitness, net of transaction costs, cash and restricted cash sold for approximately $1.2 million.</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financing activities of $12.3 million related primarily to the repurchase and retirement of shares of our common stock of $11.1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financing activities of $12.4 million was related primarily to the repurchase and retirement of shares of our common stock of $12.1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repurchase and retirement of shares of our common stock, refer to Note 12. Equity in the notes to the unaudited condensed consolidated financial statements included in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party to a credit agreement, as amended, that provides for one term loan for an aggregate principal amount of $550.0 million (“Term Loan”),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our option at ABR plus an applicable rate, or at a forward-looking term rate based upon the secured overnight financing rate (“SOFR”), plus (i) (a) with respect to the Term Loan,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our first lien net leverage ratio. The ABR represents the highest of the prime rate, Federal Reserve Bank of New York rate plus ½ of 1%, and the Adjusted SOFR for a one month interest period plus 1%. The applicable rate for the Term Loan and the Revolver is 3.0% for Adjusted SOFR borrowings and 2.0% for ABR borrowings, in each case subject to change based on our first lien net leverage ratio.</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13, 2024, the Company entered into an amendment (the “Amendment”) to the Credit Facilities to reduce the applicable margin and remove the credit spread adjustment from the existing Term Loan in their entirety in an aggregate principal amount of $533.5 million. Following the Amendment, the Term Loan bears interest, at the borrower’s election, at (x) a forward-looking term rate based upon SOFR plus an applicable margin of 2.50%, with a minimum forward-looking SOFR rate 0.50% or (y) ABR plus an applicable margin of 1.50%, with a minimum ABR of 1.50%, in each case, with no step-downs. The credit spread adjustment was removed in connection with the Amendment. The refinanced Term Loan priced at par and refinanced all of the existing term loans outstanding under the Credit Agreement immediately prior to giving effect to the Amendment.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the following interest rate swap agreements in connection with our Credit Facilities to convert a portion of the floating rate component of the Term Loan from a floating rate to fixed rate: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2"/>
        </w:trPr>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1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Fixed Interest</w:t>
            </w: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80" w:type="dxa"/>
            <w:vAlign w:val="bottom"/>
          </w:tcPr>
          <w:p>
            <w:pPr>
              <w:spacing w:after="0"/>
              <w:rPr>
                <w:sz w:val="18"/>
                <w:szCs w:val="18"/>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Asset (Liability) Fair Value at</w:t>
            </w:r>
          </w:p>
        </w:tc>
      </w:tr>
      <w:tr>
        <w:trPr>
          <w:trHeight w:val="256"/>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33"/>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80" w:type="dxa"/>
            <w:vAlign w:val="bottom"/>
          </w:tcPr>
          <w:p>
            <w:pPr>
              <w:spacing w:after="0"/>
              <w:rPr>
                <w:sz w:val="20"/>
                <w:szCs w:val="20"/>
                <w:color w:val="auto"/>
              </w:rPr>
            </w:pPr>
          </w:p>
        </w:tc>
        <w:tc>
          <w:tcPr>
            <w:tcW w:w="2380" w:type="dxa"/>
            <w:vAlign w:val="bottom"/>
          </w:tcPr>
          <w:p>
            <w:pPr>
              <w:jc w:val="center"/>
              <w:ind w:right="7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2022</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218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4.212 % $</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4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3.951 %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2027</w:t>
            </w:r>
          </w:p>
        </w:tc>
        <w:tc>
          <w:tcPr>
            <w:tcW w:w="1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3.395 %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7"/>
        </w:trPr>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borrowed under the Revolver may be repaid and re-borrowed through maturity of the Revolver in July 2026. The Term Loan matures in July 2028. The Term Loan may be repaid or prepaid but may not be re-borrowed.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there was $530.8 million outstanding under our Credit Facilities, all of which was related to the Term Loan as no amounts were outstanding under the Revolver. The effective interest rate on the Term Loan was approximately 7.17% for the three months ended March 31, 2025, excluding the effect of any interest rate swap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were in compliance with the covenants under the Credit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2022, our Board of Directors approved the stock repurchase program (as subsequently amended, the “Repurchase Program”) with authorization to purchase up to $50.0 million in shares of the Company’s common stock through the expiration of the program on December 21, 2022. On November 7, 2022, November 5, 2023, May 21, 2024, and May 1, 2025 our Board increased the authorization of the Repurchase Program by an additional $50.0 million in shares of the Company’s common stock on each date for a total authorization to repurchase up to $250.0 million in shares of the Company’s common stock, and extended the expiration of the Repurchase Program most recently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repurchased and retired 1.1 million shares of common stock for approximately $11.2 million, including transaction fees and taxes, during the three months ended March 31, 2025. As of March 31, 2025, $21.6 million remained available under the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of March 31, 2025 from those disclosed in our Annual Report on Form 10-K.</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Notes 10. Leases, 11. Long-Term Debt and 17. Commitments and Contingencies in the notes to the unaudited condensed consolidated financial statements included in this Quarterly Report on Form 10-Q for a discussion of our operating leases, debt and contractual obligations,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critical accounting policies are described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Policies” </w:t>
      </w:r>
      <w:r>
        <w:rPr>
          <w:rFonts w:ascii="Times New Roman" w:cs="Times New Roman" w:eastAsia="Times New Roman" w:hAnsi="Times New Roman"/>
          <w:sz w:val="18"/>
          <w:szCs w:val="18"/>
          <w:color w:val="auto"/>
        </w:rPr>
        <w:t>in our Annual Report on Form 10-K. During the three months ended March 31, 2025, there were no material changes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critical accounting policies from those discussed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Under the Jumpstart Our Business Startups Act of 2012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disclosures regarding market risk as described in our Annual Report on Form 10-K under the heading Part II, Item 7A. </w:t>
      </w:r>
      <w:r>
        <w:rPr>
          <w:rFonts w:ascii="Times New Roman" w:cs="Times New Roman" w:eastAsia="Times New Roman" w:hAnsi="Times New Roman"/>
          <w:sz w:val="18"/>
          <w:szCs w:val="18"/>
          <w:i w:val="1"/>
          <w:i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2025, our disclosure controls and procedures were not effective at the reasonable assurance level, due to the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 Procedures”</w:t>
      </w:r>
      <w:r>
        <w:rPr>
          <w:rFonts w:ascii="Times New Roman" w:cs="Times New Roman" w:eastAsia="Times New Roman" w:hAnsi="Times New Roman"/>
          <w:sz w:val="18"/>
          <w:szCs w:val="18"/>
          <w:color w:val="auto"/>
        </w:rPr>
        <w:t xml:space="preserve"> in our Annual Report on Form 10-K for the year ended December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continue to work to remediate our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Procedures” </w:t>
      </w:r>
      <w:r>
        <w:rPr>
          <w:rFonts w:ascii="Times New Roman" w:cs="Times New Roman" w:eastAsia="Times New Roman" w:hAnsi="Times New Roman"/>
          <w:sz w:val="18"/>
          <w:szCs w:val="18"/>
          <w:color w:val="auto"/>
        </w:rPr>
        <w:t>in our Annual Report on Form 10-K for the year ended December 31, 2024. There were no changes in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defined in Rules 13a-15(f) and 15d-15(f) under the Exchange Act)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17. Commitments and Contingencies in the notes to the unaudited condensed consolidated financial statements included in this Quarterly Report on Form 10-Q for a discussion of material legal proceedings. 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There have been no material changes to our risk factors from those included in our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repurchased approximately $11.2 million in shares of our common stock under our Repurchase Program, including transaction fees and taxes. The stock repurchase activity under our Repurchase Program during the three months ended March 31, 2025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203"/>
        </w:trPr>
        <w:tc>
          <w:tcPr>
            <w:tcW w:w="4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auto"/>
                <w:w w:val="99"/>
              </w:rPr>
              <w:t>Average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purchased as part of publicly</w:t>
            </w:r>
          </w:p>
        </w:tc>
        <w:tc>
          <w:tcPr>
            <w:tcW w:w="260" w:type="dxa"/>
            <w:vAlign w:val="bottom"/>
          </w:tcPr>
          <w:p>
            <w:pPr>
              <w:spacing w:after="0"/>
              <w:rPr>
                <w:sz w:val="17"/>
                <w:szCs w:val="17"/>
                <w:color w:val="auto"/>
              </w:rPr>
            </w:pPr>
          </w:p>
        </w:tc>
        <w:tc>
          <w:tcPr>
            <w:tcW w:w="184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rPr>
              <w:t>shares that may yet be</w:t>
            </w:r>
          </w:p>
        </w:tc>
      </w:tr>
      <w:tr>
        <w:trPr>
          <w:trHeight w:val="189"/>
        </w:trPr>
        <w:tc>
          <w:tcPr>
            <w:tcW w:w="4540" w:type="dxa"/>
            <w:vAlign w:val="bottom"/>
          </w:tcPr>
          <w:p>
            <w:pPr>
              <w:spacing w:after="0"/>
              <w:rPr>
                <w:sz w:val="16"/>
                <w:szCs w:val="16"/>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Total number of</w:t>
            </w:r>
          </w:p>
        </w:tc>
        <w:tc>
          <w:tcPr>
            <w:tcW w:w="26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color w:val="auto"/>
              </w:rPr>
              <w:t>price paid</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announced plans or</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purchased under the plans or</w:t>
            </w:r>
          </w:p>
        </w:tc>
      </w:tr>
      <w:tr>
        <w:trPr>
          <w:trHeight w:val="243"/>
        </w:trPr>
        <w:tc>
          <w:tcPr>
            <w:tcW w:w="45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shares purchased</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color w:val="auto"/>
                <w:w w:val="99"/>
              </w:rPr>
              <w:t>per share</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programs </w:t>
            </w:r>
            <w:r>
              <w:rPr>
                <w:rFonts w:ascii="Times New Roman" w:cs="Times New Roman" w:eastAsia="Times New Roman" w:hAnsi="Times New Roman"/>
                <w:sz w:val="21"/>
                <w:szCs w:val="21"/>
                <w:color w:val="auto"/>
                <w:w w:val="96"/>
                <w:vertAlign w:val="superscript"/>
              </w:rPr>
              <w:t>(1)</w:t>
            </w: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4"/>
              </w:rPr>
              <w:t xml:space="preserve">programs </w:t>
            </w:r>
            <w:r>
              <w:rPr>
                <w:rFonts w:ascii="Times New Roman" w:cs="Times New Roman" w:eastAsia="Times New Roman" w:hAnsi="Times New Roman"/>
                <w:sz w:val="21"/>
                <w:szCs w:val="21"/>
                <w:color w:val="auto"/>
                <w:w w:val="94"/>
                <w:vertAlign w:val="superscript"/>
              </w:rPr>
              <w:t>(1)</w:t>
            </w:r>
          </w:p>
        </w:tc>
      </w:tr>
      <w:tr>
        <w:trPr>
          <w:trHeight w:val="217"/>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0" w:type="dxa"/>
            <w:vAlign w:val="bottom"/>
            <w:gridSpan w:val="4"/>
          </w:tcPr>
          <w:p>
            <w:pPr>
              <w:jc w:val="right"/>
              <w:ind w:right="1596"/>
              <w:spacing w:after="0"/>
              <w:rPr>
                <w:sz w:val="20"/>
                <w:szCs w:val="20"/>
                <w:color w:val="auto"/>
              </w:rPr>
            </w:pPr>
            <w:r>
              <w:rPr>
                <w:rFonts w:ascii="Times New Roman" w:cs="Times New Roman" w:eastAsia="Times New Roman" w:hAnsi="Times New Roman"/>
                <w:sz w:val="16"/>
                <w:szCs w:val="16"/>
                <w:i w:val="1"/>
                <w:iCs w:val="1"/>
                <w:color w:val="auto"/>
              </w:rPr>
              <w:t>(in thousands, except per share and share amounts)</w:t>
            </w:r>
          </w:p>
        </w:tc>
      </w:tr>
      <w:tr>
        <w:trPr>
          <w:trHeight w:val="73"/>
        </w:trPr>
        <w:tc>
          <w:tcPr>
            <w:tcW w:w="4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40" w:type="dxa"/>
            <w:vAlign w:val="bottom"/>
          </w:tcPr>
          <w:p>
            <w:pPr>
              <w:spacing w:after="0"/>
              <w:rPr>
                <w:sz w:val="6"/>
                <w:szCs w:val="6"/>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2025 - January 31, 2025</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248,799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10.47</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248,799</w:t>
            </w:r>
          </w:p>
        </w:tc>
        <w:tc>
          <w:tcPr>
            <w:tcW w:w="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30,050</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281,936</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10.37</w:t>
            </w:r>
          </w:p>
        </w:tc>
        <w:tc>
          <w:tcPr>
            <w:tcW w:w="2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281,936</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27,126</w:t>
            </w:r>
          </w:p>
        </w:tc>
      </w:tr>
      <w:tr>
        <w:trPr>
          <w:trHeight w:val="27"/>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2025 - March 31, 2025</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567,458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9.77</w:t>
            </w:r>
          </w:p>
        </w:tc>
        <w:tc>
          <w:tcPr>
            <w:tcW w:w="2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567,458</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21,583</w:t>
            </w:r>
          </w:p>
        </w:tc>
      </w:tr>
      <w:tr>
        <w:trPr>
          <w:trHeight w:val="29"/>
        </w:trPr>
        <w:tc>
          <w:tcPr>
            <w:tcW w:w="4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14, 2022, our Board approved the Repurchase Program with authorization to purchase up to $50.0 million in shares of the Company’s common stock through the expiration of the program on December 21, 2022. On November 7, 2022, November 5, 2023, May 21, 2024, and May 1, 2025 our Board increased the authorization of the Repurchase Program by an additional $50.0 million in shares of the Company’s common stock on each date for a total authorization to repurchase up to $250.0 million in shares of the Company’s common stock and, most recently, extended the expiration of the Repurchase Program through December 31, 2026.</w:t>
      </w:r>
    </w:p>
    <w:p>
      <w:pPr>
        <w:spacing w:after="0" w:line="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Furnished</w:t>
            </w:r>
          </w:p>
        </w:tc>
      </w:tr>
      <w:tr>
        <w:trPr>
          <w:trHeight w:val="23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640" w:type="dxa"/>
            <w:vAlign w:val="bottom"/>
            <w:gridSpan w:val="1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56"/>
        </w:trPr>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11"/>
            <w:shd w:val="clear" w:color="auto" w:fill="CCEEFF"/>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Amended and Restated Certificate of Incorporation of EverCommerce Inc</w:t>
              </w:r>
            </w:hyperlink>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7/9/2021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9"/>
        </w:trPr>
        <w:tc>
          <w:tcPr>
            <w:tcW w:w="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0" w:type="dxa"/>
            <w:vAlign w:val="bottom"/>
            <w:tcBorders>
              <w:top w:val="single" w:sz="8" w:color="0000FF"/>
            </w:tcBorders>
            <w:gridSpan w:val="4"/>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Amended and Restated Bylaws of EverCommerce Inc</w:t>
              </w:r>
            </w:hyperlink>
          </w:p>
        </w:tc>
        <w:tc>
          <w:tcPr>
            <w:tcW w:w="820" w:type="dxa"/>
            <w:vAlign w:val="bottom"/>
            <w:tcBorders>
              <w:top w:val="single" w:sz="8" w:color="CCEEFF"/>
            </w:tcBorders>
            <w:gridSpan w:val="7"/>
          </w:tcPr>
          <w:p>
            <w:pPr>
              <w:spacing w:after="0"/>
              <w:rPr>
                <w:sz w:val="16"/>
                <w:szCs w:val="16"/>
                <w:color w:val="auto"/>
              </w:rPr>
            </w:pPr>
          </w:p>
        </w:tc>
        <w:tc>
          <w:tcPr>
            <w:tcW w:w="9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7/9/2021</w:t>
            </w: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Amendment to Executive Employment Agreement by and between Matthew</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2"/>
        </w:trPr>
        <w:tc>
          <w:tcPr>
            <w:tcW w:w="80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292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Feierstein and EverCommerce Solutions Inc.</w:t>
            </w:r>
          </w:p>
        </w:tc>
        <w:tc>
          <w:tcPr>
            <w:tcW w:w="18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top w:val="single" w:sz="8" w:color="CCEEFF"/>
            </w:tcBorders>
          </w:tcPr>
          <w:p>
            <w:pPr>
              <w:spacing w:after="0"/>
              <w:rPr>
                <w:sz w:val="16"/>
                <w:szCs w:val="16"/>
                <w:color w:val="auto"/>
              </w:rPr>
            </w:pPr>
          </w:p>
        </w:tc>
        <w:tc>
          <w:tcPr>
            <w:tcW w:w="5640" w:type="dxa"/>
            <w:vAlign w:val="bottom"/>
            <w:tcBorders>
              <w:top w:val="single" w:sz="8" w:color="CCEEFF"/>
            </w:tcBorders>
            <w:gridSpan w:val="12"/>
          </w:tcPr>
          <w:p>
            <w:pPr>
              <w:ind w:left="20"/>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600" w:type="dxa"/>
            <w:vAlign w:val="bottom"/>
            <w:tcBorders>
              <w:bottom w:val="single" w:sz="8" w:color="CCEEFF"/>
            </w:tcBorders>
            <w:gridSpan w:val="3"/>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6"/>
                <w:szCs w:val="16"/>
                <w:color w:val="auto"/>
              </w:rPr>
            </w:pPr>
          </w:p>
        </w:tc>
        <w:tc>
          <w:tcPr>
            <w:tcW w:w="564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4"/>
        </w:trPr>
        <w:tc>
          <w:tcPr>
            <w:tcW w:w="8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9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r>
      <w:tr>
        <w:trPr>
          <w:trHeight w:val="202"/>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gridSpan w:val="11"/>
          </w:tcPr>
          <w:p>
            <w:pPr>
              <w:ind w:left="160"/>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9"/>
                <w:szCs w:val="19"/>
                <w:color w:val="auto"/>
              </w:rPr>
            </w:pPr>
          </w:p>
        </w:tc>
        <w:tc>
          <w:tcPr>
            <w:tcW w:w="5620" w:type="dxa"/>
            <w:vAlign w:val="bottom"/>
            <w:gridSpan w:val="11"/>
          </w:tcPr>
          <w:p>
            <w:pPr>
              <w:ind w:left="160"/>
              <w:spacing w:after="0"/>
              <w:rPr>
                <w:sz w:val="20"/>
                <w:szCs w:val="20"/>
                <w:color w:val="auto"/>
              </w:rPr>
            </w:pPr>
            <w:r>
              <w:rPr>
                <w:rFonts w:ascii="Times New Roman" w:cs="Times New Roman" w:eastAsia="Times New Roman" w:hAnsi="Times New Roman"/>
                <w:sz w:val="16"/>
                <w:szCs w:val="16"/>
                <w:color w:val="auto"/>
              </w:rPr>
              <w:t>XBRL document.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6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64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6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64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6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02"/>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4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4"/>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gridSpan w:val="11"/>
          </w:tcPr>
          <w:p>
            <w:pPr>
              <w:ind w:left="160"/>
              <w:spacing w:after="0"/>
              <w:rPr>
                <w:sz w:val="20"/>
                <w:szCs w:val="20"/>
                <w:color w:val="auto"/>
              </w:rPr>
            </w:pPr>
            <w:r>
              <w:rPr>
                <w:rFonts w:ascii="Times New Roman" w:cs="Times New Roman" w:eastAsia="Times New Roman" w:hAnsi="Times New Roman"/>
                <w:sz w:val="16"/>
                <w:szCs w:val="16"/>
                <w:color w:val="auto"/>
              </w:rPr>
              <w:t>Exhibit 101)</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33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EVERCOMMERCE INC.</w:t>
      </w:r>
    </w:p>
    <w:p>
      <w:pPr>
        <w:spacing w:after="0" w:line="329" w:lineRule="exact"/>
        <w:rPr>
          <w:sz w:val="20"/>
          <w:szCs w:val="20"/>
          <w:color w:val="auto"/>
        </w:rPr>
      </w:pPr>
    </w:p>
    <w:p>
      <w:pPr>
        <w:ind w:left="20"/>
        <w:spacing w:after="0"/>
        <w:tabs>
          <w:tab w:leader="none" w:pos="6400" w:val="left"/>
          <w:tab w:leader="none" w:pos="8540" w:val="left"/>
        </w:tabs>
        <w:rPr>
          <w:sz w:val="20"/>
          <w:szCs w:val="20"/>
          <w:color w:val="auto"/>
        </w:rPr>
      </w:pPr>
      <w:r>
        <w:rPr>
          <w:rFonts w:ascii="Times New Roman" w:cs="Times New Roman" w:eastAsia="Times New Roman" w:hAnsi="Times New Roman"/>
          <w:sz w:val="18"/>
          <w:szCs w:val="18"/>
          <w:b w:val="1"/>
          <w:bCs w:val="1"/>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400" w:val="left"/>
          <w:tab w:leader="none" w:pos="8400" w:val="left"/>
        </w:tabs>
        <w:rPr>
          <w:sz w:val="20"/>
          <w:szCs w:val="20"/>
          <w:color w:val="auto"/>
        </w:rPr>
      </w:pPr>
      <w:r>
        <w:rPr>
          <w:rFonts w:ascii="Times New Roman" w:cs="Times New Roman" w:eastAsia="Times New Roman" w:hAnsi="Times New Roman"/>
          <w:sz w:val="18"/>
          <w:szCs w:val="18"/>
          <w:b w:val="1"/>
          <w:bCs w:val="1"/>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Ryan H. Siurek</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0" w:right="339" w:bottom="1440" w:gutter="0" w:footer="0" w:header="0"/>
        </w:sectPr>
      </w:pPr>
    </w:p>
    <w:bookmarkStart w:id="40" w:name="page41"/>
    <w:bookmarkEnd w:id="40"/>
    <w:p>
      <w:pPr>
        <w:ind w:left="40"/>
        <w:spacing w:after="0"/>
        <w:rPr>
          <w:sz w:val="20"/>
          <w:szCs w:val="20"/>
          <w:color w:val="auto"/>
        </w:rPr>
      </w:pPr>
      <w:r>
        <w:rPr>
          <w:rFonts w:ascii="Arial" w:cs="Arial" w:eastAsia="Arial" w:hAnsi="Arial"/>
          <w:sz w:val="14"/>
          <w:szCs w:val="14"/>
          <w:color w:val="auto"/>
        </w:rPr>
        <w:t>Docusign Envelope ID: 50CBE1BB-C937-4091-86AE-758B19FBA773</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EXECUTIVE EMPLOYMENT AGREEMENT</w:t>
      </w:r>
    </w:p>
    <w:p>
      <w:pPr>
        <w:spacing w:after="0" w:line="224" w:lineRule="exact"/>
        <w:rPr>
          <w:sz w:val="20"/>
          <w:szCs w:val="20"/>
          <w:color w:val="auto"/>
        </w:rPr>
      </w:pPr>
    </w:p>
    <w:p>
      <w:pPr>
        <w:jc w:val="both"/>
        <w:ind w:right="320" w:firstLine="647"/>
        <w:spacing w:after="0" w:line="252" w:lineRule="auto"/>
        <w:rPr>
          <w:sz w:val="20"/>
          <w:szCs w:val="20"/>
          <w:color w:val="auto"/>
        </w:rPr>
      </w:pPr>
      <w:r>
        <w:rPr>
          <w:rFonts w:ascii="Times New Roman" w:cs="Times New Roman" w:eastAsia="Times New Roman" w:hAnsi="Times New Roman"/>
          <w:sz w:val="22"/>
          <w:szCs w:val="22"/>
          <w:color w:val="auto"/>
        </w:rPr>
        <w:t>This Amendment to Executive Employment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as of May 1, 2025 (the “</w:t>
      </w:r>
      <w:r>
        <w:rPr>
          <w:rFonts w:ascii="Times New Roman" w:cs="Times New Roman" w:eastAsia="Times New Roman" w:hAnsi="Times New Roman"/>
          <w:sz w:val="22"/>
          <w:szCs w:val="22"/>
          <w:u w:val="single" w:color="auto"/>
          <w:color w:val="auto"/>
        </w:rPr>
        <w:t>Amendment Date</w:t>
      </w:r>
      <w:r>
        <w:rPr>
          <w:rFonts w:ascii="Times New Roman" w:cs="Times New Roman" w:eastAsia="Times New Roman" w:hAnsi="Times New Roman"/>
          <w:sz w:val="22"/>
          <w:szCs w:val="22"/>
          <w:color w:val="auto"/>
        </w:rPr>
        <w:t>”), by and between Matthew Feierstein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EverCommerce Solutions Inc. (“</w:t>
      </w:r>
      <w:r>
        <w:rPr>
          <w:rFonts w:ascii="Times New Roman" w:cs="Times New Roman" w:eastAsia="Times New Roman" w:hAnsi="Times New Roman"/>
          <w:sz w:val="22"/>
          <w:szCs w:val="22"/>
          <w:u w:val="single" w:color="auto"/>
          <w:color w:val="auto"/>
        </w:rPr>
        <w:t>ESI</w:t>
      </w:r>
      <w:r>
        <w:rPr>
          <w:rFonts w:ascii="Times New Roman" w:cs="Times New Roman" w:eastAsia="Times New Roman" w:hAnsi="Times New Roman"/>
          <w:sz w:val="22"/>
          <w:szCs w:val="22"/>
          <w:color w:val="auto"/>
        </w:rPr>
        <w:t>”, together with EverCommerce Inc. (“</w:t>
      </w:r>
      <w:r>
        <w:rPr>
          <w:rFonts w:ascii="Times New Roman" w:cs="Times New Roman" w:eastAsia="Times New Roman" w:hAnsi="Times New Roman"/>
          <w:sz w:val="22"/>
          <w:szCs w:val="22"/>
          <w:u w:val="single" w:color="auto"/>
          <w:color w:val="auto"/>
        </w:rPr>
        <w:t>ECI</w:t>
      </w:r>
      <w:r>
        <w:rPr>
          <w:rFonts w:ascii="Times New Roman" w:cs="Times New Roman" w:eastAsia="Times New Roman" w:hAnsi="Times New Roman"/>
          <w:sz w:val="22"/>
          <w:szCs w:val="22"/>
          <w:color w:val="auto"/>
        </w:rPr>
        <w:t>”) and any subsidiaries or affiliates as may employ Executive from time to time, and any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E T H</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right="320" w:firstLine="647"/>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are currently party to that certain Executive Employment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on June 18, 2021 and effective as of the date of closing of the initial public offering of ECI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Employee desire to amend the Employment Agreement on the terms set forth herein.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mutual covenants set forth in this Amendment, the Company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hereby agree as follows, effective as of the Amendment Date:</w:t>
      </w:r>
    </w:p>
    <w:p>
      <w:pPr>
        <w:spacing w:after="0" w:line="196" w:lineRule="exact"/>
        <w:rPr>
          <w:sz w:val="20"/>
          <w:szCs w:val="20"/>
          <w:color w:val="auto"/>
        </w:rPr>
      </w:pPr>
    </w:p>
    <w:p>
      <w:pPr>
        <w:ind w:left="1300" w:hanging="645"/>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sentence of Section 2.2 of the Employment Agreement is deleted in its entirety and replaced with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96" w:lineRule="exact"/>
        <w:rPr>
          <w:sz w:val="20"/>
          <w:szCs w:val="20"/>
          <w:color w:val="auto"/>
        </w:rPr>
      </w:pPr>
    </w:p>
    <w:p>
      <w:pPr>
        <w:jc w:val="both"/>
        <w:ind w:left="660" w:right="320"/>
        <w:spacing w:after="0" w:line="281" w:lineRule="auto"/>
        <w:rPr>
          <w:sz w:val="20"/>
          <w:szCs w:val="20"/>
          <w:color w:val="auto"/>
        </w:rPr>
      </w:pPr>
      <w:r>
        <w:rPr>
          <w:rFonts w:ascii="Times New Roman" w:cs="Times New Roman" w:eastAsia="Times New Roman" w:hAnsi="Times New Roman"/>
          <w:sz w:val="21"/>
          <w:szCs w:val="21"/>
          <w:color w:val="auto"/>
        </w:rPr>
        <w:t>“During the Employment Term, Executive will be eligible to participate in an annual calendar year incentive program established by the Board or its delegate. Executive’s annual incentive compensation under such incentive program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shall be targeted at ninety percent (90%) of Executive’s Base Salary (the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added at the end of Section 3.1(e) as follows:</w:t>
      </w:r>
    </w:p>
    <w:p>
      <w:pPr>
        <w:spacing w:after="0" w:line="220" w:lineRule="exact"/>
        <w:rPr>
          <w:sz w:val="20"/>
          <w:szCs w:val="20"/>
          <w:color w:val="auto"/>
        </w:rPr>
      </w:pPr>
    </w:p>
    <w:p>
      <w:pPr>
        <w:jc w:val="both"/>
        <w:ind w:right="320" w:firstLine="647"/>
        <w:spacing w:after="0" w:line="250" w:lineRule="auto"/>
        <w:rPr>
          <w:sz w:val="20"/>
          <w:szCs w:val="20"/>
          <w:color w:val="auto"/>
        </w:rPr>
      </w:pPr>
      <w:r>
        <w:rPr>
          <w:rFonts w:ascii="Times New Roman" w:cs="Times New Roman" w:eastAsia="Times New Roman" w:hAnsi="Times New Roman"/>
          <w:sz w:val="22"/>
          <w:szCs w:val="22"/>
          <w:color w:val="auto"/>
        </w:rPr>
        <w:t>“provided, further, and notwithstanding anything herein to the contrary, that changes in the Executive’s title, authorities, duties, reporting relationships or responsibilities that occur in connection with operational or organizational changes at the Company and that do not result in a situation that is inconsistent with the Executive’s experience, skillset, and qualifications shall not, in and of themselves, constitute Good Reason pursuant to clause (ii) above if the Executive continues to report directly to the Company’s Chief Executive Officer or the chief executive officer of a separated entity, a division, a business unit, or an affiliate of the Company. Without limiting the generality of the foregoing, and by way of example, transitioning to (a) a strategic projects role reporting to the Company’s Chief Executive Officer or (b) a senior executive role at a separated entity, a division, a business unit, or an affiliate of the Company would not in and of themselves constitute Good Reason.”</w:t>
      </w:r>
    </w:p>
    <w:p>
      <w:pPr>
        <w:spacing w:after="0" w:line="9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added as Section 3.2(d) of the Employment Agreement: “</w:t>
      </w:r>
      <w:r>
        <w:rPr>
          <w:rFonts w:ascii="Times New Roman" w:cs="Times New Roman" w:eastAsia="Times New Roman" w:hAnsi="Times New Roman"/>
          <w:sz w:val="22"/>
          <w:szCs w:val="22"/>
          <w:u w:val="single" w:color="auto"/>
          <w:color w:val="auto"/>
        </w:rPr>
        <w:t>Option Extension</w:t>
      </w:r>
      <w:r>
        <w:rPr>
          <w:rFonts w:ascii="Times New Roman" w:cs="Times New Roman" w:eastAsia="Times New Roman" w:hAnsi="Times New Roman"/>
          <w:sz w:val="22"/>
          <w:szCs w:val="22"/>
          <w:color w:val="auto"/>
        </w:rPr>
        <w:t>. If</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Executive’s employment is terminated pursuant to Sections 3.1(a),</w:t>
      </w:r>
    </w:p>
    <w:p>
      <w:pPr>
        <w:spacing w:after="0" w:line="15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3.1(c), 3.1(d) or 3.1(e) above (and not pursuant to Section 3.1(b)), then the post-termination exercise period under Executive’s then outstanding vested Options (including all Options granted</w:t>
      </w:r>
    </w:p>
    <w:p>
      <w:pPr>
        <w:sectPr>
          <w:pgSz w:w="11900" w:h="16838" w:orient="portrait"/>
          <w:cols w:equalWidth="0" w:num="1">
            <w:col w:w="11240"/>
          </w:cols>
          <w:pgMar w:left="320" w:top="198" w:right="339" w:bottom="1440" w:gutter="0" w:footer="0" w:header="0"/>
        </w:sectPr>
      </w:pPr>
    </w:p>
    <w:bookmarkStart w:id="41" w:name="page42"/>
    <w:bookmarkEnd w:id="41"/>
    <w:p>
      <w:pPr>
        <w:ind w:left="40"/>
        <w:spacing w:after="0"/>
        <w:rPr>
          <w:sz w:val="20"/>
          <w:szCs w:val="20"/>
          <w:color w:val="auto"/>
        </w:rPr>
      </w:pPr>
      <w:r>
        <w:rPr>
          <w:rFonts w:ascii="Arial" w:cs="Arial" w:eastAsia="Arial" w:hAnsi="Arial"/>
          <w:sz w:val="14"/>
          <w:szCs w:val="14"/>
          <w:color w:val="auto"/>
        </w:rPr>
        <w:t>Docusign Envelope ID: 50CBE1BB-C937-4091-86AE-758B19FBA773</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320"/>
        <w:spacing w:after="0"/>
        <w:rPr>
          <w:sz w:val="20"/>
          <w:szCs w:val="20"/>
          <w:color w:val="auto"/>
        </w:rPr>
      </w:pPr>
      <w:r>
        <w:rPr>
          <w:rFonts w:ascii="Times New Roman" w:cs="Times New Roman" w:eastAsia="Times New Roman" w:hAnsi="Times New Roman"/>
          <w:sz w:val="22"/>
          <w:szCs w:val="22"/>
          <w:color w:val="auto"/>
        </w:rPr>
        <w:t>under the LTIP and any other equity incentive plan) will, notwithstanding anything to the contrary in the applicable option agreement(s) between Executive and the Company, commence on the date of such termination of employment and end on the Option Extension Date (as defined below). For purposes of this Agreement, “</w:t>
      </w:r>
      <w:r>
        <w:rPr>
          <w:rFonts w:ascii="Times New Roman" w:cs="Times New Roman" w:eastAsia="Times New Roman" w:hAnsi="Times New Roman"/>
          <w:sz w:val="22"/>
          <w:szCs w:val="22"/>
          <w:u w:val="single" w:color="auto"/>
          <w:color w:val="auto"/>
        </w:rPr>
        <w:t>Option Extension Date</w:t>
      </w:r>
      <w:r>
        <w:rPr>
          <w:rFonts w:ascii="Times New Roman" w:cs="Times New Roman" w:eastAsia="Times New Roman" w:hAnsi="Times New Roman"/>
          <w:sz w:val="22"/>
          <w:szCs w:val="22"/>
          <w:color w:val="auto"/>
        </w:rPr>
        <w:t xml:space="preserve">” shall mean the date that is the number of full months following the date of Executive’s termination of employment equal to the sum of (a) 18 months following the date of such termination of employment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(b) the number of full months Executive is employed with the Company following the Amendment Date (or, if earlier, the original expiration date of such Option) (the “</w:t>
      </w:r>
      <w:r>
        <w:rPr>
          <w:rFonts w:ascii="Times New Roman" w:cs="Times New Roman" w:eastAsia="Times New Roman" w:hAnsi="Times New Roman"/>
          <w:sz w:val="22"/>
          <w:szCs w:val="22"/>
          <w:u w:val="single" w:color="auto"/>
          <w:color w:val="auto"/>
        </w:rPr>
        <w:t>Option Extension</w:t>
      </w:r>
      <w:r>
        <w:rPr>
          <w:rFonts w:ascii="Times New Roman" w:cs="Times New Roman" w:eastAsia="Times New Roman" w:hAnsi="Times New Roman"/>
          <w:sz w:val="22"/>
          <w:szCs w:val="22"/>
          <w:color w:val="auto"/>
        </w:rPr>
        <w:t>”); provided, that, notwithstanding the foregoing, the Option Extension will not apply in the event Executive’s employment is terminated by Executive pursuant to Section 3.1(e)(ii). By way of example, if Executive’s employment is terminated pursuant to Sections 3.1(a), 3.1(c), 3.1(d) or 3.1(e) above 6 months following the Amendment Date, the Option Extension Date will be the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month anniversary of the date of such termination of employment (i.e., 18 months plus 6 full months of employment following the Amendment Date).</w:t>
      </w:r>
    </w:p>
    <w:p>
      <w:pPr>
        <w:spacing w:after="0" w:line="213" w:lineRule="exact"/>
        <w:rPr>
          <w:sz w:val="20"/>
          <w:szCs w:val="20"/>
          <w:color w:val="auto"/>
        </w:rPr>
      </w:pPr>
    </w:p>
    <w:p>
      <w:pPr>
        <w:jc w:val="both"/>
        <w:ind w:right="320" w:firstLine="655"/>
        <w:spacing w:after="0" w:line="257" w:lineRule="auto"/>
        <w:tabs>
          <w:tab w:leader="none" w:pos="12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w:t>
      </w:r>
      <w:r>
        <w:rPr>
          <w:rFonts w:ascii="Times New Roman" w:cs="Times New Roman" w:eastAsia="Times New Roman" w:hAnsi="Times New Roman"/>
          <w:sz w:val="22"/>
          <w:szCs w:val="22"/>
          <w:color w:val="auto"/>
        </w:rPr>
        <w:t>. This Amendment is to be read and construed with the Employment Agreement as constituting one and the same agreement. Except as specifically modified by this Amendment, all remaining provisions, terms and conditions of the Employment Agreement shall remain in full force and effect.</w:t>
      </w:r>
    </w:p>
    <w:p>
      <w:pPr>
        <w:spacing w:after="0" w:line="172" w:lineRule="exact"/>
        <w:rPr>
          <w:rFonts w:ascii="Times New Roman" w:cs="Times New Roman" w:eastAsia="Times New Roman" w:hAnsi="Times New Roman"/>
          <w:sz w:val="22"/>
          <w:szCs w:val="22"/>
          <w:color w:val="auto"/>
        </w:rPr>
      </w:pPr>
    </w:p>
    <w:p>
      <w:pPr>
        <w:ind w:right="320" w:firstLine="655"/>
        <w:spacing w:after="0" w:line="271" w:lineRule="auto"/>
        <w:tabs>
          <w:tab w:leader="none" w:pos="12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each of which shall be deemed to be an original but all of which together shall constitute one and the same instrument.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98" w:right="339" w:bottom="1440" w:gutter="0" w:footer="0" w:header="0"/>
        </w:sectPr>
      </w:pPr>
    </w:p>
    <w:bookmarkStart w:id="42" w:name="page43"/>
    <w:bookmarkEnd w:id="42"/>
    <w:p>
      <w:pPr>
        <w:ind w:left="40"/>
        <w:spacing w:after="0"/>
        <w:rPr>
          <w:sz w:val="20"/>
          <w:szCs w:val="20"/>
          <w:color w:val="auto"/>
        </w:rPr>
      </w:pPr>
      <w:r>
        <w:rPr>
          <w:rFonts w:ascii="Arial" w:cs="Arial" w:eastAsia="Arial" w:hAnsi="Arial"/>
          <w:sz w:val="14"/>
          <w:szCs w:val="14"/>
          <w:color w:val="auto"/>
        </w:rPr>
        <w:t>Docusign Envelope ID: 50CBE1BB-C937-4091-86AE-758B19FBA773</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ITNESS WHEREOF, the undersigned have executed this Amendment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22225</wp:posOffset>
            </wp:positionV>
            <wp:extent cx="2468880" cy="402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46888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Matthew Feierstein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COMPANY EVERCOMMERCE INC.</w:t>
      </w:r>
    </w:p>
    <w:p>
      <w:pPr>
        <w:spacing w:after="0" w:line="1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w:t>
      </w:r>
      <w:r>
        <w:rPr>
          <w:sz w:val="1"/>
          <w:szCs w:val="1"/>
          <w:color w:val="auto"/>
        </w:rPr>
        <w:drawing>
          <wp:inline distT="0" distB="0" distL="0" distR="0">
            <wp:extent cx="1002665" cy="40259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002665" cy="402590"/>
                    </a:xfrm>
                    <a:prstGeom prst="rect">
                      <a:avLst/>
                    </a:prstGeom>
                    <a:noFill/>
                    <a:ln>
                      <a:noFill/>
                    </a:ln>
                  </pic:spPr>
                </pic:pic>
              </a:graphicData>
            </a:graphic>
          </wp:inline>
        </w:drawing>
      </w:r>
    </w:p>
    <w:p>
      <w:pPr>
        <w:spacing w:after="0" w:line="10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 Eric Remer</w:t>
      </w:r>
    </w:p>
    <w:p>
      <w:pPr>
        <w:spacing w:after="0" w:line="5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EVERCOMMERCE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321945</wp:posOffset>
            </wp:positionV>
            <wp:extent cx="1002665" cy="402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00266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Eric Remer</w:t>
      </w:r>
    </w:p>
    <w:p>
      <w:pPr>
        <w:ind w:left="3900"/>
        <w:spacing w:after="0"/>
        <w:rPr>
          <w:sz w:val="20"/>
          <w:szCs w:val="20"/>
          <w:color w:val="auto"/>
        </w:rPr>
      </w:pPr>
      <w:r>
        <w:rPr>
          <w:rFonts w:ascii="Times New Roman" w:cs="Times New Roman" w:eastAsia="Times New Roman" w:hAnsi="Times New Roman"/>
          <w:sz w:val="20"/>
          <w:szCs w:val="20"/>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the Amendment</w:t>
      </w:r>
    </w:p>
    <w:p>
      <w:pPr>
        <w:sectPr>
          <w:pgSz w:w="11900" w:h="16838" w:orient="portrait"/>
          <w:cols w:equalWidth="0" w:num="1">
            <w:col w:w="11240"/>
          </w:cols>
          <w:pgMar w:left="320" w:top="198"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86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72"/>
        </w:trPr>
        <w:tc>
          <w:tcPr>
            <w:tcW w:w="334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21"/>
        </w:trPr>
        <w:tc>
          <w:tcPr>
            <w:tcW w:w="3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H. Siurek, certify that:</w:t>
      </w:r>
    </w:p>
    <w:p>
      <w:pPr>
        <w:spacing w:after="0" w:line="198"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20" w:hanging="412"/>
        <w:spacing w:after="0" w:line="231"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20" w:hanging="412"/>
        <w:spacing w:after="0" w:line="237"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20" w:hanging="412"/>
        <w:spacing w:after="0" w:line="250"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860" w:type="dxa"/>
            <w:vAlign w:val="bottom"/>
            <w:vMerge w:val="restart"/>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Ryan H. Siurek</w:t>
            </w:r>
          </w:p>
        </w:tc>
        <w:tc>
          <w:tcPr>
            <w:tcW w:w="0" w:type="dxa"/>
            <w:vAlign w:val="bottom"/>
          </w:tcPr>
          <w:p>
            <w:pPr>
              <w:spacing w:after="0"/>
              <w:rPr>
                <w:sz w:val="1"/>
                <w:szCs w:val="1"/>
                <w:color w:val="auto"/>
              </w:rPr>
            </w:pPr>
          </w:p>
        </w:tc>
      </w:tr>
      <w:tr>
        <w:trPr>
          <w:trHeight w:val="72"/>
        </w:trPr>
        <w:tc>
          <w:tcPr>
            <w:tcW w:w="334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21"/>
        </w:trPr>
        <w:tc>
          <w:tcPr>
            <w:tcW w:w="3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March 31, 2025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50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254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March 31, 2025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77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50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Ryan H. Siurek</w:t>
            </w: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254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Ryan H. Siurek</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35"/>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decimal"/>
      <w:start w:val="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62" Type="http://schemas.openxmlformats.org/officeDocument/2006/relationships/hyperlink" Target="https://www.sec.gov/Archives/edgar/data/0001853145/000114036121023912/nt10022251x16_ex3-1.htm" TargetMode="External"/><Relationship Id="rId63" Type="http://schemas.openxmlformats.org/officeDocument/2006/relationships/hyperlink" Target="https://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2025-05-08T16:29:33Z</dcterms:created>
  <dcterms:modified xsi:type="dcterms:W3CDTF">2025-05-08T16:29:33Z</dcterms:modified>
</cp:coreProperties>
</file>