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20" w:hanging="594"/>
        <w:spacing w:after="0" w:line="182" w:lineRule="auto"/>
        <w:tabs>
          <w:tab w:leader="none" w:pos="62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0"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001-40575</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8" w:lineRule="exact"/>
        <w:rPr>
          <w:sz w:val="24"/>
          <w:szCs w:val="24"/>
          <w:color w:val="auto"/>
        </w:rPr>
      </w:pPr>
    </w:p>
    <w:tbl>
      <w:tblPr>
        <w:tblLayout w:type="fixed"/>
        <w:tblInd w:w="2660" w:type="dxa"/>
        <w:tblCellMar>
          <w:top w:w="0" w:type="dxa"/>
          <w:left w:w="0" w:type="dxa"/>
          <w:bottom w:w="0" w:type="dxa"/>
          <w:right w:w="0" w:type="dxa"/>
        </w:tblCellMar>
      </w:tblP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850"/>
              <w:spacing w:after="0"/>
              <w:rPr>
                <w:sz w:val="20"/>
                <w:szCs w:val="20"/>
                <w:color w:val="auto"/>
              </w:rPr>
            </w:pPr>
            <w:r>
              <w:rPr>
                <w:rFonts w:ascii="Arial" w:cs="Arial" w:eastAsia="Arial" w:hAnsi="Arial"/>
                <w:sz w:val="18"/>
                <w:szCs w:val="18"/>
                <w:b w:val="1"/>
                <w:bCs w:val="1"/>
                <w:color w:val="auto"/>
              </w:rPr>
              <w:t>81-4063248</w:t>
            </w:r>
          </w:p>
        </w:tc>
        <w:tc>
          <w:tcPr>
            <w:tcW w:w="0" w:type="dxa"/>
            <w:vAlign w:val="bottom"/>
          </w:tcPr>
          <w:p>
            <w:pPr>
              <w:spacing w:after="0"/>
              <w:rPr>
                <w:sz w:val="1"/>
                <w:szCs w:val="1"/>
                <w:color w:val="auto"/>
              </w:rPr>
            </w:pPr>
          </w:p>
        </w:tc>
      </w:tr>
      <w:tr>
        <w:trPr>
          <w:trHeight w:val="252"/>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(State or other jurisdiction of</w:t>
            </w:r>
          </w:p>
        </w:tc>
        <w:tc>
          <w:tcPr>
            <w:tcW w:w="3460" w:type="dxa"/>
            <w:vAlign w:val="bottom"/>
            <w:vMerge w:val="restart"/>
          </w:tcPr>
          <w:p>
            <w:pPr>
              <w:jc w:val="center"/>
              <w:ind w:left="610"/>
              <w:spacing w:after="0"/>
              <w:rPr>
                <w:sz w:val="20"/>
                <w:szCs w:val="20"/>
                <w:color w:val="auto"/>
              </w:rPr>
            </w:pPr>
            <w:r>
              <w:rPr>
                <w:rFonts w:ascii="Arial" w:cs="Arial" w:eastAsia="Arial" w:hAnsi="Arial"/>
                <w:sz w:val="18"/>
                <w:szCs w:val="18"/>
                <w:b w:val="1"/>
                <w:bCs w:val="1"/>
                <w:color w:val="auto"/>
                <w:w w:val="93"/>
              </w:rPr>
              <w:t>(I.R.S. Employer Identification No.)</w:t>
            </w:r>
          </w:p>
        </w:tc>
        <w:tc>
          <w:tcPr>
            <w:tcW w:w="0" w:type="dxa"/>
            <w:vAlign w:val="bottom"/>
          </w:tcPr>
          <w:p>
            <w:pPr>
              <w:spacing w:after="0"/>
              <w:rPr>
                <w:sz w:val="1"/>
                <w:szCs w:val="1"/>
                <w:color w:val="auto"/>
              </w:rPr>
            </w:pPr>
          </w:p>
        </w:tc>
      </w:tr>
      <w:tr>
        <w:trPr>
          <w:trHeight w:val="126"/>
        </w:trPr>
        <w:tc>
          <w:tcPr>
            <w:tcW w:w="3680" w:type="dxa"/>
            <w:vAlign w:val="bottom"/>
            <w:vMerge w:val="restart"/>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3601 Walnut Street, Suite 400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Denver, Colorado</w:t>
            </w:r>
          </w:p>
        </w:tc>
        <w:tc>
          <w:tcPr>
            <w:tcW w:w="3460" w:type="dxa"/>
            <w:vAlign w:val="bottom"/>
          </w:tcPr>
          <w:p>
            <w:pPr>
              <w:jc w:val="right"/>
              <w:ind w:right="1050"/>
              <w:spacing w:after="0"/>
              <w:rPr>
                <w:sz w:val="20"/>
                <w:szCs w:val="20"/>
                <w:color w:val="auto"/>
              </w:rPr>
            </w:pPr>
            <w:r>
              <w:rPr>
                <w:rFonts w:ascii="Arial" w:cs="Arial" w:eastAsia="Arial" w:hAnsi="Arial"/>
                <w:sz w:val="18"/>
                <w:szCs w:val="18"/>
                <w:b w:val="1"/>
                <w:bCs w:val="1"/>
                <w:color w:val="auto"/>
              </w:rPr>
              <w:t>80205</w:t>
            </w:r>
          </w:p>
        </w:tc>
        <w:tc>
          <w:tcPr>
            <w:tcW w:w="0" w:type="dxa"/>
            <w:vAlign w:val="bottom"/>
          </w:tcPr>
          <w:p>
            <w:pPr>
              <w:spacing w:after="0"/>
              <w:rPr>
                <w:sz w:val="1"/>
                <w:szCs w:val="1"/>
                <w:color w:val="auto"/>
              </w:rPr>
            </w:pPr>
          </w:p>
        </w:tc>
      </w:tr>
      <w:tr>
        <w:trPr>
          <w:trHeight w:val="270"/>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6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(720) 647-4948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3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1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4, 2022, there were 193,201,157 shares of the registrant’s common stock, par value $0.00001,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1160" w:type="dxa"/>
            <w:vAlign w:val="bottom"/>
          </w:tcPr>
          <w:p>
            <w:pPr>
              <w:ind w:left="400"/>
              <w:spacing w:after="0"/>
              <w:rPr>
                <w:sz w:val="20"/>
                <w:szCs w:val="20"/>
                <w:color w:val="auto"/>
              </w:rPr>
            </w:pPr>
            <w:r>
              <w:rPr>
                <w:rFonts w:ascii="Arial" w:cs="Arial" w:eastAsia="Arial" w:hAnsi="Arial"/>
                <w:sz w:val="18"/>
                <w:szCs w:val="18"/>
                <w:color w:val="auto"/>
              </w:rPr>
              <w:t>Page</w:t>
            </w:r>
          </w:p>
        </w:tc>
      </w:tr>
      <w:tr>
        <w:trPr>
          <w:trHeight w:val="27"/>
        </w:trPr>
        <w:tc>
          <w:tcPr>
            <w:tcW w:w="98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1.</w:t>
            </w:r>
          </w:p>
        </w:tc>
        <w:tc>
          <w:tcPr>
            <w:tcW w:w="91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Condensed Consolidated Balance Sheets as of September 30, 2022 (unaudited) and December 31, 2021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1</w:t>
            </w:r>
          </w:p>
        </w:tc>
      </w:tr>
      <w:tr>
        <w:trPr>
          <w:trHeight w:val="229"/>
        </w:trPr>
        <w:tc>
          <w:tcPr>
            <w:tcW w:w="98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2"/>
              </w:rPr>
              <w:t>Condensed Consolidated Statements of Operations and Comprehensive Loss (unaudited) for the three and nine months</w:t>
            </w:r>
          </w:p>
        </w:tc>
        <w:tc>
          <w:tcPr>
            <w:tcW w:w="11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9100" w:type="dxa"/>
            <w:vAlign w:val="bottom"/>
          </w:tcPr>
          <w:p>
            <w:pPr>
              <w:ind w:left="360"/>
              <w:spacing w:after="0"/>
              <w:rPr>
                <w:sz w:val="20"/>
                <w:szCs w:val="20"/>
                <w:color w:val="auto"/>
              </w:rPr>
            </w:pPr>
            <w:r>
              <w:rPr>
                <w:rFonts w:ascii="Arial" w:cs="Arial" w:eastAsia="Arial" w:hAnsi="Arial"/>
                <w:sz w:val="18"/>
                <w:szCs w:val="18"/>
                <w:color w:val="auto"/>
              </w:rPr>
              <w:t>ended September 30, 2022 and 2021</w:t>
            </w:r>
          </w:p>
        </w:tc>
        <w:tc>
          <w:tcPr>
            <w:tcW w:w="1160" w:type="dxa"/>
            <w:vAlign w:val="bottom"/>
          </w:tcPr>
          <w:p>
            <w:pPr>
              <w:jc w:val="center"/>
              <w:spacing w:after="0"/>
              <w:rPr>
                <w:sz w:val="20"/>
                <w:szCs w:val="20"/>
                <w:color w:val="auto"/>
              </w:rPr>
            </w:pPr>
            <w:r>
              <w:rPr>
                <w:rFonts w:ascii="Arial" w:cs="Arial" w:eastAsia="Arial" w:hAnsi="Arial"/>
                <w:sz w:val="18"/>
                <w:szCs w:val="18"/>
                <w:color w:val="0000FF"/>
                <w:w w:val="79"/>
              </w:rPr>
              <w:t>3</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980" w:type="dxa"/>
            <w:vAlign w:val="bottom"/>
            <w:shd w:val="clear" w:color="auto" w:fill="CCEEFF"/>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Condensed Consolidated Statements of Convertible Preferred Stock and Stockholders’ Equity (Deficit) (unaudited) for the</w:t>
            </w:r>
          </w:p>
        </w:tc>
        <w:tc>
          <w:tcPr>
            <w:tcW w:w="1160" w:type="dxa"/>
            <w:vAlign w:val="bottom"/>
            <w:shd w:val="clear" w:color="auto" w:fill="CCEEFF"/>
          </w:tcPr>
          <w:p>
            <w:pPr>
              <w:spacing w:after="0"/>
              <w:rPr>
                <w:sz w:val="19"/>
                <w:szCs w:val="19"/>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three and nine months ended September 30, 2022 and 2021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4</w:t>
            </w:r>
          </w:p>
        </w:tc>
      </w:tr>
      <w:tr>
        <w:trPr>
          <w:trHeight w:val="243"/>
        </w:trPr>
        <w:tc>
          <w:tcPr>
            <w:tcW w:w="980" w:type="dxa"/>
            <w:vAlign w:val="bottom"/>
          </w:tcPr>
          <w:p>
            <w:pPr>
              <w:spacing w:after="0"/>
              <w:rPr>
                <w:sz w:val="21"/>
                <w:szCs w:val="21"/>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Condensed Consolidated Statements of Cash Flows (unaudited) for the nine months ended September 30, 2022 and 2021</w:t>
            </w:r>
          </w:p>
        </w:tc>
        <w:tc>
          <w:tcPr>
            <w:tcW w:w="1160" w:type="dxa"/>
            <w:vAlign w:val="bottom"/>
          </w:tcPr>
          <w:p>
            <w:pPr>
              <w:jc w:val="center"/>
              <w:spacing w:after="0"/>
              <w:rPr>
                <w:sz w:val="20"/>
                <w:szCs w:val="20"/>
                <w:color w:val="auto"/>
              </w:rPr>
            </w:pPr>
            <w:r>
              <w:rPr>
                <w:rFonts w:ascii="Arial" w:cs="Arial" w:eastAsia="Arial" w:hAnsi="Arial"/>
                <w:sz w:val="18"/>
                <w:szCs w:val="18"/>
                <w:color w:val="0000FF"/>
                <w:w w:val="79"/>
              </w:rPr>
              <w:t>6</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8</w:t>
            </w: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2.</w:t>
            </w:r>
          </w:p>
        </w:tc>
        <w:tc>
          <w:tcPr>
            <w:tcW w:w="910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24</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43</w:t>
            </w: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4.</w:t>
            </w:r>
          </w:p>
        </w:tc>
        <w:tc>
          <w:tcPr>
            <w:tcW w:w="910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43</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80" w:type="dxa"/>
            <w:vAlign w:val="bottom"/>
            <w:shd w:val="clear" w:color="auto" w:fill="CCEEFF"/>
          </w:tcPr>
          <w:p>
            <w:pPr>
              <w:spacing w:after="0"/>
              <w:rPr>
                <w:sz w:val="23"/>
                <w:szCs w:val="23"/>
                <w:color w:val="auto"/>
              </w:rPr>
            </w:pPr>
          </w:p>
        </w:tc>
        <w:tc>
          <w:tcPr>
            <w:tcW w:w="9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100" w:type="dxa"/>
            <w:vAlign w:val="bottom"/>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1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44</w:t>
            </w: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0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44</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44</w:t>
            </w: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3.</w:t>
            </w:r>
          </w:p>
        </w:tc>
        <w:tc>
          <w:tcPr>
            <w:tcW w:w="910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45</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45</w:t>
            </w:r>
          </w:p>
        </w:tc>
      </w:tr>
      <w:tr>
        <w:trPr>
          <w:trHeight w:val="243"/>
        </w:trPr>
        <w:tc>
          <w:tcPr>
            <w:tcW w:w="980" w:type="dxa"/>
            <w:vAlign w:val="bottom"/>
          </w:tcPr>
          <w:p>
            <w:pPr>
              <w:ind w:left="140"/>
              <w:spacing w:after="0"/>
              <w:rPr>
                <w:sz w:val="20"/>
                <w:szCs w:val="20"/>
                <w:color w:val="auto"/>
              </w:rPr>
            </w:pPr>
            <w:r>
              <w:rPr>
                <w:rFonts w:ascii="Arial" w:cs="Arial" w:eastAsia="Arial" w:hAnsi="Arial"/>
                <w:sz w:val="18"/>
                <w:szCs w:val="18"/>
                <w:color w:val="auto"/>
              </w:rPr>
              <w:t>Item 5.</w:t>
            </w:r>
          </w:p>
        </w:tc>
        <w:tc>
          <w:tcPr>
            <w:tcW w:w="910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45</w:t>
            </w: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6.</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45</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47</w:t>
            </w:r>
          </w:p>
        </w:tc>
      </w:tr>
      <w:tr>
        <w:trPr>
          <w:trHeight w:val="1533"/>
        </w:trPr>
        <w:tc>
          <w:tcPr>
            <w:tcW w:w="98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and our objectives for future operations.</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SMBs is relatively immature and unproven;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risks related to the COVID-19 pandemic;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2021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our statements should not be read to indicate that we have conducted an exhaustive inquiry into, or review of, all potentially available relevant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EverCommerce Inc.</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88"/>
              </w:rPr>
              <w:t>(in thousands, except per share and share amounts)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 of allowance for doubtful accounts of $3.2 million and $1.9 million at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September 30, 2022 and December 31, 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185,084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171,617</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13,509</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24,296</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907,243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921,416</w:t>
            </w: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1,402,771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1,491,756</w:t>
            </w:r>
          </w:p>
        </w:tc>
      </w:tr>
      <w:tr>
        <w:trPr>
          <w:trHeight w:val="263"/>
        </w:trPr>
        <w:tc>
          <w:tcPr>
            <w:tcW w:w="78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1,587,855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17"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49,340</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99,885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103,428</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Deferred tax liability, net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17,862</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532,006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535,184</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558,834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574,297</w:t>
            </w: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677,725</w:t>
            </w:r>
          </w:p>
        </w:tc>
      </w:tr>
      <w:tr>
        <w:trPr>
          <w:trHeight w:val="34"/>
        </w:trPr>
        <w:tc>
          <w:tcPr>
            <w:tcW w:w="78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54"/>
        </w:trPr>
        <w:tc>
          <w:tcPr>
            <w:tcW w:w="7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tcPr>
          <w:p>
            <w:pPr>
              <w:ind w:left="100"/>
              <w:spacing w:after="0"/>
              <w:rPr>
                <w:sz w:val="20"/>
                <w:szCs w:val="20"/>
                <w:color w:val="auto"/>
              </w:rPr>
            </w:pPr>
            <w:r>
              <w:rPr>
                <w:rFonts w:ascii="Arial" w:cs="Arial" w:eastAsia="Arial" w:hAnsi="Arial"/>
                <w:sz w:val="18"/>
                <w:szCs w:val="18"/>
                <w:color w:val="auto"/>
                <w:w w:val="89"/>
              </w:rPr>
              <w:t>Preferred stock, $0.00001 par value, 50,000,000 shares authorized and no shares issued or outstanding as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of September 30, 2022 and December 31, 2021</w:t>
            </w: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Common stock, $0.00001 par value, 2,000,000,000 shares authorized and 193,937,954 and 195,384,291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at September 30, 2022 and December 31, 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1,500,643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(555,273)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(513,230)</w:t>
            </w: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929,136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985,648</w:t>
            </w:r>
          </w:p>
        </w:tc>
      </w:tr>
      <w:tr>
        <w:trPr>
          <w:trHeight w:val="263"/>
        </w:trPr>
        <w:tc>
          <w:tcPr>
            <w:tcW w:w="78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convertible preferred stock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1,587,855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7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91,788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343,734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252,119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354,490</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revenues (exclusive of depreciation and 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119,488</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67,647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35,083</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96,748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79,796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73,917</w:t>
            </w:r>
          </w:p>
        </w:tc>
        <w:tc>
          <w:tcPr>
            <w:tcW w:w="0" w:type="dxa"/>
            <w:vAlign w:val="bottom"/>
          </w:tcPr>
          <w:p>
            <w:pPr>
              <w:spacing w:after="0"/>
              <w:rPr>
                <w:sz w:val="1"/>
                <w:szCs w:val="1"/>
                <w:color w:val="auto"/>
              </w:rPr>
            </w:pPr>
          </w:p>
        </w:tc>
      </w:tr>
      <w:tr>
        <w:trPr>
          <w:trHeight w:val="237"/>
        </w:trPr>
        <w:tc>
          <w:tcPr>
            <w:tcW w:w="496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132,600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485,874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375,931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(21,441)</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37"/>
        </w:trPr>
        <w:tc>
          <w:tcPr>
            <w:tcW w:w="4960" w:type="dxa"/>
            <w:vAlign w:val="bottom"/>
          </w:tcPr>
          <w:p>
            <w:pPr>
              <w:ind w:left="440"/>
              <w:spacing w:after="0"/>
              <w:rPr>
                <w:sz w:val="20"/>
                <w:szCs w:val="20"/>
                <w:color w:val="auto"/>
              </w:rPr>
            </w:pPr>
            <w:r>
              <w:rPr>
                <w:rFonts w:ascii="Arial" w:cs="Arial" w:eastAsia="Arial" w:hAnsi="Arial"/>
                <w:sz w:val="18"/>
                <w:szCs w:val="18"/>
                <w:b w:val="1"/>
                <w:bCs w:val="1"/>
                <w:color w:val="auto"/>
              </w:rPr>
              <w:t>Net loss before income tax benefit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(81,417)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7"/>
        </w:trPr>
        <w:tc>
          <w:tcPr>
            <w:tcW w:w="4960" w:type="dxa"/>
            <w:vAlign w:val="bottom"/>
          </w:tcPr>
          <w:p>
            <w:pPr>
              <w:ind w:left="56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Foreign currency translation losses,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(36,906)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(see Note 12)</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64"/>
        </w:trPr>
        <w:tc>
          <w:tcPr>
            <w:tcW w:w="496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52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5"/>
        </w:trPr>
        <w:tc>
          <w:tcPr>
            <w:tcW w:w="49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Basic and diluted weighted-average shares of common stock</w:t>
            </w:r>
          </w:p>
        </w:tc>
        <w:tc>
          <w:tcPr>
            <w:tcW w:w="3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194,542,764</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187,994,437</w:t>
            </w: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195,205,260</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95"/>
              </w:rPr>
              <w:t>91,655,461</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outstanding used in computing net loss per share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Preferred Stock</w:t>
            </w:r>
          </w:p>
        </w:tc>
        <w:tc>
          <w:tcPr>
            <w:tcW w:w="14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79"/>
              <w:spacing w:after="0" w:line="176" w:lineRule="exact"/>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5"/>
                <w:szCs w:val="15"/>
                <w:color w:val="auto"/>
              </w:rPr>
            </w:pPr>
          </w:p>
        </w:tc>
        <w:tc>
          <w:tcPr>
            <w:tcW w:w="1140" w:type="dxa"/>
            <w:vAlign w:val="bottom"/>
          </w:tcPr>
          <w:p>
            <w:pPr>
              <w:jc w:val="right"/>
              <w:ind w:right="99"/>
              <w:spacing w:after="0" w:line="176"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5"/>
                <w:szCs w:val="15"/>
                <w:color w:val="auto"/>
              </w:rPr>
            </w:pPr>
          </w:p>
        </w:tc>
        <w:tc>
          <w:tcPr>
            <w:tcW w:w="1180" w:type="dxa"/>
            <w:vAlign w:val="bottom"/>
          </w:tcPr>
          <w:p>
            <w:pPr>
              <w:jc w:val="center"/>
              <w:ind w:right="19"/>
              <w:spacing w:after="0" w:line="176"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5"/>
                <w:szCs w:val="15"/>
                <w:color w:val="auto"/>
              </w:rPr>
            </w:pPr>
          </w:p>
        </w:tc>
        <w:tc>
          <w:tcPr>
            <w:tcW w:w="1160" w:type="dxa"/>
            <w:vAlign w:val="bottom"/>
          </w:tcPr>
          <w:p>
            <w:pPr>
              <w:jc w:val="center"/>
              <w:ind w:right="39"/>
              <w:spacing w:after="0" w:line="176"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Paid-In Capital</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195,384</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985,648</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(13,309)</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(13,309)</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195,510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1,507,501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(526,539)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978,533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Issuance of common stock for Employee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6,508</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w w:val="95"/>
              </w:rPr>
              <w:t>Repurchase and retirement of common stock</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(12,881)</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(12,881)</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195,528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1,513,529</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(539,420)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963,511</w:t>
            </w:r>
          </w:p>
        </w:tc>
        <w:tc>
          <w:tcPr>
            <w:tcW w:w="0" w:type="dxa"/>
            <w:vAlign w:val="bottom"/>
          </w:tcPr>
          <w:p>
            <w:pPr>
              <w:spacing w:after="0"/>
              <w:rPr>
                <w:sz w:val="1"/>
                <w:szCs w:val="1"/>
                <w:color w:val="auto"/>
              </w:rPr>
            </w:pPr>
          </w:p>
        </w:tc>
      </w:tr>
      <w:tr>
        <w:trPr>
          <w:trHeight w:val="206"/>
        </w:trPr>
        <w:tc>
          <w:tcPr>
            <w:tcW w:w="3160" w:type="dxa"/>
            <w:vAlign w:val="bottom"/>
          </w:tcPr>
          <w:p>
            <w:pPr>
              <w:ind w:left="100"/>
              <w:spacing w:after="0"/>
              <w:rPr>
                <w:sz w:val="20"/>
                <w:szCs w:val="20"/>
                <w:color w:val="auto"/>
              </w:rPr>
            </w:pPr>
            <w:r>
              <w:rPr>
                <w:rFonts w:ascii="Arial" w:cs="Arial" w:eastAsia="Arial" w:hAnsi="Arial"/>
                <w:sz w:val="16"/>
                <w:szCs w:val="16"/>
                <w:color w:val="auto"/>
              </w:rPr>
              <w:t>Issuance of common stock for Employee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issued upon vesting of</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 units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7,133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7,133</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w w:val="95"/>
              </w:rPr>
              <w:t>Repurchase and retirement of common stock</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(19,198)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(19,198)</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(15,853)</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(15,853)</w:t>
            </w:r>
          </w:p>
        </w:tc>
        <w:tc>
          <w:tcPr>
            <w:tcW w:w="0" w:type="dxa"/>
            <w:vAlign w:val="bottom"/>
          </w:tcPr>
          <w:p>
            <w:pPr>
              <w:spacing w:after="0"/>
              <w:rPr>
                <w:sz w:val="1"/>
                <w:szCs w:val="1"/>
                <w:color w:val="auto"/>
              </w:rPr>
            </w:pPr>
          </w:p>
        </w:tc>
      </w:tr>
      <w:tr>
        <w:trPr>
          <w:trHeight w:val="26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193,938</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1,501,985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(555,273)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929,136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Convertible Preferred Stock and Stockholders’ Equity (Deficit) (Continued)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40"/>
          </w:cols>
          <w:pgMar w:left="4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2020</w:t>
      </w:r>
    </w:p>
    <w:p>
      <w:pPr>
        <w:spacing w:after="0" w:line="69" w:lineRule="exact"/>
        <w:rPr>
          <w:sz w:val="20"/>
          <w:szCs w:val="20"/>
          <w:color w:val="auto"/>
        </w:rPr>
      </w:pPr>
    </w:p>
    <w:p>
      <w:pPr>
        <w:ind w:left="180" w:right="60" w:hanging="80"/>
        <w:spacing w:after="0" w:line="296" w:lineRule="auto"/>
        <w:rPr>
          <w:sz w:val="20"/>
          <w:szCs w:val="20"/>
          <w:color w:val="auto"/>
        </w:rPr>
      </w:pPr>
      <w:r>
        <w:rPr>
          <w:rFonts w:ascii="Arial" w:cs="Arial" w:eastAsia="Arial" w:hAnsi="Arial"/>
          <w:sz w:val="13"/>
          <w:szCs w:val="13"/>
          <w:color w:val="auto"/>
        </w:rPr>
        <w:t>Rollover equity in consideration of net assets acquired</w:t>
      </w:r>
    </w:p>
    <w:p>
      <w:pPr>
        <w:spacing w:after="0" w:line="9" w:lineRule="exact"/>
        <w:rPr>
          <w:sz w:val="20"/>
          <w:szCs w:val="20"/>
          <w:color w:val="auto"/>
        </w:rPr>
      </w:pPr>
    </w:p>
    <w:p>
      <w:pPr>
        <w:ind w:left="100" w:right="720"/>
        <w:spacing w:after="0" w:line="409" w:lineRule="auto"/>
        <w:rPr>
          <w:sz w:val="20"/>
          <w:szCs w:val="20"/>
          <w:color w:val="auto"/>
        </w:rPr>
      </w:pPr>
      <w:r>
        <w:rPr>
          <w:rFonts w:ascii="Arial" w:cs="Arial" w:eastAsia="Arial" w:hAnsi="Arial"/>
          <w:sz w:val="11"/>
          <w:szCs w:val="11"/>
          <w:color w:val="auto"/>
        </w:rPr>
        <w:t>Stock-based compensation Stock option exercises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Foreign currency translation gains, net</w:t>
      </w:r>
    </w:p>
    <w:p>
      <w:pPr>
        <w:spacing w:after="0" w:line="78" w:lineRule="exact"/>
        <w:rPr>
          <w:sz w:val="20"/>
          <w:szCs w:val="20"/>
          <w:color w:val="auto"/>
        </w:rPr>
      </w:pPr>
    </w:p>
    <w:p>
      <w:pPr>
        <w:ind w:left="180" w:right="160" w:hanging="80"/>
        <w:spacing w:after="0" w:line="328" w:lineRule="auto"/>
        <w:rPr>
          <w:sz w:val="20"/>
          <w:szCs w:val="20"/>
          <w:color w:val="auto"/>
        </w:rPr>
      </w:pPr>
      <w:r>
        <w:rPr>
          <w:rFonts w:ascii="Arial" w:cs="Arial" w:eastAsia="Arial" w:hAnsi="Arial"/>
          <w:sz w:val="12"/>
          <w:szCs w:val="12"/>
          <w:color w:val="auto"/>
        </w:rPr>
        <w:t>Accretion of Series B convertible preferred stock to redemption value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March 31, 2021</w:t>
      </w:r>
    </w:p>
    <w:p>
      <w:pPr>
        <w:spacing w:after="0" w:line="69" w:lineRule="exact"/>
        <w:rPr>
          <w:sz w:val="20"/>
          <w:szCs w:val="20"/>
          <w:color w:val="auto"/>
        </w:rPr>
      </w:pPr>
    </w:p>
    <w:p>
      <w:pPr>
        <w:ind w:left="180" w:right="20" w:hanging="80"/>
        <w:spacing w:after="0" w:line="296" w:lineRule="auto"/>
        <w:rPr>
          <w:sz w:val="20"/>
          <w:szCs w:val="20"/>
          <w:color w:val="auto"/>
        </w:rPr>
      </w:pPr>
      <w:r>
        <w:rPr>
          <w:rFonts w:ascii="Arial" w:cs="Arial" w:eastAsia="Arial" w:hAnsi="Arial"/>
          <w:sz w:val="13"/>
          <w:szCs w:val="13"/>
          <w:color w:val="auto"/>
        </w:rPr>
        <w:t>Issuance of convertible preferred stock, net</w:t>
      </w:r>
    </w:p>
    <w:p>
      <w:pPr>
        <w:spacing w:after="0" w:line="9" w:lineRule="exact"/>
        <w:rPr>
          <w:sz w:val="20"/>
          <w:szCs w:val="20"/>
          <w:color w:val="auto"/>
        </w:rPr>
      </w:pPr>
    </w:p>
    <w:p>
      <w:pPr>
        <w:ind w:left="180" w:right="200" w:hanging="80"/>
        <w:spacing w:after="0" w:line="328" w:lineRule="auto"/>
        <w:rPr>
          <w:sz w:val="20"/>
          <w:szCs w:val="20"/>
          <w:color w:val="auto"/>
        </w:rPr>
      </w:pPr>
      <w:r>
        <w:rPr>
          <w:rFonts w:ascii="Arial" w:cs="Arial" w:eastAsia="Arial" w:hAnsi="Arial"/>
          <w:sz w:val="12"/>
          <w:szCs w:val="12"/>
          <w:color w:val="auto"/>
        </w:rPr>
        <w:t>Measurement period adjustment to update fair value of rollover equity</w:t>
      </w:r>
    </w:p>
    <w:p>
      <w:pPr>
        <w:spacing w:after="0" w:line="1" w:lineRule="exact"/>
        <w:rPr>
          <w:sz w:val="20"/>
          <w:szCs w:val="20"/>
          <w:color w:val="auto"/>
        </w:rPr>
      </w:pPr>
    </w:p>
    <w:p>
      <w:pPr>
        <w:ind w:left="100" w:right="720"/>
        <w:spacing w:after="0" w:line="409" w:lineRule="auto"/>
        <w:rPr>
          <w:sz w:val="20"/>
          <w:szCs w:val="20"/>
          <w:color w:val="auto"/>
        </w:rPr>
      </w:pPr>
      <w:r>
        <w:rPr>
          <w:rFonts w:ascii="Arial" w:cs="Arial" w:eastAsia="Arial" w:hAnsi="Arial"/>
          <w:sz w:val="11"/>
          <w:szCs w:val="11"/>
          <w:color w:val="auto"/>
        </w:rPr>
        <w:t>Stock-based compensation Stock option exercises</w:t>
      </w:r>
    </w:p>
    <w:p>
      <w:pPr>
        <w:spacing w:after="0" w:line="1" w:lineRule="exact"/>
        <w:rPr>
          <w:sz w:val="20"/>
          <w:szCs w:val="20"/>
          <w:color w:val="auto"/>
        </w:rPr>
      </w:pPr>
    </w:p>
    <w:p>
      <w:pPr>
        <w:ind w:left="100" w:right="80"/>
        <w:spacing w:after="0" w:line="356" w:lineRule="auto"/>
        <w:rPr>
          <w:sz w:val="20"/>
          <w:szCs w:val="20"/>
          <w:color w:val="auto"/>
        </w:rPr>
      </w:pPr>
      <w:r>
        <w:rPr>
          <w:rFonts w:ascii="Arial" w:cs="Arial" w:eastAsia="Arial" w:hAnsi="Arial"/>
          <w:sz w:val="13"/>
          <w:szCs w:val="13"/>
          <w:color w:val="auto"/>
        </w:rPr>
        <w:t>Foreign currency translation gains, net Net loss</w:t>
      </w:r>
    </w:p>
    <w:p>
      <w:pPr>
        <w:spacing w:after="0"/>
        <w:rPr>
          <w:sz w:val="20"/>
          <w:szCs w:val="20"/>
          <w:color w:val="auto"/>
        </w:rPr>
      </w:pPr>
      <w:r>
        <w:rPr>
          <w:rFonts w:ascii="Arial" w:cs="Arial" w:eastAsia="Arial" w:hAnsi="Arial"/>
          <w:sz w:val="13"/>
          <w:szCs w:val="13"/>
          <w:b w:val="1"/>
          <w:bCs w:val="1"/>
          <w:color w:val="auto"/>
        </w:rPr>
        <w:t>Balance at June 30, 2021</w:t>
      </w:r>
    </w:p>
    <w:p>
      <w:pPr>
        <w:spacing w:after="0" w:line="69" w:lineRule="exact"/>
        <w:rPr>
          <w:sz w:val="20"/>
          <w:szCs w:val="20"/>
          <w:color w:val="auto"/>
        </w:rPr>
      </w:pPr>
    </w:p>
    <w:p>
      <w:pPr>
        <w:ind w:left="260" w:right="20" w:hanging="161"/>
        <w:spacing w:after="0" w:line="278" w:lineRule="auto"/>
        <w:rPr>
          <w:sz w:val="20"/>
          <w:szCs w:val="20"/>
          <w:color w:val="auto"/>
        </w:rPr>
      </w:pPr>
      <w:r>
        <w:rPr>
          <w:rFonts w:ascii="Arial" w:cs="Arial" w:eastAsia="Arial" w:hAnsi="Arial"/>
          <w:sz w:val="13"/>
          <w:szCs w:val="13"/>
          <w:color w:val="auto"/>
        </w:rPr>
        <w:t>Conversion of convertible preferred stock to common stock upon closing of initial public offering</w:t>
      </w:r>
    </w:p>
    <w:p>
      <w:pPr>
        <w:spacing w:after="0" w:line="21" w:lineRule="exact"/>
        <w:rPr>
          <w:sz w:val="20"/>
          <w:szCs w:val="20"/>
          <w:color w:val="auto"/>
        </w:rPr>
      </w:pPr>
    </w:p>
    <w:p>
      <w:pPr>
        <w:ind w:left="260" w:hanging="161"/>
        <w:spacing w:after="0" w:line="272" w:lineRule="auto"/>
        <w:rPr>
          <w:sz w:val="20"/>
          <w:szCs w:val="20"/>
          <w:color w:val="auto"/>
        </w:rPr>
      </w:pPr>
      <w:r>
        <w:rPr>
          <w:rFonts w:ascii="Arial" w:cs="Arial" w:eastAsia="Arial" w:hAnsi="Arial"/>
          <w:sz w:val="13"/>
          <w:szCs w:val="13"/>
          <w:color w:val="auto"/>
        </w:rPr>
        <w:t>Issuance of common stock upon closing of initial public offering, net of issuance costs and underwriters fees of $31,102</w:t>
      </w:r>
    </w:p>
    <w:p>
      <w:pPr>
        <w:spacing w:after="0" w:line="24" w:lineRule="exact"/>
        <w:rPr>
          <w:sz w:val="20"/>
          <w:szCs w:val="20"/>
          <w:color w:val="auto"/>
        </w:rPr>
      </w:pPr>
    </w:p>
    <w:p>
      <w:pPr>
        <w:ind w:left="260" w:right="420" w:hanging="161"/>
        <w:spacing w:after="0" w:line="296" w:lineRule="auto"/>
        <w:rPr>
          <w:sz w:val="20"/>
          <w:szCs w:val="20"/>
          <w:color w:val="auto"/>
        </w:rPr>
      </w:pPr>
      <w:r>
        <w:rPr>
          <w:rFonts w:ascii="Arial" w:cs="Arial" w:eastAsia="Arial" w:hAnsi="Arial"/>
          <w:sz w:val="13"/>
          <w:szCs w:val="13"/>
          <w:color w:val="auto"/>
        </w:rPr>
        <w:t>Common stock issued in private placement</w:t>
      </w:r>
    </w:p>
    <w:p>
      <w:pPr>
        <w:spacing w:after="0" w:line="9" w:lineRule="exact"/>
        <w:rPr>
          <w:sz w:val="20"/>
          <w:szCs w:val="20"/>
          <w:color w:val="auto"/>
        </w:rPr>
      </w:pPr>
    </w:p>
    <w:p>
      <w:pPr>
        <w:ind w:left="100" w:right="720"/>
        <w:spacing w:after="0" w:line="409" w:lineRule="auto"/>
        <w:rPr>
          <w:sz w:val="20"/>
          <w:szCs w:val="20"/>
          <w:color w:val="auto"/>
        </w:rPr>
      </w:pPr>
      <w:r>
        <w:rPr>
          <w:rFonts w:ascii="Arial" w:cs="Arial" w:eastAsia="Arial" w:hAnsi="Arial"/>
          <w:sz w:val="11"/>
          <w:szCs w:val="11"/>
          <w:color w:val="auto"/>
        </w:rPr>
        <w:t>Stock-based compensation Stock option exercises</w:t>
      </w:r>
    </w:p>
    <w:p>
      <w:pPr>
        <w:spacing w:after="0" w:line="1" w:lineRule="exact"/>
        <w:rPr>
          <w:sz w:val="20"/>
          <w:szCs w:val="20"/>
          <w:color w:val="auto"/>
        </w:rPr>
      </w:pPr>
    </w:p>
    <w:p>
      <w:pPr>
        <w:ind w:left="100" w:right="40"/>
        <w:spacing w:after="0" w:line="377" w:lineRule="auto"/>
        <w:rPr>
          <w:sz w:val="20"/>
          <w:szCs w:val="20"/>
          <w:color w:val="auto"/>
        </w:rPr>
      </w:pPr>
      <w:r>
        <w:rPr>
          <w:rFonts w:ascii="Arial" w:cs="Arial" w:eastAsia="Arial" w:hAnsi="Arial"/>
          <w:sz w:val="13"/>
          <w:szCs w:val="13"/>
          <w:color w:val="auto"/>
        </w:rPr>
        <w:t>Foreign currency translation losses, net Net loss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September 30, 2021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Series B</w:t>
            </w:r>
          </w:p>
        </w:tc>
        <w:tc>
          <w:tcPr>
            <w:tcW w:w="820" w:type="dxa"/>
            <w:vAlign w:val="bottom"/>
            <w:gridSpan w:val="2"/>
          </w:tcPr>
          <w:p>
            <w:pPr>
              <w:ind w:left="280"/>
              <w:spacing w:after="0"/>
              <w:rPr>
                <w:sz w:val="20"/>
                <w:szCs w:val="20"/>
                <w:color w:val="auto"/>
              </w:rPr>
            </w:pPr>
            <w:r>
              <w:rPr>
                <w:rFonts w:ascii="Arial" w:cs="Arial" w:eastAsia="Arial" w:hAnsi="Arial"/>
                <w:sz w:val="13"/>
                <w:szCs w:val="13"/>
                <w:b w:val="1"/>
                <w:bCs w:val="1"/>
                <w:color w:val="auto"/>
                <w:w w:val="99"/>
              </w:rPr>
              <w:t>Series C</w:t>
            </w:r>
          </w:p>
        </w:tc>
        <w:tc>
          <w:tcPr>
            <w:tcW w:w="24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00" w:type="dxa"/>
            <w:vAlign w:val="bottom"/>
          </w:tcPr>
          <w:p>
            <w:pPr>
              <w:spacing w:after="0"/>
              <w:rPr>
                <w:sz w:val="15"/>
                <w:szCs w:val="15"/>
                <w:color w:val="auto"/>
              </w:rPr>
            </w:pPr>
          </w:p>
        </w:tc>
        <w:tc>
          <w:tcPr>
            <w:tcW w:w="70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13"/>
                <w:szCs w:val="13"/>
                <w:b w:val="1"/>
                <w:bCs w:val="1"/>
                <w:color w:val="auto"/>
                <w:w w:val="96"/>
              </w:rPr>
              <w:t>Total</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5"/>
                <w:szCs w:val="15"/>
                <w:color w:val="auto"/>
              </w:rPr>
            </w:pPr>
          </w:p>
        </w:tc>
        <w:tc>
          <w:tcPr>
            <w:tcW w:w="720" w:type="dxa"/>
            <w:vAlign w:val="bottom"/>
            <w:vMerge w:val="restart"/>
          </w:tcPr>
          <w:p>
            <w:pPr>
              <w:jc w:val="center"/>
              <w:ind w:right="7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Convertible</w:t>
            </w:r>
          </w:p>
        </w:tc>
        <w:tc>
          <w:tcPr>
            <w:tcW w:w="1060" w:type="dxa"/>
            <w:vAlign w:val="bottom"/>
            <w:gridSpan w:val="3"/>
            <w:vMerge w:val="restart"/>
          </w:tcPr>
          <w:p>
            <w:pPr>
              <w:jc w:val="right"/>
              <w:ind w:right="133"/>
              <w:spacing w:after="0"/>
              <w:rPr>
                <w:sz w:val="20"/>
                <w:szCs w:val="20"/>
                <w:color w:val="auto"/>
              </w:rPr>
            </w:pPr>
            <w:r>
              <w:rPr>
                <w:rFonts w:ascii="Arial" w:cs="Arial" w:eastAsia="Arial" w:hAnsi="Arial"/>
                <w:sz w:val="13"/>
                <w:szCs w:val="13"/>
                <w:b w:val="1"/>
                <w:bCs w:val="1"/>
                <w:color w:val="auto"/>
              </w:rPr>
              <w:t>Convertible</w:t>
            </w:r>
          </w:p>
        </w:tc>
        <w:tc>
          <w:tcPr>
            <w:tcW w:w="1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Convertible</w:t>
            </w:r>
          </w:p>
        </w:tc>
        <w:tc>
          <w:tcPr>
            <w:tcW w:w="10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2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7"/>
              </w:rPr>
              <w:t>Convertible</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34"/>
        </w:trPr>
        <w:tc>
          <w:tcPr>
            <w:tcW w:w="11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4"/>
              </w:rPr>
              <w:t>Preferred Stock</w:t>
            </w:r>
          </w:p>
        </w:tc>
        <w:tc>
          <w:tcPr>
            <w:tcW w:w="106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Preferred Stock</w:t>
            </w:r>
          </w:p>
        </w:tc>
        <w:tc>
          <w:tcPr>
            <w:tcW w:w="11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2"/>
              </w:rPr>
              <w:t>Preferred Stock</w:t>
            </w:r>
          </w:p>
        </w:tc>
        <w:tc>
          <w:tcPr>
            <w:tcW w:w="800" w:type="dxa"/>
            <w:vAlign w:val="bottom"/>
            <w:tcBorders>
              <w:right w:val="single" w:sz="8" w:color="auto"/>
            </w:tcBorders>
            <w:gridSpan w:val="2"/>
            <w:vMerge w:val="continue"/>
          </w:tcPr>
          <w:p>
            <w:pPr>
              <w:spacing w:after="0"/>
              <w:rPr>
                <w:sz w:val="11"/>
                <w:szCs w:val="11"/>
                <w:color w:val="auto"/>
              </w:rPr>
            </w:pPr>
          </w:p>
        </w:tc>
        <w:tc>
          <w:tcPr>
            <w:tcW w:w="1060" w:type="dxa"/>
            <w:vAlign w:val="bottom"/>
            <w:gridSpan w:val="3"/>
          </w:tcPr>
          <w:p>
            <w:pPr>
              <w:jc w:val="right"/>
              <w:ind w:right="13"/>
              <w:spacing w:after="0" w:line="13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right w:val="single" w:sz="8" w:color="auto"/>
            </w:tcBorders>
          </w:tcPr>
          <w:p>
            <w:pPr>
              <w:jc w:val="center"/>
              <w:ind w:right="54"/>
              <w:spacing w:after="0"/>
              <w:rPr>
                <w:sz w:val="20"/>
                <w:szCs w:val="20"/>
                <w:color w:val="auto"/>
              </w:rPr>
            </w:pPr>
            <w:r>
              <w:rPr>
                <w:rFonts w:ascii="Arial" w:cs="Arial" w:eastAsia="Arial" w:hAnsi="Arial"/>
                <w:sz w:val="4"/>
                <w:szCs w:val="4"/>
                <w:b w:val="1"/>
                <w:bCs w:val="1"/>
                <w:color w:val="auto"/>
              </w:rPr>
              <w:t>Preferred</w:t>
            </w:r>
          </w:p>
        </w:tc>
        <w:tc>
          <w:tcPr>
            <w:tcW w:w="4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jc w:val="right"/>
              <w:ind w:right="114"/>
              <w:spacing w:after="0"/>
              <w:rPr>
                <w:sz w:val="20"/>
                <w:szCs w:val="20"/>
                <w:color w:val="auto"/>
              </w:rPr>
            </w:pPr>
            <w:r>
              <w:rPr>
                <w:rFonts w:ascii="Arial" w:cs="Arial" w:eastAsia="Arial" w:hAnsi="Arial"/>
                <w:sz w:val="4"/>
                <w:szCs w:val="4"/>
                <w:b w:val="1"/>
                <w:bCs w:val="1"/>
                <w:color w:val="auto"/>
              </w:rPr>
              <w:t>Paid-In</w:t>
            </w:r>
          </w:p>
        </w:tc>
        <w:tc>
          <w:tcPr>
            <w:tcW w:w="880" w:type="dxa"/>
            <w:vAlign w:val="bottom"/>
            <w:gridSpan w:val="2"/>
            <w:vMerge w:val="continue"/>
          </w:tcPr>
          <w:p>
            <w:pPr>
              <w:spacing w:after="0"/>
              <w:rPr>
                <w:sz w:val="5"/>
                <w:szCs w:val="5"/>
                <w:color w:val="auto"/>
              </w:rPr>
            </w:pPr>
          </w:p>
        </w:tc>
        <w:tc>
          <w:tcPr>
            <w:tcW w:w="980" w:type="dxa"/>
            <w:vAlign w:val="bottom"/>
            <w:gridSpan w:val="2"/>
          </w:tcPr>
          <w:p>
            <w:pPr>
              <w:jc w:val="center"/>
              <w:spacing w:after="0"/>
              <w:rPr>
                <w:sz w:val="20"/>
                <w:szCs w:val="20"/>
                <w:color w:val="auto"/>
              </w:rPr>
            </w:pPr>
            <w:r>
              <w:rPr>
                <w:rFonts w:ascii="Arial" w:cs="Arial" w:eastAsia="Arial" w:hAnsi="Arial"/>
                <w:sz w:val="4"/>
                <w:szCs w:val="4"/>
                <w:b w:val="1"/>
                <w:bCs w:val="1"/>
                <w:color w:val="auto"/>
              </w:rPr>
              <w:t>Comprehensive</w:t>
            </w:r>
          </w:p>
        </w:tc>
        <w:tc>
          <w:tcPr>
            <w:tcW w:w="160" w:type="dxa"/>
            <w:vAlign w:val="bottom"/>
          </w:tcPr>
          <w:p>
            <w:pPr>
              <w:spacing w:after="0"/>
              <w:rPr>
                <w:sz w:val="5"/>
                <w:szCs w:val="5"/>
                <w:color w:val="auto"/>
              </w:rPr>
            </w:pPr>
          </w:p>
        </w:tc>
        <w:tc>
          <w:tcPr>
            <w:tcW w:w="720" w:type="dxa"/>
            <w:vAlign w:val="bottom"/>
          </w:tcPr>
          <w:p>
            <w:pPr>
              <w:jc w:val="center"/>
              <w:ind w:right="74"/>
              <w:spacing w:after="0"/>
              <w:rPr>
                <w:sz w:val="20"/>
                <w:szCs w:val="20"/>
                <w:color w:val="auto"/>
              </w:rPr>
            </w:pPr>
            <w:r>
              <w:rPr>
                <w:rFonts w:ascii="Arial" w:cs="Arial" w:eastAsia="Arial" w:hAnsi="Arial"/>
                <w:sz w:val="4"/>
                <w:szCs w:val="4"/>
                <w:b w:val="1"/>
                <w:bCs w:val="1"/>
                <w:color w:val="auto"/>
              </w:rPr>
              <w:t>Equity</w:t>
            </w: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620" w:type="dxa"/>
            <w:vAlign w:val="bottom"/>
          </w:tcPr>
          <w:p>
            <w:pPr>
              <w:jc w:val="right"/>
              <w:ind w:right="15"/>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w w:val="96"/>
              </w:rPr>
              <w:t>Shares</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5"/>
              </w:rPr>
              <w:t>Stock</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5"/>
                <w:szCs w:val="15"/>
                <w:color w:val="auto"/>
              </w:rPr>
            </w:pPr>
          </w:p>
        </w:tc>
        <w:tc>
          <w:tcPr>
            <w:tcW w:w="720" w:type="dxa"/>
            <w:vAlign w:val="bottom"/>
          </w:tcPr>
          <w:p>
            <w:pPr>
              <w:jc w:val="center"/>
              <w:ind w:right="74"/>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0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$ 745,046</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163,264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908,310</w:t>
            </w:r>
          </w:p>
        </w:tc>
        <w:tc>
          <w:tcPr>
            <w:tcW w:w="480" w:type="dxa"/>
            <w:vAlign w:val="bottom"/>
          </w:tcPr>
          <w:p>
            <w:pPr>
              <w:jc w:val="right"/>
              <w:spacing w:after="0"/>
              <w:rPr>
                <w:sz w:val="20"/>
                <w:szCs w:val="20"/>
                <w:color w:val="auto"/>
              </w:rPr>
            </w:pPr>
            <w:r>
              <w:rPr>
                <w:rFonts w:ascii="Arial" w:cs="Arial" w:eastAsia="Arial" w:hAnsi="Arial"/>
                <w:sz w:val="13"/>
                <w:szCs w:val="13"/>
                <w:color w:val="auto"/>
              </w:rPr>
              <w:t>43,074</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40,564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(431,264)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(389,154)</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45</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223</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15,105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15,105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(15,105)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(15,105)</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(15,995)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(15,995)</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spacing w:after="0"/>
              <w:rPr>
                <w:sz w:val="20"/>
                <w:szCs w:val="20"/>
                <w:color w:val="auto"/>
              </w:rPr>
            </w:pPr>
            <w:r>
              <w:rPr>
                <w:rFonts w:ascii="Arial" w:cs="Arial" w:eastAsia="Arial" w:hAnsi="Arial"/>
                <w:sz w:val="13"/>
                <w:szCs w:val="13"/>
                <w:color w:val="auto"/>
              </w:rPr>
              <w:t>760,151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163,264</w:t>
            </w:r>
          </w:p>
        </w:tc>
        <w:tc>
          <w:tcPr>
            <w:tcW w:w="100" w:type="dxa"/>
            <w:vAlign w:val="bottom"/>
          </w:tcPr>
          <w:p>
            <w:pPr>
              <w:spacing w:after="0"/>
              <w:rPr>
                <w:sz w:val="15"/>
                <w:szCs w:val="15"/>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923,415</w:t>
            </w:r>
          </w:p>
        </w:tc>
        <w:tc>
          <w:tcPr>
            <w:tcW w:w="480" w:type="dxa"/>
            <w:vAlign w:val="bottom"/>
          </w:tcPr>
          <w:p>
            <w:pPr>
              <w:jc w:val="right"/>
              <w:spacing w:after="0"/>
              <w:rPr>
                <w:sz w:val="20"/>
                <w:szCs w:val="20"/>
                <w:color w:val="auto"/>
              </w:rPr>
            </w:pPr>
            <w:r>
              <w:rPr>
                <w:rFonts w:ascii="Arial" w:cs="Arial" w:eastAsia="Arial" w:hAnsi="Arial"/>
                <w:sz w:val="13"/>
                <w:szCs w:val="13"/>
                <w:color w:val="auto"/>
              </w:rPr>
              <w:t>43,342</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27,513</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(447,259)</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2,089</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(417,657)</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7,857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109,782</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109,782</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571</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11,201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(24,334)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(24,334)</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color w:val="auto"/>
              </w:rPr>
              <w:t>72,226</w:t>
            </w:r>
          </w:p>
        </w:tc>
        <w:tc>
          <w:tcPr>
            <w:tcW w:w="620" w:type="dxa"/>
            <w:vAlign w:val="bottom"/>
          </w:tcPr>
          <w:p>
            <w:pPr>
              <w:jc w:val="right"/>
              <w:spacing w:after="0"/>
              <w:rPr>
                <w:sz w:val="20"/>
                <w:szCs w:val="20"/>
                <w:color w:val="auto"/>
              </w:rPr>
            </w:pPr>
            <w:r>
              <w:rPr>
                <w:rFonts w:ascii="Arial" w:cs="Arial" w:eastAsia="Arial" w:hAnsi="Arial"/>
                <w:sz w:val="13"/>
                <w:szCs w:val="13"/>
                <w:color w:val="auto"/>
              </w:rPr>
              <w:t>760,151</w:t>
            </w:r>
          </w:p>
        </w:tc>
        <w:tc>
          <w:tcPr>
            <w:tcW w:w="480" w:type="dxa"/>
            <w:vAlign w:val="bottom"/>
          </w:tcPr>
          <w:p>
            <w:pPr>
              <w:jc w:val="right"/>
              <w:spacing w:after="0"/>
              <w:rPr>
                <w:sz w:val="20"/>
                <w:szCs w:val="20"/>
                <w:color w:val="auto"/>
              </w:rPr>
            </w:pPr>
            <w:r>
              <w:rPr>
                <w:rFonts w:ascii="Arial" w:cs="Arial" w:eastAsia="Arial" w:hAnsi="Arial"/>
                <w:sz w:val="13"/>
                <w:szCs w:val="13"/>
                <w:color w:val="auto"/>
              </w:rPr>
              <w:t>7,857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109,782</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163,264</w:t>
            </w:r>
          </w:p>
        </w:tc>
        <w:tc>
          <w:tcPr>
            <w:tcW w:w="100" w:type="dxa"/>
            <w:vAlign w:val="bottom"/>
          </w:tcPr>
          <w:p>
            <w:pPr>
              <w:spacing w:after="0"/>
              <w:rPr>
                <w:sz w:val="15"/>
                <w:szCs w:val="15"/>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1,033,197</w:t>
            </w:r>
          </w:p>
        </w:tc>
        <w:tc>
          <w:tcPr>
            <w:tcW w:w="480" w:type="dxa"/>
            <w:vAlign w:val="bottom"/>
          </w:tcPr>
          <w:p>
            <w:pPr>
              <w:jc w:val="right"/>
              <w:spacing w:after="0"/>
              <w:rPr>
                <w:sz w:val="20"/>
                <w:szCs w:val="20"/>
                <w:color w:val="auto"/>
              </w:rPr>
            </w:pPr>
            <w:r>
              <w:rPr>
                <w:rFonts w:ascii="Arial" w:cs="Arial" w:eastAsia="Arial" w:hAnsi="Arial"/>
                <w:sz w:val="13"/>
                <w:szCs w:val="13"/>
                <w:color w:val="auto"/>
              </w:rPr>
              <w:t>43,997</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39,305</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(471,593)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2,458</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(429,830)</w:t>
            </w:r>
          </w:p>
        </w:tc>
        <w:tc>
          <w:tcPr>
            <w:tcW w:w="0" w:type="dxa"/>
            <w:vAlign w:val="bottom"/>
          </w:tcPr>
          <w:p>
            <w:pPr>
              <w:spacing w:after="0"/>
              <w:rPr>
                <w:sz w:val="1"/>
                <w:szCs w:val="1"/>
                <w:color w:val="auto"/>
              </w:rPr>
            </w:pPr>
          </w:p>
        </w:tc>
      </w:tr>
      <w:tr>
        <w:trPr>
          <w:trHeight w:val="540"/>
        </w:trPr>
        <w:tc>
          <w:tcPr>
            <w:tcW w:w="500" w:type="dxa"/>
            <w:vAlign w:val="bottom"/>
          </w:tcPr>
          <w:p>
            <w:pPr>
              <w:jc w:val="right"/>
              <w:spacing w:after="0"/>
              <w:rPr>
                <w:sz w:val="20"/>
                <w:szCs w:val="20"/>
                <w:color w:val="auto"/>
              </w:rPr>
            </w:pPr>
            <w:r>
              <w:rPr>
                <w:rFonts w:ascii="Arial" w:cs="Arial" w:eastAsia="Arial" w:hAnsi="Arial"/>
                <w:sz w:val="13"/>
                <w:szCs w:val="13"/>
                <w:color w:val="auto"/>
                <w:w w:val="94"/>
              </w:rPr>
              <w:t>(72,226)</w:t>
            </w:r>
          </w:p>
        </w:tc>
        <w:tc>
          <w:tcPr>
            <w:tcW w:w="620" w:type="dxa"/>
            <w:vAlign w:val="bottom"/>
          </w:tcPr>
          <w:p>
            <w:pPr>
              <w:jc w:val="right"/>
              <w:spacing w:after="0"/>
              <w:rPr>
                <w:sz w:val="20"/>
                <w:szCs w:val="20"/>
                <w:color w:val="auto"/>
              </w:rPr>
            </w:pPr>
            <w:r>
              <w:rPr>
                <w:rFonts w:ascii="Arial" w:cs="Arial" w:eastAsia="Arial" w:hAnsi="Arial"/>
                <w:sz w:val="13"/>
                <w:szCs w:val="13"/>
                <w:color w:val="auto"/>
              </w:rPr>
              <w:t>(760,151)</w:t>
            </w:r>
          </w:p>
        </w:tc>
        <w:tc>
          <w:tcPr>
            <w:tcW w:w="1560" w:type="dxa"/>
            <w:vAlign w:val="bottom"/>
            <w:gridSpan w:val="4"/>
          </w:tcPr>
          <w:p>
            <w:pPr>
              <w:ind w:left="80"/>
              <w:spacing w:after="0"/>
              <w:rPr>
                <w:sz w:val="20"/>
                <w:szCs w:val="20"/>
                <w:color w:val="auto"/>
              </w:rPr>
            </w:pPr>
            <w:r>
              <w:rPr>
                <w:rFonts w:ascii="Arial" w:cs="Arial" w:eastAsia="Arial" w:hAnsi="Arial"/>
                <w:sz w:val="13"/>
                <w:szCs w:val="13"/>
                <w:color w:val="auto"/>
                <w:w w:val="95"/>
              </w:rPr>
              <w:t>(7,857) (109,782) (44,958)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(163,264)</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3"/>
              </w:rPr>
              <w:t>(1,033,197)</w:t>
            </w:r>
          </w:p>
        </w:tc>
        <w:tc>
          <w:tcPr>
            <w:tcW w:w="480" w:type="dxa"/>
            <w:vAlign w:val="bottom"/>
          </w:tcPr>
          <w:p>
            <w:pPr>
              <w:jc w:val="right"/>
              <w:spacing w:after="0"/>
              <w:rPr>
                <w:sz w:val="20"/>
                <w:szCs w:val="20"/>
                <w:color w:val="auto"/>
              </w:rPr>
            </w:pPr>
            <w:r>
              <w:rPr>
                <w:rFonts w:ascii="Arial" w:cs="Arial" w:eastAsia="Arial" w:hAnsi="Arial"/>
                <w:sz w:val="13"/>
                <w:szCs w:val="13"/>
                <w:color w:val="auto"/>
                <w:w w:val="89"/>
              </w:rPr>
              <w:t>125,041</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1,033,195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1,033,197</w:t>
            </w:r>
          </w:p>
        </w:tc>
        <w:tc>
          <w:tcPr>
            <w:tcW w:w="0" w:type="dxa"/>
            <w:vAlign w:val="bottom"/>
          </w:tcPr>
          <w:p>
            <w:pPr>
              <w:spacing w:after="0"/>
              <w:rPr>
                <w:sz w:val="1"/>
                <w:szCs w:val="1"/>
                <w:color w:val="auto"/>
              </w:rPr>
            </w:pPr>
          </w:p>
        </w:tc>
      </w:tr>
      <w:tr>
        <w:trPr>
          <w:trHeight w:val="702"/>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21,882</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340,884</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340,884</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4,412</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75,000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4,745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4,745</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(3,430)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(36,906)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(36,906)</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73"/>
              <w:spacing w:after="0"/>
              <w:rPr>
                <w:sz w:val="20"/>
                <w:szCs w:val="20"/>
                <w:color w:val="auto"/>
              </w:rPr>
            </w:pPr>
            <w:r>
              <w:rPr>
                <w:rFonts w:ascii="Arial" w:cs="Arial" w:eastAsia="Arial" w:hAnsi="Arial"/>
                <w:sz w:val="13"/>
                <w:szCs w:val="13"/>
                <w:color w:val="auto"/>
              </w:rPr>
              <w:t>— $</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9"/>
              </w:rPr>
              <w:t>195,356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1,493,266</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(508,499)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(972)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983,797</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-4242435</wp:posOffset>
            </wp:positionV>
            <wp:extent cx="70123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-3865245</wp:posOffset>
            </wp:positionV>
            <wp:extent cx="701230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-3590925</wp:posOffset>
            </wp:positionV>
            <wp:extent cx="701230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-3213735</wp:posOffset>
            </wp:positionV>
            <wp:extent cx="70123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-2931160</wp:posOffset>
            </wp:positionV>
            <wp:extent cx="701230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24003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-2451100</wp:posOffset>
            </wp:positionV>
            <wp:extent cx="70123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-2176780</wp:posOffset>
            </wp:positionV>
            <wp:extent cx="70123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-1902460</wp:posOffset>
            </wp:positionV>
            <wp:extent cx="701230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-1413510</wp:posOffset>
            </wp:positionV>
            <wp:extent cx="701230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2305" cy="4457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-727710</wp:posOffset>
            </wp:positionV>
            <wp:extent cx="701230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-453390</wp:posOffset>
            </wp:positionV>
            <wp:extent cx="701230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-179070</wp:posOffset>
            </wp:positionV>
            <wp:extent cx="701230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00"/>
            <w:col w:w="8680"/>
          </w:cols>
          <w:pgMar w:left="420" w:top="1440" w:right="4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(42,043)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(77,235)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28,714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73,917</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Capitalized software abandonment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and non-cash interest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Other non-cash items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(11,722)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(7,047)</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(11,526)</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Accrued expenses and other</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(6,802)</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Other long-term liabilities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13,673</w:t>
            </w:r>
          </w:p>
        </w:tc>
      </w:tr>
      <w:tr>
        <w:trPr>
          <w:trHeight w:val="270"/>
        </w:trPr>
        <w:tc>
          <w:tcPr>
            <w:tcW w:w="7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 of software costs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Acquisition of companies, net of cash acquired</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(183,242)</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(194,239)</w:t>
            </w:r>
          </w:p>
        </w:tc>
      </w:tr>
      <w:tr>
        <w:trPr>
          <w:trHeight w:val="27"/>
        </w:trPr>
        <w:tc>
          <w:tcPr>
            <w:tcW w:w="7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Payments on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(837,082)</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496,466</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Deferred financing costs</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Exercise of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Proceeds from preferred stock issuance, net</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109,782</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common stock issuance, net</w:t>
            </w: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415,884</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Proceeds from common stock issuance for Employee Stock Purchase Plan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(21,863)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(24,559)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180,514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7800" w:type="dxa"/>
            <w:vAlign w:val="bottom"/>
          </w:tcPr>
          <w:p>
            <w:pPr>
              <w:ind w:left="320"/>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97,559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98,338</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End of period</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780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25,090</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Rollover equity in consideration of net assets acquired</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of Series B convertible preferred stock to redemption value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EverCommerce Inc. and subsidiaries (the “Company” or “EverCommerce”) is a leading provider of integrated software-as-a-service (“SaaS”) solutions or services for service-based small- and medium-sized businesses (“SMBs”). Our platform spans across the full lifecycle of interactions between consumers and service professionals with vertical-specific applications. Today, the Company serves over 600,000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was incorporated in Delaware on September 29, 2016, and began operations on October 17, 2016 (Inception). The Company is headquartered in Denver, Colorado, and has operations across the United States, Canada, Jordan, United Kingdom, Australia and New Zealand. The Company changed its name from PaySimple Holdings, Inc. to EverCommerce Inc. as of December 14,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2021 and the related notes (“Annual Report on Form 10-K”). The December 31, 2021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nine months ended September 30, 2022 from those disclosed in the annual consolidated financial statements for the year ended December 31, 2021 and the related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for the three and nine months ended September 30, 2022 are not necessarily indicative of the results expected for the full year ending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 calculation of stock-based compensation, valuation of intangible assets and goodwill and useful lives of tangible and intangible assets,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intended to improve financial reporting about leasing transactions. The ASU affects all companies that lease assets such as real estate and equipment for a period for more than 12 months, and will require organizations that lease assets to recognize on the balance sheet the assets and liabilities for the rights and obligations created by those leases. The updated standard will be effective for annual reporting periods beginning after December 15, 2021 and interim periods the following year. The Company will adopt this standard in the fourth quarter of 2022. Based on management’s current assessment, the impact of adoption will result in an additional right-of-use asset and corresponding lease liability presented on the consolidated balance sheet, largely comprised of its future real estate lease obligations along with any embedded leases in service contracts. Based on our assessment through September 30, 2022, we expect no material impact to the consolidated statements of operations and comprehensive loss; however, management’s analysis of the impact of adoption is not complete.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the measurement and recognition of expected credit losses for financial assets held at amortized cost, which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accounts receivable and contract assets. This updated standard will be effective for annual reporting periods beginning after December 15, 2022. The Company is currently evaluating the impact the adoption of this standard will have on its financial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Accounting for Contract Assets and Contract Liabilities from Contracts with Customers</w:t>
      </w:r>
      <w:r>
        <w:rPr>
          <w:rFonts w:ascii="Arial" w:cs="Arial" w:eastAsia="Arial" w:hAnsi="Arial"/>
          <w:sz w:val="18"/>
          <w:szCs w:val="18"/>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will be effective for annual reporting periods beginning after December 15, 2022. Early adoption is permitted. The impact of adoption is unknown as it will be based on any potential acquisitions consummated in the year of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and in the nine months ended September 30, 2021, the Company completed five and four business acquisitions, respectively,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condensed consolidated statements of operations and comprehensive loss include $8.4 million of acquisition related transaction costs in general and administrative for acquisitions consummated in 2021, with $4.1 million and $6.8 million incurred in the three and nine months ended September 30, 2021, respectively.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consideration related to certain 2021 acquisitions is considered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Briostack</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PulseM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MDTech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Timely</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DrChrono</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24"/>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5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3"/>
        </w:trPr>
        <w:tc>
          <w:tcPr>
            <w:tcW w:w="4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366,361</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Rollover equity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6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367,087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trade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3,362</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Deposits and other long-term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Intangible—developed technology</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20,874</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Intangible—customer relationships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105,946</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Intangible—trade name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Intangible—non-compete agreements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255,723</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Deferred tax asset, net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(2,784)</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Deferred tax liability, net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(24,741)</w:t>
            </w:r>
          </w:p>
        </w:tc>
      </w:tr>
      <w:tr>
        <w:trPr>
          <w:trHeight w:val="24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43"/>
        </w:trPr>
        <w:tc>
          <w:tcPr>
            <w:tcW w:w="4080" w:type="dxa"/>
            <w:vAlign w:val="bottom"/>
          </w:tcPr>
          <w:p>
            <w:pPr>
              <w:ind w:left="240"/>
              <w:spacing w:after="0"/>
              <w:rPr>
                <w:sz w:val="20"/>
                <w:szCs w:val="20"/>
                <w:color w:val="auto"/>
              </w:rPr>
            </w:pPr>
            <w:r>
              <w:rPr>
                <w:rFonts w:ascii="Arial" w:cs="Arial" w:eastAsia="Arial" w:hAnsi="Arial"/>
                <w:sz w:val="16"/>
                <w:szCs w:val="16"/>
                <w:color w:val="auto"/>
              </w:rPr>
              <w:t>Total 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367,087</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Briostack</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finalized the fair value of the shares at $0.7 million in the quarter ended June 30, 2021 by applying a market approach. The fair value of the rollover equity is reflected in the total consideration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PulseM</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2021, the Company acquired 100% of the interest of Speetra, Inc. dba PulseM (“PulseM”), a provider of enterprise-level reputation management software for small businesses, for $34.4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MDTech</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2021, the Company acquired 100% of the interest of PM Ventures, LLC dba MDTech (“MDTech”), a provider of electronic charge capture solutions to physicians via its SaaS-based MD Coder application and suite of add-ons, for $15.8 million.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8, 2021, the Company acquired 100% of the interest of Timely Ltd. (“Timely”), a booking and business management software company, for $99.8 million. Timely is based in New Zealand and has operations in the United Kingdom and Australia, as well.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DrChrono</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18, 2021, the Company acquired 100% of the interest of DrChrono Inc. (“DrChrono”), an electronic health record and practice management provider, for $181.9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Acquisitions (unaudited)</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presents unaudited pro forma consolidated results of operations for the three and nine months ended September 30, 2022 and 2021, as if the aforementioned 2021 acquisitions had occurred as of January 1, 2021. The Company did not consummate any transactions during the three and nine months ended September 30, 2022; accordingly, no adjustments have been made to the results reported for that period. The pro forma information includes the business combination accounting effects resulting from these acquisitions, including interest expense of $4.9 million and $11.7 million for the three and nine months ended September 30, 2021, respectively, to account for funds borrowed earlier, issuance of our common stock at earlier dates which impacts the calculation of basic and diluted net loss per share, removal of transaction costs of $4.1 million and $6.8 million for the three and nine months ended September 30, 2021, respectively, and additional amortization expense of $1.8 million and $8.4 million for the three and nine months ended September 30, 2021, respectively, resulting from the amortization of intangible assets beginning as of January 1, 2021. We prepared the pro forma financial information for the combined entities for comparative purposes only, and the information is not indicative of what actual results would have been if the acquisitions had occurred at the beginning of the periods presented, nor is the information intended to represent or be indicative of future 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27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7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6"/>
          </w:tcPr>
          <w:p>
            <w:pPr>
              <w:spacing w:after="0"/>
              <w:rPr>
                <w:sz w:val="20"/>
                <w:szCs w:val="20"/>
                <w:color w:val="auto"/>
              </w:rPr>
            </w:pPr>
            <w:r>
              <w:rPr>
                <w:rFonts w:ascii="Arial" w:cs="Arial" w:eastAsia="Arial" w:hAnsi="Arial"/>
                <w:sz w:val="18"/>
                <w:szCs w:val="18"/>
                <w:i w:val="1"/>
                <w:iCs w:val="1"/>
                <w:color w:val="auto"/>
                <w:w w:val="92"/>
              </w:rPr>
              <w:t>(in thousands, except per share amounts)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gridSpan w:val="5"/>
          </w:tcPr>
          <w:p>
            <w:pPr>
              <w:ind w:left="860"/>
              <w:spacing w:after="0"/>
              <w:rPr>
                <w:sz w:val="20"/>
                <w:szCs w:val="20"/>
                <w:color w:val="auto"/>
              </w:rPr>
            </w:pPr>
            <w:r>
              <w:rPr>
                <w:rFonts w:ascii="Arial" w:cs="Arial" w:eastAsia="Arial" w:hAnsi="Arial"/>
                <w:sz w:val="18"/>
                <w:szCs w:val="18"/>
                <w:i w:val="1"/>
                <w:iCs w:val="1"/>
                <w:color w:val="auto"/>
              </w:rPr>
              <w:t>(unaudited)</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395,273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(94,003)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per share (see Note 10)</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(109,108)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5"/>
        </w:trPr>
        <w:tc>
          <w:tcPr>
            <w:tcW w:w="518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81"/>
        </w:trPr>
        <w:tc>
          <w:tcPr>
            <w:tcW w:w="5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pattern of recognition (timing of transfer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13,743</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40,112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37,324</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317,166</w:t>
            </w: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354,490</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146,492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118,721</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418,510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325,179</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29,311</w:t>
            </w: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354,490</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Supplemental balance sheet information related to contracts from customers as of:</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3"/>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49,762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13,782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10,176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7"/>
        </w:trPr>
        <w:tc>
          <w:tcPr>
            <w:tcW w:w="7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rights to consideration in exchange for products or services that have been transferred by 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unconditional and only the passage of time is required before payment is due.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Contract liabilities</w:t>
      </w:r>
      <w:r>
        <w:rPr>
          <w:rFonts w:ascii="Arial" w:cs="Arial" w:eastAsia="Arial" w:hAnsi="Arial"/>
          <w:sz w:val="17"/>
          <w:szCs w:val="17"/>
          <w:color w:val="auto"/>
        </w:rPr>
        <w:t>: Contract liabilities represent our obligation to transfer products or services to a customer for which consideration has been received in</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of the satisfaction of performance obligations. Short-term contract liabilities are included within deferred revenue on the consolidated balance sheets. Long-term contract liabilities are included within long-term deferred revenue on the consolidated balance sheets. Revenue recognized from the contract liability balance at December 31, 2021 was $20.9 million for the nine months ended September 30,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September 30, 2022, was $22.3 million, which is comprised of contracts where the contract term under ASC 606 is in excess of one year. The Company expects to recognize approximately 59% of its remaining performance obligations as revenue within the next year, 27% of its remaining performance obligations as revenue the subsequent year, 10% of its remaining performance obligations as revenue in the third year, and the remainder during the two year period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5 years, which corresponds with the useful life of the related capitalized software. Short-term assets were $6.2 million and $4.8 million at September 30, 2022 and December 31, 2021, respectively, and long-term assets were $14.3 million and $11.9 million at September 30, 2022 and December 31, 2021, respectively. The Company recorded amortization expense within sales and marketing on the condensed consolidated statements of operations and comprehensive loss of $1.1 million and $0.7 million for the three months ended September 30, 2022 and 2021, respectively, and $3.1 million and $2.0 million for the nine months ended September 30, 2022 and 2021, respectively. The Company recorded amortization expense within cost of revenues on the condensed consolidated statements of operations and comprehensive loss of $0.4 million and $0.3 million for the three months ended September 30, 2022 and 2021, respectively, and $1.2 million and $0.7 million for the nine months ended September 30, 2022 and 2021, respectively.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Arial" w:cs="Arial" w:eastAsia="Arial" w:hAnsi="Arial"/>
          <w:sz w:val="18"/>
          <w:szCs w:val="18"/>
          <w:i w:val="1"/>
          <w:iCs w:val="1"/>
          <w:color w:val="auto"/>
        </w:rPr>
        <w:t>Accounting for Other Assets and Deferred Costs</w:t>
      </w:r>
      <w:r>
        <w:rPr>
          <w:rFonts w:ascii="Arial" w:cs="Arial" w:eastAsia="Arial" w:hAnsi="Arial"/>
          <w:sz w:val="18"/>
          <w:szCs w:val="18"/>
          <w:color w:val="auto"/>
        </w:rPr>
        <w:t xml:space="preserve"> (“ASC 340-40”). The Company has elected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 for shipping and handling activities as fulfillment activities and recognize the associated expense when the transfer of control of the product has occurred, as permitted under the shipping and handling activities practical expedient.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560" w:type="dxa"/>
            <w:vAlign w:val="bottom"/>
          </w:tcPr>
          <w:p>
            <w:pPr>
              <w:spacing w:after="0"/>
              <w:rPr>
                <w:sz w:val="20"/>
                <w:szCs w:val="20"/>
                <w:color w:val="auto"/>
              </w:rPr>
            </w:pPr>
            <w:r>
              <w:rPr>
                <w:rFonts w:ascii="Arial" w:cs="Arial" w:eastAsia="Arial" w:hAnsi="Arial"/>
                <w:sz w:val="18"/>
                <w:szCs w:val="18"/>
                <w:color w:val="auto"/>
              </w:rPr>
              <w:t>Goodwill activity consisted of the following for the nine months ended September 30, 2022 (in thousands):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921,416</w:t>
            </w:r>
          </w:p>
        </w:tc>
      </w:tr>
      <w:tr>
        <w:trPr>
          <w:trHeight w:val="270"/>
        </w:trPr>
        <w:tc>
          <w:tcPr>
            <w:tcW w:w="9560" w:type="dxa"/>
            <w:vAlign w:val="bottom"/>
          </w:tcPr>
          <w:p>
            <w:pPr>
              <w:ind w:left="140"/>
              <w:spacing w:after="0"/>
              <w:rPr>
                <w:sz w:val="20"/>
                <w:szCs w:val="20"/>
                <w:color w:val="auto"/>
              </w:rPr>
            </w:pPr>
            <w:r>
              <w:rPr>
                <w:rFonts w:ascii="Arial" w:cs="Arial" w:eastAsia="Arial" w:hAnsi="Arial"/>
                <w:sz w:val="18"/>
                <w:szCs w:val="18"/>
                <w:color w:val="auto"/>
              </w:rPr>
              <w:t>Measurement period adjustments</w:t>
            </w:r>
            <w:r>
              <w:rPr>
                <w:rFonts w:ascii="Arial" w:cs="Arial" w:eastAsia="Arial" w:hAnsi="Arial"/>
                <w:sz w:val="23"/>
                <w:szCs w:val="23"/>
                <w:color w:val="auto"/>
                <w:vertAlign w:val="superscript"/>
              </w:rPr>
              <w:t>(1)</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r>
      <w:tr>
        <w:trPr>
          <w:trHeight w:val="263"/>
        </w:trPr>
        <w:tc>
          <w:tcPr>
            <w:tcW w:w="956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907,243</w:t>
            </w:r>
          </w:p>
        </w:tc>
      </w:tr>
      <w:tr>
        <w:trPr>
          <w:trHeight w:val="21"/>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The $0.6 million of measurement period adjustments relates to acquisitions consummated during the year ended December 31,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Note 6. Intangible Assets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Intangible assets consisted of the following as of:</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 2022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r>
      <w:tr>
        <w:trPr>
          <w:trHeight w:val="234"/>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359,405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50,705</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430,233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r>
      <w:tr>
        <w:trPr>
          <w:trHeight w:val="234"/>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420,069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42,215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63,947</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245,879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$25.2 million and $24.2 million for the three months ended September 30, 2022 and 2021, respectively, and $75.7 million and $68.7 million for the nine months ended September 30, 2022 and 2021,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Note 7. Property and Equipment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780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23,890</w:t>
            </w: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63"/>
        </w:trPr>
        <w:tc>
          <w:tcPr>
            <w:tcW w:w="78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13,509</w:t>
            </w:r>
          </w:p>
        </w:tc>
      </w:tr>
      <w:tr>
        <w:trPr>
          <w:trHeight w:val="21"/>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$1.0 million for each of the three months ended September 30, 2022 and 2021 and $3.1 million and $2.8 million for the nine months ended September 30, 2022 and 2021, respectively.</w:t>
      </w:r>
    </w:p>
    <w:p>
      <w:pPr>
        <w:sectPr>
          <w:pgSz w:w="11900" w:h="16838" w:orient="portrait"/>
          <w:cols w:equalWidth="0" w:num="1">
            <w:col w:w="11240"/>
          </w:cols>
          <w:pgMar w:left="320" w:top="175"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2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3240" w:type="dxa"/>
            <w:vAlign w:val="bottom"/>
            <w:gridSpan w:val="4"/>
          </w:tcPr>
          <w:p>
            <w:pPr>
              <w:ind w:left="1000"/>
              <w:spacing w:after="0"/>
              <w:rPr>
                <w:sz w:val="20"/>
                <w:szCs w:val="20"/>
                <w:color w:val="auto"/>
              </w:rPr>
            </w:pPr>
            <w:r>
              <w:rPr>
                <w:rFonts w:ascii="Arial" w:cs="Arial" w:eastAsia="Arial" w:hAnsi="Arial"/>
                <w:sz w:val="18"/>
                <w:szCs w:val="18"/>
                <w:i w:val="1"/>
                <w:iCs w:val="1"/>
                <w:color w:val="auto"/>
              </w:rPr>
              <w:t>(in thousands)</w:t>
            </w:r>
          </w:p>
        </w:tc>
      </w:tr>
      <w:tr>
        <w:trPr>
          <w:trHeight w:val="324"/>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730"/>
              <w:spacing w:after="0"/>
              <w:rPr>
                <w:sz w:val="20"/>
                <w:szCs w:val="20"/>
                <w:color w:val="auto"/>
              </w:rPr>
            </w:pPr>
            <w:r>
              <w:rPr>
                <w:rFonts w:ascii="Arial" w:cs="Arial" w:eastAsia="Arial" w:hAnsi="Arial"/>
                <w:sz w:val="18"/>
                <w:szCs w:val="18"/>
                <w:color w:val="auto"/>
                <w:w w:val="90"/>
              </w:rPr>
              <w:t>42,746</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900"/>
              <w:spacing w:after="0"/>
              <w:rPr>
                <w:sz w:val="20"/>
                <w:szCs w:val="20"/>
                <w:color w:val="auto"/>
              </w:rPr>
            </w:pPr>
            <w:r>
              <w:rPr>
                <w:rFonts w:ascii="Arial" w:cs="Arial" w:eastAsia="Arial" w:hAnsi="Arial"/>
                <w:sz w:val="18"/>
                <w:szCs w:val="18"/>
                <w:color w:val="auto"/>
                <w:w w:val="98"/>
              </w:rPr>
              <w:t>31,960</w:t>
            </w:r>
          </w:p>
        </w:tc>
      </w:tr>
      <w:tr>
        <w:trPr>
          <w:trHeight w:val="270"/>
        </w:trPr>
        <w:tc>
          <w:tcPr>
            <w:tcW w:w="200" w:type="dxa"/>
            <w:vAlign w:val="bottom"/>
          </w:tcPr>
          <w:p>
            <w:pPr>
              <w:spacing w:after="0"/>
              <w:rPr>
                <w:sz w:val="23"/>
                <w:szCs w:val="23"/>
                <w:color w:val="auto"/>
              </w:rPr>
            </w:pPr>
          </w:p>
        </w:tc>
        <w:tc>
          <w:tcPr>
            <w:tcW w:w="1480" w:type="dxa"/>
            <w:vAlign w:val="bottom"/>
          </w:tcPr>
          <w:p>
            <w:pPr>
              <w:jc w:val="center"/>
              <w:ind w:left="710"/>
              <w:spacing w:after="0"/>
              <w:rPr>
                <w:sz w:val="20"/>
                <w:szCs w:val="20"/>
                <w:color w:val="auto"/>
              </w:rPr>
            </w:pPr>
            <w:r>
              <w:rPr>
                <w:rFonts w:ascii="Arial" w:cs="Arial" w:eastAsia="Arial" w:hAnsi="Arial"/>
                <w:sz w:val="18"/>
                <w:szCs w:val="18"/>
                <w:color w:val="auto"/>
                <w:w w:val="89"/>
              </w:rPr>
              <w:t>(11,646)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w w:val="94"/>
              </w:rPr>
              <w:t>(7,960)</w:t>
            </w:r>
          </w:p>
        </w:tc>
      </w:tr>
      <w:tr>
        <w:trPr>
          <w:trHeight w:val="27"/>
        </w:trPr>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730"/>
              <w:spacing w:after="0"/>
              <w:rPr>
                <w:sz w:val="20"/>
                <w:szCs w:val="20"/>
                <w:color w:val="auto"/>
              </w:rPr>
            </w:pPr>
            <w:r>
              <w:rPr>
                <w:rFonts w:ascii="Arial" w:cs="Arial" w:eastAsia="Arial" w:hAnsi="Arial"/>
                <w:sz w:val="18"/>
                <w:szCs w:val="18"/>
                <w:color w:val="auto"/>
                <w:w w:val="90"/>
              </w:rPr>
              <w:t>31,100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900"/>
              <w:spacing w:after="0"/>
              <w:rPr>
                <w:sz w:val="20"/>
                <w:szCs w:val="20"/>
                <w:color w:val="auto"/>
              </w:rPr>
            </w:pPr>
            <w:r>
              <w:rPr>
                <w:rFonts w:ascii="Arial" w:cs="Arial" w:eastAsia="Arial" w:hAnsi="Arial"/>
                <w:sz w:val="18"/>
                <w:szCs w:val="18"/>
                <w:color w:val="auto"/>
                <w:w w:val="98"/>
              </w:rPr>
              <w:t>24,000</w:t>
            </w:r>
          </w:p>
        </w:tc>
      </w:tr>
      <w:tr>
        <w:trPr>
          <w:trHeight w:val="27"/>
        </w:trPr>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440"/>
          </w:cols>
          <w:pgMar w:left="320" w:top="175" w:right="339" w:bottom="1440" w:gutter="0" w:footer="0" w:header="0"/>
          <w:type w:val="continuous"/>
        </w:sectPr>
      </w:pP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was $1.4 million and $0.9 million for the three months ended September 30, 2022 and 2021, respectively, and $3.7 million and $2.4 million for the nine months ended September 30, 2022 and 2021, respectively. During the three and nine months ended September 30, 2022 the Company recorded a charge to general and administrative on the accompanying condensed consolidated statements of operations and comprehensive loss for $0.1 million and $0.6 million, respectively, related to capitalized features no longer expected to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4"/>
          </w:tcPr>
          <w:p>
            <w:pPr>
              <w:spacing w:after="0"/>
              <w:rPr>
                <w:sz w:val="20"/>
                <w:szCs w:val="20"/>
                <w:color w:val="auto"/>
              </w:rPr>
            </w:pPr>
            <w:r>
              <w:rPr>
                <w:rFonts w:ascii="Arial" w:cs="Arial" w:eastAsia="Arial" w:hAnsi="Arial"/>
                <w:sz w:val="18"/>
                <w:szCs w:val="18"/>
                <w:b w:val="1"/>
                <w:bCs w:val="1"/>
                <w:color w:val="auto"/>
              </w:rPr>
              <w:t>Note 9. Long-Term Debt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gridSpan w:val="4"/>
          </w:tcPr>
          <w:p>
            <w:pPr>
              <w:spacing w:after="0"/>
              <w:rPr>
                <w:sz w:val="20"/>
                <w:szCs w:val="20"/>
                <w:color w:val="auto"/>
              </w:rPr>
            </w:pPr>
            <w:r>
              <w:rPr>
                <w:rFonts w:ascii="Arial" w:cs="Arial" w:eastAsia="Arial" w:hAnsi="Arial"/>
                <w:sz w:val="18"/>
                <w:szCs w:val="18"/>
                <w:color w:val="auto"/>
              </w:rPr>
              <w:t>Long-term debt consisted of the following as of:</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2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237"/>
        </w:trPr>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2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43"/>
        </w:trPr>
        <w:tc>
          <w:tcPr>
            <w:tcW w:w="7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Term notes with interest payable monthly, interest rate at Adjusted LIBOR or Alternative Base Rate, plus</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03"/>
        </w:trPr>
        <w:tc>
          <w:tcPr>
            <w:tcW w:w="2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 xml:space="preserve">an applicable margin </w:t>
            </w:r>
            <w:r>
              <w:rPr>
                <w:rFonts w:ascii="Arial" w:cs="Arial" w:eastAsia="Arial" w:hAnsi="Arial"/>
                <w:sz w:val="18"/>
                <w:szCs w:val="18"/>
                <w:color w:val="auto"/>
                <w:w w:val="90"/>
                <w:shd w:val="clear" w:color="auto" w:fill="CCEEFF"/>
              </w:rPr>
              <w:t>of 3.25%</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7"/>
              </w:rPr>
              <w:t>(5.77%</w:t>
            </w:r>
          </w:p>
        </w:tc>
        <w:tc>
          <w:tcPr>
            <w:tcW w:w="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at</w:t>
            </w: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September 30, 2022) quarterly principal payments of 0.25% of</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7"/>
        </w:trPr>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original principal balance with</w:t>
            </w: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balloon payment due July 2028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548,625</w:t>
            </w:r>
          </w:p>
        </w:tc>
      </w:tr>
      <w:tr>
        <w:trPr>
          <w:trHeight w:val="229"/>
        </w:trPr>
        <w:tc>
          <w:tcPr>
            <w:tcW w:w="7800" w:type="dxa"/>
            <w:vAlign w:val="bottom"/>
            <w:gridSpan w:val="4"/>
          </w:tcPr>
          <w:p>
            <w:pPr>
              <w:ind w:left="20"/>
              <w:spacing w:after="0"/>
              <w:rPr>
                <w:sz w:val="20"/>
                <w:szCs w:val="20"/>
                <w:color w:val="auto"/>
              </w:rPr>
            </w:pPr>
            <w:r>
              <w:rPr>
                <w:rFonts w:ascii="Arial" w:cs="Arial" w:eastAsia="Arial" w:hAnsi="Arial"/>
                <w:sz w:val="18"/>
                <w:szCs w:val="18"/>
                <w:color w:val="auto"/>
                <w:w w:val="92"/>
              </w:rPr>
              <w:t>Revolver with interest payable monthly, interest rate at Adjusted LIBOR or Alternative Base Rate, plus an</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gridSpan w:val="4"/>
          </w:tcPr>
          <w:p>
            <w:pPr>
              <w:ind w:left="180"/>
              <w:spacing w:after="0"/>
              <w:rPr>
                <w:sz w:val="20"/>
                <w:szCs w:val="20"/>
                <w:color w:val="auto"/>
              </w:rPr>
            </w:pPr>
            <w:r>
              <w:rPr>
                <w:rFonts w:ascii="Arial" w:cs="Arial" w:eastAsia="Arial" w:hAnsi="Arial"/>
                <w:sz w:val="18"/>
                <w:szCs w:val="18"/>
                <w:color w:val="auto"/>
                <w:w w:val="95"/>
              </w:rPr>
              <w:t>applicable margin of 3.25% (6.37% at September 30, 2022), and outstanding balance due July 2026</w:t>
            </w: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5"/>
              </w:rPr>
              <w:t>Subordinated unsecured promissory note related to acquisition of Service Nation, Inc., interest paid-in-</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kind, interest rate at 8.5% with balloon payment due September 2022</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29"/>
        </w:trPr>
        <w:tc>
          <w:tcPr>
            <w:tcW w:w="7800" w:type="dxa"/>
            <w:vAlign w:val="bottom"/>
            <w:gridSpan w:val="4"/>
          </w:tcPr>
          <w:p>
            <w:pPr>
              <w:ind w:left="20"/>
              <w:spacing w:after="0"/>
              <w:rPr>
                <w:sz w:val="20"/>
                <w:szCs w:val="20"/>
                <w:color w:val="auto"/>
              </w:rPr>
            </w:pPr>
            <w:r>
              <w:rPr>
                <w:rFonts w:ascii="Arial" w:cs="Arial" w:eastAsia="Arial" w:hAnsi="Arial"/>
                <w:sz w:val="18"/>
                <w:szCs w:val="18"/>
                <w:color w:val="auto"/>
                <w:w w:val="92"/>
              </w:rPr>
              <w:t>Subordinated unsecured promissory note related to acquisition of Technique Fitness, Inc. D/B/A Club OS,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gridSpan w:val="4"/>
          </w:tcPr>
          <w:p>
            <w:pPr>
              <w:ind w:left="180"/>
              <w:spacing w:after="0"/>
              <w:rPr>
                <w:sz w:val="20"/>
                <w:szCs w:val="20"/>
                <w:color w:val="auto"/>
              </w:rPr>
            </w:pPr>
            <w:r>
              <w:rPr>
                <w:rFonts w:ascii="Arial" w:cs="Arial" w:eastAsia="Arial" w:hAnsi="Arial"/>
                <w:sz w:val="18"/>
                <w:szCs w:val="18"/>
                <w:color w:val="auto"/>
              </w:rPr>
              <w:t>interest paid-in-kind, interest rate at 7% with balloon payment due December 2022</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2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Principal debt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554,146</w:t>
            </w:r>
          </w:p>
        </w:tc>
      </w:tr>
      <w:tr>
        <w:trPr>
          <w:trHeight w:val="243"/>
        </w:trPr>
        <w:tc>
          <w:tcPr>
            <w:tcW w:w="7800" w:type="dxa"/>
            <w:vAlign w:val="bottom"/>
            <w:gridSpan w:val="4"/>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(5,826)</w:t>
            </w:r>
          </w:p>
        </w:tc>
      </w:tr>
      <w:tr>
        <w:trPr>
          <w:trHeight w:val="27"/>
        </w:trPr>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Discount on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r>
      <w:tr>
        <w:trPr>
          <w:trHeight w:val="237"/>
        </w:trPr>
        <w:tc>
          <w:tcPr>
            <w:tcW w:w="7800" w:type="dxa"/>
            <w:vAlign w:val="bottom"/>
            <w:gridSpan w:val="4"/>
          </w:tcPr>
          <w:p>
            <w:pPr>
              <w:ind w:left="56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540,288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546,127</w:t>
            </w:r>
          </w:p>
        </w:tc>
      </w:tr>
      <w:tr>
        <w:trPr>
          <w:trHeight w:val="27"/>
        </w:trPr>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63"/>
        </w:trPr>
        <w:tc>
          <w:tcPr>
            <w:tcW w:w="7800" w:type="dxa"/>
            <w:vAlign w:val="bottom"/>
            <w:gridSpan w:val="4"/>
          </w:tcPr>
          <w:p>
            <w:pPr>
              <w:jc w:val="center"/>
              <w:ind w:right="5250"/>
              <w:spacing w:after="0"/>
              <w:rPr>
                <w:sz w:val="20"/>
                <w:szCs w:val="20"/>
                <w:color w:val="auto"/>
              </w:rPr>
            </w:pPr>
            <w:r>
              <w:rPr>
                <w:rFonts w:ascii="Arial" w:cs="Arial" w:eastAsia="Arial" w:hAnsi="Arial"/>
                <w:sz w:val="18"/>
                <w:szCs w:val="18"/>
                <w:color w:val="auto"/>
                <w:w w:val="94"/>
              </w:rPr>
              <w:t>Long-term portion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532,006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535,184</w:t>
            </w:r>
          </w:p>
        </w:tc>
      </w:tr>
      <w:tr>
        <w:trPr>
          <w:trHeight w:val="20"/>
        </w:trPr>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2021, the Company entered into a credit facility (“Credit Agreement”) that includes term loans in an aggregate principal amount of $350.0 million (“Initial Term Loans”), a revolver with a capacity of $190.0 million (“Revolver”) and a sub-limit of the Revolver available for letters of credit up to an aggregate face amount of $20.0 million. The Initial Term Loans were used to retire the Company’s debt arrangements that were outstanding prior to the Initial Public Offering (“IPO”). A loss on debt extinguishment related to the refinancing of the Company’s debt arrangements was recorded during the three months ended September 30, 2021 totaling $28.7 million.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2021, the Company had $35.0 million outstanding under the Revolver, and borrowed the remaining capacity of the Revolver to fund the acquisition of DrChrono. Subsequently in the same month, the Company received additional term loans in an aggregate principal amount of $200.0 million (together with the Initial Term Loans, the “Term Loans”), the proceeds of which were used to repay the outstanding principal balance of the Revolver of $190.0 million and for general corporate purposes. The Initial Term Loans, Revolver and Additional Term Loans are collectively referred to herein as the (“Credit Facilities”).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determines the fair value of long-term debt based on trading prices for its debt if available. As of September 30, 2022,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were approximately $520.1 million and $552.8 million as of September 30, 2022 and December 31, 2021, respectively.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1, 2021, the Company also had outstanding subordinated promissory notes (“Legacy Subordinated Notes”) that included paid-in-kind (“PIK”) interest. The interest on the Legacy Subordinated Notes is all PIK and is due upon maturity. Total PIK interest was $0.1 million for each of the three months ended September 30, 2022 and 2021, and $0.3 million for each of the nine months ended September 30, 2022 and 2021. The company repaid the outstanding principal and PIK interest upon maturity of one of the Legacy Subordinated Notes for $2.0 million and $1.0 million, respectively, during the three months ended September 30, 2022. The remaining Legacy Subordinated Notes outstanding principal and PIK interest will be repaid upon maturity during the fourth quarter of 2022.</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Credit Facilities are subject to certain financial and nonfinancial covenants and are secured by substantially all assets of the Company. As of September 30, 2022, the Company was in compliance with all of its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debt for the years ending December 31 are as follows as of September 30, 2022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2022 (remaining three months)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521,125</w:t>
            </w:r>
          </w:p>
        </w:tc>
      </w:tr>
      <w:tr>
        <w:trPr>
          <w:trHeight w:val="27"/>
        </w:trPr>
        <w:tc>
          <w:tcPr>
            <w:tcW w:w="9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547,336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5, 2021, the Company amended its Certificate of Incorporation (“Third Amended and Restated Certificate of Incorporation”) to increase the number of authorized shares of Preferred Stock from 125,000,000 shares to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 In May 2021, the Company issued 7.9 million shares of Series C for proceeds of $109.8 million net of issuance costs.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2026.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 of $15.1 million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Immediately prior to the closing of the IPO, the Company filed an Amended and Restated Certificate of Incorporation on July 6, 2021 with the Secretary of State of the State of Delaware to authorize the issuance up to 2,050,000,000 shares, par value $0.00001 per share, consisting of 2,000,000,000 shares of common stock and 50,000,000 shares of preferred stock. 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14, 2022, our Board of Directors approved a stock repurchase program (“The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The Company repurchased and retired 1,801,062 and 2,097,108 shares of common stock for $19.2 million and $21.9 million, including transaction fees, during the three and nine months ended September 30, 2022, respectively.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2021, as of January 1, 2022 the number of shares reserved for issuance under the 2021 Plan increased by 5.9 million.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board of directors adopted the 2021 Employee Stock Purchase Plan (the “ESPP”). For more information on the ESPP, refer to Note 11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stock unit (“RSU”) and stock option activity for the nine months ended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120" w:type="dxa"/>
            <w:vAlign w:val="bottom"/>
          </w:tcPr>
          <w:p>
            <w:pPr>
              <w:ind w:left="620"/>
              <w:spacing w:after="0"/>
              <w:rPr>
                <w:sz w:val="20"/>
                <w:szCs w:val="20"/>
                <w:color w:val="auto"/>
              </w:rPr>
            </w:pPr>
            <w:r>
              <w:rPr>
                <w:rFonts w:ascii="Arial" w:cs="Arial" w:eastAsia="Arial" w:hAnsi="Arial"/>
                <w:sz w:val="18"/>
                <w:szCs w:val="18"/>
                <w:b w:val="1"/>
                <w:bCs w:val="1"/>
                <w:color w:val="auto"/>
                <w:w w:val="99"/>
              </w:rPr>
              <w:t>RSUs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w w:val="91"/>
              </w:rPr>
              <w:t>Options</w:t>
            </w:r>
          </w:p>
        </w:tc>
      </w:tr>
      <w:tr>
        <w:trPr>
          <w:trHeight w:val="27"/>
        </w:trPr>
        <w:tc>
          <w:tcPr>
            <w:tcW w:w="78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i w:val="1"/>
                <w:iCs w:val="1"/>
                <w:color w:val="auto"/>
                <w:w w:val="91"/>
              </w:rPr>
              <w:t>(in thousands)</w:t>
            </w:r>
          </w:p>
        </w:tc>
        <w:tc>
          <w:tcPr>
            <w:tcW w:w="118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50"/>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11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17,638</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11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total unrecognized compensation expense was $22.2 million and $28.7 million related to outstanding restricted stock units and outstanding stock options,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classified in the unaudited condensed consolidated statements of operations and comprehensive loss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i w:val="1"/>
                <w:iCs w:val="1"/>
                <w:color w:val="auto"/>
                <w:w w:val="92"/>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6,143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15,936</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7,133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w w:val="90"/>
              </w:rPr>
              <w:t>Note 12. Net Loss Per Share Attributable to Common Stockholders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00" w:type="dxa"/>
            <w:vAlign w:val="bottom"/>
            <w:gridSpan w:val="10"/>
          </w:tcPr>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 as of:</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4"/>
                <w:szCs w:val="24"/>
                <w:color w:val="auto"/>
              </w:rPr>
            </w:pPr>
          </w:p>
        </w:tc>
        <w:tc>
          <w:tcPr>
            <w:tcW w:w="27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gridSpan w:val="9"/>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60" w:type="dxa"/>
            <w:vAlign w:val="bottom"/>
            <w:gridSpan w:val="9"/>
          </w:tcPr>
          <w:p>
            <w:pPr>
              <w:jc w:val="right"/>
              <w:ind w:right="19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Accretion of Series B to redemption value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09"/>
        </w:trPr>
        <w:tc>
          <w:tcPr>
            <w:tcW w:w="5180" w:type="dxa"/>
            <w:vAlign w:val="bottom"/>
          </w:tcPr>
          <w:p>
            <w:pPr>
              <w:ind w:left="180"/>
              <w:spacing w:after="0"/>
              <w:rPr>
                <w:sz w:val="20"/>
                <w:szCs w:val="20"/>
                <w:color w:val="auto"/>
              </w:rPr>
            </w:pPr>
            <w:r>
              <w:rPr>
                <w:rFonts w:ascii="Arial" w:cs="Arial" w:eastAsia="Arial" w:hAnsi="Arial"/>
                <w:sz w:val="18"/>
                <w:szCs w:val="18"/>
                <w:color w:val="auto"/>
              </w:rPr>
              <w:t>Numerator for basic and diluted EPS – net loss attributable to</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(92,340)</w:t>
            </w:r>
          </w:p>
        </w:tc>
        <w:tc>
          <w:tcPr>
            <w:tcW w:w="0" w:type="dxa"/>
            <w:vAlign w:val="bottom"/>
          </w:tcPr>
          <w:p>
            <w:pPr>
              <w:spacing w:after="0"/>
              <w:rPr>
                <w:sz w:val="1"/>
                <w:szCs w:val="1"/>
                <w:color w:val="auto"/>
              </w:rPr>
            </w:pPr>
          </w:p>
        </w:tc>
      </w:tr>
      <w:tr>
        <w:trPr>
          <w:trHeight w:val="235"/>
        </w:trPr>
        <w:tc>
          <w:tcPr>
            <w:tcW w:w="518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Denominator for basic and diluted EPS – weighted-average shares of</w:t>
            </w: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194,542,764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187,994,437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195,205,260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91,655,461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5"/>
              </w:rPr>
              <w:t>common stock outstanding used in computing net loss per share</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340" w:type="dxa"/>
            <w:vAlign w:val="bottom"/>
            <w:gridSpan w:val="3"/>
          </w:tcPr>
          <w:p>
            <w:pPr>
              <w:ind w:left="1160"/>
              <w:spacing w:after="0"/>
              <w:rPr>
                <w:sz w:val="20"/>
                <w:szCs w:val="20"/>
                <w:color w:val="auto"/>
              </w:rPr>
            </w:pPr>
            <w:r>
              <w:rPr>
                <w:rFonts w:ascii="Arial" w:cs="Arial" w:eastAsia="Arial" w:hAnsi="Arial"/>
                <w:sz w:val="18"/>
                <w:szCs w:val="18"/>
                <w:b w:val="1"/>
                <w:bCs w:val="1"/>
                <w:color w:val="auto"/>
                <w:w w:val="94"/>
              </w:rPr>
              <w:t>September 30,</w:t>
            </w:r>
          </w:p>
        </w:tc>
        <w:tc>
          <w:tcPr>
            <w:tcW w:w="11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 and unvested RSUs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19,118,295</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16,967,629</w:t>
            </w:r>
          </w:p>
        </w:tc>
      </w:tr>
      <w:tr>
        <w:trPr>
          <w:trHeight w:val="263"/>
        </w:trPr>
        <w:tc>
          <w:tcPr>
            <w:tcW w:w="7800" w:type="dxa"/>
            <w:vAlign w:val="bottom"/>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19,118,295</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16,967,629</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7" w:lineRule="exact"/>
        <w:rPr>
          <w:rFonts w:ascii="Arial" w:cs="Arial" w:eastAsia="Arial" w:hAnsi="Arial"/>
          <w:sz w:val="18"/>
          <w:szCs w:val="18"/>
          <w:b w:val="1"/>
          <w:bCs w:val="1"/>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for identical assets or liabilities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observable data for substantially the full term of the assets or liabilities.</w:t>
      </w:r>
    </w:p>
    <w:p>
      <w:pPr>
        <w:spacing w:after="0" w:line="23" w:lineRule="exact"/>
        <w:rPr>
          <w:sz w:val="20"/>
          <w:szCs w:val="20"/>
          <w:color w:val="auto"/>
        </w:rPr>
      </w:pPr>
    </w:p>
    <w:p>
      <w:pPr>
        <w:ind w:left="660" w:hanging="328"/>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contract liabilities and accounts payable approximate their fair value because of the short-term nature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2022 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September 30, 2022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w w:val="92"/>
              </w:rPr>
              <w:t>Balance Sheet Classification</w:t>
            </w: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jc w:val="center"/>
              <w:ind w:right="510"/>
              <w:spacing w:after="0"/>
              <w:rPr>
                <w:sz w:val="20"/>
                <w:szCs w:val="20"/>
                <w:color w:val="auto"/>
              </w:rPr>
            </w:pPr>
            <w:r>
              <w:rPr>
                <w:rFonts w:ascii="Arial" w:cs="Arial" w:eastAsia="Arial" w:hAnsi="Arial"/>
                <w:sz w:val="18"/>
                <w:szCs w:val="18"/>
                <w:i w:val="1"/>
                <w:iCs w:val="1"/>
                <w:color w:val="auto"/>
                <w:w w:val="91"/>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13,674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ind w:left="820"/>
              <w:spacing w:after="0"/>
              <w:rPr>
                <w:sz w:val="20"/>
                <w:szCs w:val="20"/>
                <w:color w:val="auto"/>
              </w:rPr>
            </w:pPr>
            <w:r>
              <w:rPr>
                <w:rFonts w:ascii="Arial" w:cs="Arial" w:eastAsia="Arial" w:hAnsi="Arial"/>
                <w:sz w:val="18"/>
                <w:szCs w:val="18"/>
                <w:color w:val="auto"/>
              </w:rPr>
              <w:t>—  $</w:t>
            </w:r>
          </w:p>
        </w:tc>
        <w:tc>
          <w:tcPr>
            <w:tcW w:w="1440" w:type="dxa"/>
            <w:vAlign w:val="bottom"/>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Cash equivalents</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w w:val="92"/>
              </w:rPr>
              <w:t>Balance Sheet Classification</w:t>
            </w: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77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Cash equivalents</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current liabilities</w:t>
            </w: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opening and closing balance for contingent consideration measured at fair value on a recurring basis using significant unobservable inputs (Level 3) during the nine months ended September 30,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Amounts settled through payment</w:t>
            </w:r>
          </w:p>
        </w:tc>
        <w:tc>
          <w:tcPr>
            <w:tcW w:w="9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9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900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provision for income taxes in interim periods is based on our estimated annual effective tax rate. We record cumulative adjustments in the quarter in which a change in the estimated annual effective rate is determined.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income tax benefit was $0.3 million and $1.0 million for the three months ended September 30, 2022 and 2021, respectively, and $6.0 million and $4.2 million for the nine months ended September 30, 2022 and 2021, respectively. Our effective income tax rate was 1.8% and 2.7% for the three months ended September 30, 2022 and 2021, respectively, and 12.4% and 5.1% for the nine months ended September 30, 2022 and 2021,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difference in the effective income tax rate for the three months ended September 30, 2022 as compared to the corresponding period in 2021 was primarily driven by the establishment of a valuation allowance for our New Zealand subsidiaries, which resulted in the exclusion of their results from the computation of the annual effective income tax rate. The difference in the effective income tax rate for the nine months ended September 30, 2022 as compared to the corresponding period in 2021 was primarily driven by discrete items, including an intercompany intellectual property sale, acquisition accounting, a California law change, a United Kingdom corporate income tax rate change, and the valuation allowance for our New Zealand subsidiaries, as described above.</w:t>
      </w:r>
    </w:p>
    <w:p>
      <w:pPr>
        <w:spacing w:after="0" w:line="19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August 16, 2022, the U.S. enacted the Inflation Reduction Act of 2022, which, among other things, implements a 15% minimum tax on book income of certain large corporations, a 1% excise tax on net stock repurchases and several tax incentives to promote clean energy. Based on our current analysis of the provisions, we do not believe this legislation will have a material impact on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long-lived assets by geographic area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3"/>
                <w:szCs w:val="23"/>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00" w:type="dxa"/>
            <w:vAlign w:val="bottom"/>
            <w:gridSpan w:val="3"/>
          </w:tcPr>
          <w:p>
            <w:pPr>
              <w:jc w:val="right"/>
              <w:ind w:right="137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7,592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2,603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October 31, 2022, the Company entered into an interest rate swap agreement in connection with the Company’s Credit Facilities for a notional amount of $200.0 million to convert a portion of the Term Loan from a floating rate to a fixed rate (the “Swap Agreement”). The Swap Agreement has a term of 5 years with a fixed rate in the agreement of 4.2295%.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2021 (the “Annual Report on Form 10-K”). Additionally, our historical results are not necessarily indicative of the results that may be expected for any period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over 600,000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14" w:lineRule="exact"/>
        <w:rPr>
          <w:sz w:val="20"/>
          <w:szCs w:val="20"/>
          <w:color w:val="auto"/>
        </w:rPr>
      </w:pPr>
    </w:p>
    <w:p>
      <w:pPr>
        <w:jc w:val="both"/>
        <w:ind w:left="500" w:hanging="168"/>
        <w:spacing w:after="0" w:line="301" w:lineRule="auto"/>
        <w:tabs>
          <w:tab w:leader="none" w:pos="49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4" w:lineRule="exact"/>
        <w:rPr>
          <w:rFonts w:ascii="Arial" w:cs="Arial" w:eastAsia="Arial" w:hAnsi="Arial"/>
          <w:sz w:val="16"/>
          <w:szCs w:val="16"/>
          <w:color w:val="auto"/>
        </w:rPr>
      </w:pPr>
    </w:p>
    <w:p>
      <w:pPr>
        <w:jc w:val="both"/>
        <w:ind w:left="500" w:hanging="168"/>
        <w:spacing w:after="0" w:line="255" w:lineRule="auto"/>
        <w:tabs>
          <w:tab w:leader="none" w:pos="49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19" w:lineRule="exact"/>
        <w:rPr>
          <w:rFonts w:ascii="Arial" w:cs="Arial" w:eastAsia="Arial" w:hAnsi="Arial"/>
          <w:sz w:val="18"/>
          <w:szCs w:val="18"/>
          <w:b w:val="1"/>
          <w:bCs w:val="1"/>
          <w:color w:val="auto"/>
        </w:rPr>
      </w:pPr>
    </w:p>
    <w:p>
      <w:pPr>
        <w:jc w:val="both"/>
        <w:ind w:left="500" w:hanging="168"/>
        <w:spacing w:after="0" w:line="25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Solutions: </w:t>
      </w:r>
      <w:r>
        <w:rPr>
          <w:rFonts w:ascii="Arial" w:cs="Arial" w:eastAsia="Arial" w:hAnsi="Arial"/>
          <w:sz w:val="18"/>
          <w:szCs w:val="18"/>
          <w:color w:val="auto"/>
        </w:rPr>
        <w:t>Our Customer Experience Solutions modernize how businesses engage and interact with customers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NPS-based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11" w:lineRule="exact"/>
        <w:rPr>
          <w:sz w:val="20"/>
          <w:szCs w:val="20"/>
          <w:color w:val="auto"/>
        </w:rPr>
      </w:pPr>
    </w:p>
    <w:p>
      <w:pPr>
        <w:jc w:val="both"/>
        <w:ind w:left="500" w:hanging="168"/>
        <w:spacing w:after="0" w:line="273"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Experience Solutions to help customers build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benefits from attractive unit economics. Approximately 95% of our revenue in the nine months ended September 30, 2022 and 2021 was recurring or re-occurring, and we maintained an annualized net revenue retention rate of approximately 100% for the quarter ended September 30, 2022.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calculation of net pro forma revenue retention rate remains consistent with prior periods. 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deepen our competitive moats in existing verticals, and enter new verticals and 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The Macroeconomic Climate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macroeconomic climate continues to see pressure from global developments such as the COVID-19 pandemic, rising inflation, the strengthened US Dollar, rising interest rates and supply chain disruptions. These developments may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more information regarding the potential impact of the COVID-19 pandemic on our business, refer to Part II. Item 1A. </w:t>
      </w:r>
      <w:r>
        <w:rPr>
          <w:rFonts w:ascii="Arial" w:cs="Arial" w:eastAsia="Arial" w:hAnsi="Arial"/>
          <w:sz w:val="18"/>
          <w:szCs w:val="18"/>
          <w:i w:val="1"/>
          <w:iCs w:val="1"/>
          <w:color w:val="auto"/>
        </w:rPr>
        <w:t>“Risk Factors—Risks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Business—The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 </w:t>
      </w:r>
      <w:r>
        <w:rPr>
          <w:rFonts w:ascii="Arial" w:cs="Arial" w:eastAsia="Arial" w:hAnsi="Arial"/>
          <w:sz w:val="18"/>
          <w:szCs w:val="18"/>
          <w:color w:val="auto"/>
        </w:rPr>
        <w:t>in our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performance and future success depends on a number of factors that present significant opportunities for us but also pose risks and challenges. For discussion of these factors, please see “Key Factors Affecting Our Performance” in the Management’s Discussion and Analysis section of our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results and measures of performance determined in accordance with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 Forma Revenue Growth rate was 12.7% and 16.1% for the three and nine months ended September 30, 2022, respectively, reflective of the underlying growth in our business including new customers and providing more solutions to existing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81"/>
        </w:trPr>
        <w:tc>
          <w:tcPr>
            <w:tcW w:w="3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80,327</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278,847</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220,493</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5,444</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5,249</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16,598</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14,509</w:t>
            </w:r>
          </w:p>
        </w:tc>
        <w:tc>
          <w:tcPr>
            <w:tcW w:w="360" w:type="dxa"/>
            <w:vAlign w:val="bottom"/>
          </w:tcPr>
          <w:p>
            <w:pPr>
              <w:spacing w:after="0"/>
              <w:rPr>
                <w:sz w:val="21"/>
                <w:szCs w:val="2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9"/>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100,471</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85,576</w:t>
            </w: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295,445</w:t>
            </w: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235,002</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58"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September 30, 2022, gross profit represents total revenues of $158.1 million less cost of revenues (exclusive of depreciation and amortization) of $57.7 million, amortization of developed technology of $4.0 million, amortization of capitalized software of $1.3 million and depreciation expense (allocated to cost of revenues) of $0.1 million.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September 30, 2021, gross profit represents total revenues of $128.5 million less cost of revenues (exclusive of depreciation and amortization) of $43.0 million, amortization of developed technology of $4.0 million, amortization of capitalized software of $0.8 million and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 (allocated to cost of revenues) of $0.4 million.</w:t>
      </w:r>
    </w:p>
    <w:p>
      <w:pPr>
        <w:spacing w:after="0" w:line="23" w:lineRule="exact"/>
        <w:rPr>
          <w:sz w:val="20"/>
          <w:szCs w:val="20"/>
          <w:color w:val="auto"/>
        </w:rPr>
      </w:pPr>
    </w:p>
    <w:p>
      <w:pPr>
        <w:jc w:val="both"/>
        <w:ind w:left="660" w:hanging="328"/>
        <w:spacing w:after="0" w:line="250"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nine months ended September 30, 2022, gross profit represents total revenues of $458.9 million less cost of revenues (exclusive of depreciation and amortization) of $163.5 million, amortization of developed technology of $12.3 million, amortization of capitalized software of $3.7 million and depreciation expense (allocated to cost of revenues) of $0.6 million.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nine months ended September 30, 2021, gross profit represents total revenues of $354.5 million less cost of revenues (exclusive of depreciation and amortization) of $119.5 million, amortization of developed technology of $10.9 million, amortization of capitalized software of $2.4 million and depreciation expense (allocated to cost of revenues) of $1.2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calculate Adjusted EBITDA as net loss adjusted to exclude interest and other expense, net, income tax (benefit) expense, loss on debt extinguishment,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80" w:type="dxa"/>
            <w:vAlign w:val="bottom"/>
            <w:gridSpan w:val="5"/>
          </w:tcPr>
          <w:p>
            <w:pPr>
              <w:ind w:left="68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
        </w:trPr>
        <w:tc>
          <w:tcPr>
            <w:tcW w:w="4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82,524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73,917</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Acquisition related costs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Other non-recurring costs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3,654</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83,866</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Significant Judgments and Estimates.”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and nine months ended September 30, 2022, revenue from Subscription and Transaction Fees increased 30.8% and 36.3% compared to the three and nine months ended September 30, 2021, respectively, whereas Marketing Technology Solutions revenue increased 14.8% and 13.9%, respectively.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and marketing expense consists primarily of employee costs for our sales and marketing personnel, including salaries, benefits, bonuses, stock 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included in our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comparability of our operating results is impacted by our business combinations and acquisitions. In our discussion of changes in our results of operations for the three and nine months ended September 30, 2022 compared to the three and nine months ended September 30, 2021,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91,788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343,734</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252,119</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88,974</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13,397</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354,490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20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119,488</w:t>
            </w:r>
          </w:p>
        </w:tc>
      </w:tr>
      <w:tr>
        <w:trPr>
          <w:trHeight w:val="270"/>
        </w:trPr>
        <w:tc>
          <w:tcPr>
            <w:tcW w:w="5200" w:type="dxa"/>
            <w:vAlign w:val="bottom"/>
          </w:tcPr>
          <w:p>
            <w:pPr>
              <w:ind w:left="1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67,647</w:t>
            </w:r>
          </w:p>
        </w:tc>
      </w:tr>
      <w:tr>
        <w:trPr>
          <w:trHeight w:val="27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35,083</w:t>
            </w:r>
          </w:p>
        </w:tc>
      </w:tr>
      <w:tr>
        <w:trPr>
          <w:trHeight w:val="270"/>
        </w:trPr>
        <w:tc>
          <w:tcPr>
            <w:tcW w:w="5200" w:type="dxa"/>
            <w:vAlign w:val="bottom"/>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79,796</w:t>
            </w:r>
          </w:p>
        </w:tc>
      </w:tr>
      <w:tr>
        <w:trPr>
          <w:trHeight w:val="27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73,917</w:t>
            </w:r>
          </w:p>
        </w:tc>
      </w:tr>
      <w:tr>
        <w:trPr>
          <w:trHeight w:val="237"/>
        </w:trPr>
        <w:tc>
          <w:tcPr>
            <w:tcW w:w="52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485,874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375,931</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(31,262)</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r>
      <w:tr>
        <w:trPr>
          <w:trHeight w:val="237"/>
        </w:trPr>
        <w:tc>
          <w:tcPr>
            <w:tcW w:w="5200" w:type="dxa"/>
            <w:vAlign w:val="bottom"/>
          </w:tcPr>
          <w:p>
            <w:pPr>
              <w:ind w:left="460"/>
              <w:spacing w:after="0"/>
              <w:rPr>
                <w:sz w:val="20"/>
                <w:szCs w:val="20"/>
                <w:color w:val="auto"/>
              </w:rPr>
            </w:pPr>
            <w:r>
              <w:rPr>
                <w:rFonts w:ascii="Arial" w:cs="Arial" w:eastAsia="Arial" w:hAnsi="Arial"/>
                <w:sz w:val="18"/>
                <w:szCs w:val="18"/>
                <w:color w:val="auto"/>
              </w:rPr>
              <w:t>Net loss before income tax benefit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(81,417)</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63"/>
        </w:trPr>
        <w:tc>
          <w:tcPr>
            <w:tcW w:w="5200" w:type="dxa"/>
            <w:vAlign w:val="bottom"/>
          </w:tcPr>
          <w:p>
            <w:pPr>
              <w:ind w:left="56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(77,235)</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ind w:left="340"/>
              <w:spacing w:after="0"/>
              <w:rPr>
                <w:sz w:val="20"/>
                <w:szCs w:val="20"/>
                <w:color w:val="auto"/>
              </w:rPr>
            </w:pPr>
            <w:r>
              <w:rPr>
                <w:rFonts w:ascii="Arial" w:cs="Arial" w:eastAsia="Arial" w:hAnsi="Arial"/>
                <w:sz w:val="18"/>
                <w:szCs w:val="18"/>
                <w:color w:val="auto"/>
                <w:w w:val="98"/>
              </w:rPr>
              <w:t>(1) Includes stock-based compensation expense as follows: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right"/>
              <w:ind w:right="370"/>
              <w:spacing w:after="0"/>
              <w:rPr>
                <w:sz w:val="20"/>
                <w:szCs w:val="20"/>
                <w:color w:val="auto"/>
              </w:rPr>
            </w:pPr>
            <w:r>
              <w:rPr>
                <w:rFonts w:ascii="Arial" w:cs="Arial" w:eastAsia="Arial" w:hAnsi="Arial"/>
                <w:sz w:val="18"/>
                <w:szCs w:val="18"/>
                <w:b w:val="1"/>
                <w:bCs w:val="1"/>
                <w:color w:val="auto"/>
                <w:w w:val="98"/>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7"/>
          </w:tcPr>
          <w:p>
            <w:pPr>
              <w:jc w:val="center"/>
              <w:ind w:right="14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6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jc w:val="right"/>
              <w:ind w:right="65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16,982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15,936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16,849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9"/>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5"/>
          </w:tcPr>
          <w:p>
            <w:pPr>
              <w:ind w:left="400"/>
              <w:spacing w:after="0"/>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10"/>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10"/>
          </w:tcPr>
          <w:p>
            <w:pPr>
              <w:ind w:left="620"/>
              <w:spacing w:after="0"/>
              <w:rPr>
                <w:sz w:val="20"/>
                <w:szCs w:val="20"/>
                <w:color w:val="auto"/>
              </w:rPr>
            </w:pPr>
            <w:r>
              <w:rPr>
                <w:rFonts w:ascii="Arial" w:cs="Arial" w:eastAsia="Arial" w:hAnsi="Arial"/>
                <w:sz w:val="18"/>
                <w:szCs w:val="18"/>
                <w:i w:val="1"/>
                <w:iCs w:val="1"/>
                <w:color w:val="auto"/>
              </w:rPr>
              <w:t>(dollars in thousands)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2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91,788</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28,297</w:t>
            </w:r>
          </w:p>
        </w:tc>
        <w:tc>
          <w:tcPr>
            <w:tcW w:w="1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5,136</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ind w:left="120"/>
              <w:spacing w:after="0"/>
              <w:rPr>
                <w:sz w:val="20"/>
                <w:szCs w:val="20"/>
                <w:color w:val="auto"/>
              </w:rPr>
            </w:pPr>
            <w:r>
              <w:rPr>
                <w:rFonts w:ascii="Arial" w:cs="Arial" w:eastAsia="Arial" w:hAnsi="Arial"/>
                <w:sz w:val="18"/>
                <w:szCs w:val="18"/>
                <w:color w:val="auto"/>
                <w:w w:val="94"/>
              </w:rPr>
              <w:t>(3,371)</w:t>
            </w:r>
          </w:p>
        </w:tc>
        <w:tc>
          <w:tcPr>
            <w:tcW w:w="1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88"/>
              </w:rPr>
              <w:t>Nine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5"/>
          </w:tcPr>
          <w:p>
            <w:pPr>
              <w:ind w:left="400"/>
              <w:spacing w:after="0"/>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10"/>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10"/>
          </w:tcPr>
          <w:p>
            <w:pPr>
              <w:ind w:left="620"/>
              <w:spacing w:after="0"/>
              <w:rPr>
                <w:sz w:val="20"/>
                <w:szCs w:val="20"/>
                <w:color w:val="auto"/>
              </w:rPr>
            </w:pPr>
            <w:r>
              <w:rPr>
                <w:rFonts w:ascii="Arial" w:cs="Arial" w:eastAsia="Arial" w:hAnsi="Arial"/>
                <w:sz w:val="18"/>
                <w:szCs w:val="18"/>
                <w:i w:val="1"/>
                <w:iCs w:val="1"/>
                <w:color w:val="auto"/>
              </w:rPr>
              <w:t>(dollars in thousands)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2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343,734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252,119</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91,615</w:t>
            </w:r>
          </w:p>
        </w:tc>
        <w:tc>
          <w:tcPr>
            <w:tcW w:w="1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13,397</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354,490</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104,458</w:t>
            </w: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increased $29.6 million or 23.0% and $104.5 million or 29.5% for the three and nine months ended September 30, 2022, respectively, as compared to the corresponding periods in 2021. These increases were primarily driven by increases in Subscription and Transaction Fees of $28.3 million and $91.6 million, respectively, and Marketing Technology Solutions of $4.7 million and $12.4 million, respectively. The increases in Subscription and Transaction Fees related to growth in our customer base, higher transaction volumes processed through our payments platform and revenue earned from acquisitions completed in 2021. The increases in Marketing Technology Solutions related to growth in customers using our digital marketing applications and an increase in consumer leads generated by our platforms. Included in revenues for the three and nine months ended September 30, 2022 is $12.5 million and $37.4 million, respectively, of revenue from acquisitions closed subsequent to September 30,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57,655</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42,958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14,697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49"/>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w w:val="99"/>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163,503</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119,488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44,015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-2048510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-2048510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-676910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-676910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increased by $14.7 million or 34.2% and $44.0 million or 36.8% for the three and nine months ended September 30, 2022, respectively, as compared to the corresponding periods in 2021. These increases are primarily comprised of an additional $2.4 million and $10.5 million of media spend, respectively, $2.5 million and $7.5 million of personnel and compensation expense, respectively, $2.5 million and $7.4 million of outsourced services, respectively, $1.8 million and $5.7 million of application programming interface fees, respectively, and $1.1 million and $3.3 million of hosting expense, respectively. As a percentage of revenue, cost of revenues was 36.5% and 33.4% for the three months ended September 30, 2022 and 2021, respectively, and 35.6% and 33.7% for the nine months ended September 30, 2022 and 2021,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29,440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4,284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89,531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21,884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marketing expenses increased by $4.3 million or 17.0% and $21.9 million or 32.4% for the three and nine months ended September 30, 2022, respectively, as compared to the corresponding periods in 2021. These increases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primarily driven by an additional $3.9 million and $13.3 million of personnel and compensation expense, respectively, and $0.1 million and $3.0 million of advertising spend, respectively, due to the continued investment in growth through personnel and various marketing channels. As a percentage of revenue, sales and marketing was 18.6% and 19.6% for the three months ended September 30, 2022 and 2021, respectively, and 19.5% and 19.1% for the nine months ended September 30, 2022 and 2021,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18,508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5,797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53,568</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18,485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expenses increased by $5.8 million or 45.6% and $18.5 million or 52.7% for the three and nine months ended September 30, 2022, respectively, as compared to the corresponding periods in 2021. These increases were primarily driven by additional product development-related personnel expenses of $4.3 million and $13.9 million, respectively, as a result of investments in our technology teams to support our various solutions as well as centralized security operations, information technology and cloud engineering. As a percentage of revenue, product development expenses were 11.7% and 9.9% for each of the three and nine months ended September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32,164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6,385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96,748</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79,796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16,952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increased by $6.4 million or 24.8% and $17.0 million or 21.2% for the three and nine months ended September 30, 2022, respectively, as compared to the corresponding periods in 2021. The increase for the three month period was primarily driven by an additional $3.1 million of personnel and compensation expense and $2.0 million of stock based compensation expense. The increase for the nine month period was primarily driven by an additional $7.3 million of personnel and compensation expense, $2.0 million of insurance expense, $1.6 million of software subscription costs and $1.2 million of travel expenses. These costs increased due to the continued investment in infrastructure required to support our growth, scalable operations and being a public company. As a percentage of revenue, general and administrative expenses were 20.3% and 20.1% for the three months ended September 30, 2022 and 2021, respectively, and 21.1% and 22.5% for the nine months ended September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27,613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1,617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82,524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8,607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increased by $1.6 million or 6.2% and $8.6 million or 11.6% for the three and nine months ended September 30, 2022, respectively, as compared to the corresponding periods in 2021. These increases were primarily driven by an additional $1.1 million and $7.1 million, respectively, in intangible assets’ amortization as a result of intangible asset additions from our 2021 acquisitions. As a percentage of revenue, depreciation and amortization expenses were 17.5% and 20.2% for the three months ended September 30, 2022 and 2021, respectively, and 18.0% and 20.9%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96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8,890</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3,742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5.6 %</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49"/>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96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21,070</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(10,192)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4.6 %</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other expense, net, increased (decreased) by $3.7 million or 72.7% and ($10.2 million) or (32.6%) for the three and nine months ended September 30, 2022, respectively, as compared to the corresponding periods in 2021. The increase for the three month period was primarily due to a higher effective interest rate on the outstanding debt balance. The decrease for the nine month period was primarily due to an overall lower outstanding debt balance in the 2022 period compared to the 2021 period as the Company refinanced its credit facilities on July 6, 2021. As a percentage of revenue, interest and other expense were 5.6% and 4.0% for the three months ended September 30, 2022 and 2021, respectively, and 4.6% and 8.8% for the nine months ended September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Loss on Debt Extinguishment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w w:val="98"/>
              </w:rPr>
              <w:t>(dollars in thousands)</w:t>
            </w:r>
          </w:p>
        </w:tc>
        <w:tc>
          <w:tcPr>
            <w:tcW w:w="980" w:type="dxa"/>
            <w:vAlign w:val="bottom"/>
          </w:tcPr>
          <w:p>
            <w:pPr>
              <w:spacing w:after="0"/>
              <w:rPr>
                <w:sz w:val="20"/>
                <w:szCs w:val="20"/>
                <w:color w:val="auto"/>
              </w:rPr>
            </w:pPr>
          </w:p>
        </w:tc>
      </w:tr>
      <w:tr>
        <w:trPr>
          <w:trHeight w:val="81"/>
        </w:trPr>
        <w:tc>
          <w:tcPr>
            <w:tcW w:w="5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(28,714)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ind w:left="78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w w:val="98"/>
              </w:rPr>
              <w:t>(dollars in thousands)</w:t>
            </w:r>
          </w:p>
        </w:tc>
        <w:tc>
          <w:tcPr>
            <w:tcW w:w="980" w:type="dxa"/>
            <w:vAlign w:val="bottom"/>
          </w:tcPr>
          <w:p>
            <w:pPr>
              <w:spacing w:after="0"/>
              <w:rPr>
                <w:sz w:val="20"/>
                <w:szCs w:val="20"/>
                <w:color w:val="auto"/>
              </w:rPr>
            </w:pPr>
          </w:p>
        </w:tc>
      </w:tr>
      <w:tr>
        <w:trPr>
          <w:trHeight w:val="81"/>
        </w:trPr>
        <w:tc>
          <w:tcPr>
            <w:tcW w:w="5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(28,714)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ind w:left="78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37"/>
        </w:trPr>
        <w:tc>
          <w:tcPr>
            <w:tcW w:w="50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on debt extinguishment decreased by $28.7 million for both the three and nine months ended September 30, 2022, as compared to the corresponding periods in 2021. On July 6, 2021 the Company refinanced its credit facilities and recorded a loss on debt extinguishment of approximately $28.7 million during the three months ended September 30, 2021. Refer to Note 9 in our Annual Report on Form 10-K for additional information regarding the Company’s loss on debt extinguishment.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291</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(731)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0.2 %</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5,953</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1,771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1.3 %</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benefit increased (decreased) by ($0.7 million) or (71.5%) and $1.8 million or 42.3% for the three and nine months ended September 30, 2022, respectively, as compared to the corresponding periods in 2021. The decrease for the three months ended September 30, 2022 was primarily driven by the establishment of a valuation allowance for our New Zealand subsidiaries, which resulted in the exclusion of their results from the computation of the annual effective income tax rate. The increase for the nine months ended September 30, 2022 was primarily driven by discrete items, including an intercompany intellectual property sale, acquisition accounting, a California law change, a United Kingdom corporate income tax rate change, and the valuation allowance for our New Zealand subsidiaries,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our primary sources of liquidity have been net cash provided by operating activities, proceeds from equity issuances and proceeds from long-term debt.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 of liquidity has been acquisitions of businesses. For a description of our recent acquisitions, see Note 3 in the notes to the unaudited condensed consolidated financial statements included in this Quarterly Report on Form 10-Q. Absent significant deterioration of market conditions, we expect that working capital requirements, capital expenditures, acquisitions, the Company’s stock repurchase program (discussed below), debt servicing and lease obligations will be our principal needs for liquidity going forward. During the year ended December 31, 2021, we completed five acquisitions for total consideration of $367.1 million.</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September 30, 2022, we had cash, cash equivalents and restricted cash of $95.2 million, $190.0 million of available borrowing capacity under our Revolver (as defined below) and $544.5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Market and macroeconomic conditions may, from time to time, impact our ability to raise capital. If we are unable to raise additional funds when desired, our business, financial condition and results of operations could be adversely affected. See Part II, Item 1A.“</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flow data for the periods indicated therein:</w:t>
      </w:r>
    </w:p>
    <w:p>
      <w:pPr>
        <w:spacing w:after="0" w:line="235"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(13,595)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(194,239)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(24,559)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180,514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2022, net cash provided by operating activities consisted of net loss of $42.0 million, offset by net non-cash adjustments to net loss of $101.0 million and net changes in operating assets and liabilities of $21.4 million. Non-cash adjustments primarily consisted of depreciation and amortization of $82.5 million and stock-based compensation expense of $19.8 million, partially offset by deferred taxes of $6.9 million. Changes in working capital during the nine months ended September 30, 2022 were primarily driven by accounts receivable, net of $11.7 million and prepaid expenses and other current assets of $7.2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2021, net cash provided by operating activities consisted of net loss of $77.2 million, offset by net non-cash adjustments to net loss of $122.2 million, and net changes in operating assets and liabilities of $31.3 million. Non-cash adjustments primarily consisted of depreciation and amortization of $73.9 million, loss on debt extinguishment of $28.7 million and stock-based compensation of $16.8 million. Changes in working capital during the nine months ended September 30, 2021 were primarily driven by other non-current assets of $11.5 million, prepaid expenses and other current assets of $11.4 million, accounts receivable, net of $7.0 million and accrued expenses and other of $6.8 million, partially offset by deferred revenue of $7.9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net cash used in investing activities was $13.6 million. The cash used was driven primarily by costs to develop software of $11.4 million. The remainder was used for purchases of property and equipment.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net cash used in investing activities was $194.2 million. The cash used was driven primarily by acquisition of companies, net of cash acquired, of $183.2 million. The remainder was used for costs to develop software and purchases of property and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2022, net cash used in financing activities was $24.6 million. The cash used was primarily driven by repurchase and retirement of shares of our common stock of $21.9 million. For additional information regarding our repurchase and retirement of shares of our common stock, refer to Note 10 in the notes to the unaudited condensed consolidated financial statements included in this Quarterly Report on Form 10-Q.</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net cash provided by financing activities was $180.5 million. The cash provided was driven primarily by net proceeds from preferred and common stock issuance of $109.8 million and $415.9 million, respectively, and proceeds from long-term debt of $496.5 million, offset by payments on long-term debt of $837.1 million. The net proceeds from these financings were primarily used, after payments on long-term debt, to fund acquisitions.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Prior to our Initial Public Offering (the “IPO”), subsidiaries of the Company were party to a credit facility that provided for (i) a term loan in an aggregate principal amount of $415.0 million (the “Legacy Term Loan”), (ii) commitments for delayed draw term loans up to an aggregate principal amount of $385.0 million (the “Legacy Delayed Draw Term Loans”), (iii) commitments for revolving loans up to an aggregate principal amount of $50.0 million (the “Legacy Revolver”) and (iv) a sub-limit of the Revolver available for letters of credit up to an aggregate face amount of $10.0 million, or the letters of credit (the Legacy Term Loan, Legacy Delayed Draw Term Loans and Legacy Revolver are referred to herein as the “Legacy Credit Facilities”).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IPO, on July 6, 2021 we refinanced our Legacy Credit Facilities and EverCommerce Solutions Inc., as borrower, and EverCommerce Intermediate Inc. entered into a new credit agreement (the “Credit Agreement”) in an aggregate principal amount of $540.0 million, consisting of (i) an aggregate principal amount of $350.0 million (the “Initial Term Loans”), (ii) a revolver with a capacity of $190.0 million (the “Revolver”) and (iii) a sub-limit of the Revolver available for letters of credit up to an aggregate face amount of $20.0 million. We used the net proceeds of the Initial Term Loans and a portion of the funds available under our Revolver, together with the net proceeds from the IPO, to repay all amounts outstanding under our Legacy Credit Facilities. In November 2021, the Company drew an additional $155.0 million on the Revolver to fund an acquisition. Subsequently, in November 2021, the Company drew an additional $200.0 million (the “Additional Term Loans,” and collectively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Initial Term Loans, the “Term Loans”) as permitted by the Credit Agreement. The Company used the proceeds of the Additional Term Loans to repay all amounts outstanding on the Revolver and for general corporate purposes. The Initial Term Loans, Revolver and Additional Term Loans are collectively referred to herein as the “Credit Facilities.”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Term Loans and the New Revolver loans is 3% for Eurocurrency borrowings and 2% for ABR Borrowings, in each case subject to change based on our first lien net leverage ratio. Effective October 31, 2022, the Company entered into an interest rate swap agreement in connection with the Company’s Credit Facilities for a notional amount of $200.0 million to convert a portion of the Term Loans from a floating rate to a fixed rate (the “Swap Agreement”). The arrangement has a term of five years with a fixed rate in the agreement of 4.2295%.</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September 30, 2022, there was $544.5 million outstanding under our Credit Facilities, all of which was related to the Term Loans as no amounts were outstanding under the Revolver. The effective interest rate on the Term Loans was approximately 5.8% for the three months ended September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were in compliance with the covenants under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14, 2022, our Board of Directors approved The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The Company repurchased and retired 1,801,062 and 2,097,108 shares of common stock for $19.2 million and $21.9 million during the three and nine months ended September 30, 2022, respectively.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Other than the interest rate swap agreement described above, there have been no material changes to our contractual obligations as of September 30, 2022 from those disclosed in our Annual Report on Form 10-K.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9 in the unaudited condensed consolidated financial statements included in this Quarterly Report on Form 10-Q and notes thereto for a discussion of our debt. Refer to Note 16 in the Financial Statements and Supplementary Data section of our Annual Report on Form 10-K for a discussion of our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are described in Part II Item 7, “Management’s Discussion and Analysis of Financial Condition and Results of Operations —Critical Accounting Policies” in our Annual Report on Form 10-K. During the nine months ended September 30, 2022, there were no material changes to our critical accounting policies from those discussed in our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have been no material changes, other than the interest rate discussion below, to our disclosures regarding market risk as described in our Annual Report on Form 10-K under the heading Part II. Item 7A. </w:t>
      </w:r>
      <w:r>
        <w:rPr>
          <w:rFonts w:ascii="Arial" w:cs="Arial" w:eastAsia="Arial" w:hAnsi="Arial"/>
          <w:sz w:val="18"/>
          <w:szCs w:val="18"/>
          <w:i w:val="1"/>
          <w:iCs w:val="1"/>
          <w:color w:val="auto"/>
        </w:rPr>
        <w:t>“Quantitative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Effective October 31, 2022, the Company entered into an interest rate swap agreement in connection with the Company’s Credit Facilities for a notional amount of $200.0 million to convert a portion of the Term Loan from a floating rate to a fixed rate. The arrangement has a term of five years with a fixed rate in the agreement of 4.2295%.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2022, our disclosure controls and procedures were effective at the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information set forth in this Quarterly Report on Form 10-Q, you should carefully consider the risk factors disclosed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There have been no material changes to our risk factors from those included in our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we repurchased $19.2 million and $21.9 million, respectively, in shares of our common stock under our stock repurchase program, including transaction fees. The stock repurchase activity under our stock repurchase program during the three months ended September 30, 2022 was as follows:</w:t>
      </w:r>
    </w:p>
    <w:p>
      <w:pPr>
        <w:sectPr>
          <w:pgSz w:w="11900" w:h="16838" w:orient="portrait"/>
          <w:cols w:equalWidth="0" w:num="1">
            <w:col w:w="11240"/>
          </w:cols>
          <w:pgMar w:left="320" w:top="1440" w:right="339" w:bottom="1440" w:gutter="0" w:footer="0" w:header="0"/>
        </w:sectPr>
      </w:pPr>
    </w:p>
    <w:p>
      <w:pPr>
        <w:spacing w:after="0" w:line="396" w:lineRule="exact"/>
        <w:rPr>
          <w:sz w:val="20"/>
          <w:szCs w:val="20"/>
          <w:color w:val="auto"/>
        </w:rPr>
      </w:pPr>
    </w:p>
    <w:tbl>
      <w:tblPr>
        <w:tblLayout w:type="fixed"/>
        <w:tblInd w:w="438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880" w:type="dxa"/>
            <w:vAlign w:val="bottom"/>
          </w:tcPr>
          <w:p>
            <w:pPr>
              <w:jc w:val="center"/>
              <w:ind w:left="115"/>
              <w:spacing w:after="0"/>
              <w:rPr>
                <w:sz w:val="20"/>
                <w:szCs w:val="20"/>
                <w:color w:val="auto"/>
              </w:rPr>
            </w:pPr>
            <w:r>
              <w:rPr>
                <w:rFonts w:ascii="Arial" w:cs="Arial" w:eastAsia="Arial" w:hAnsi="Arial"/>
                <w:sz w:val="17"/>
                <w:szCs w:val="17"/>
                <w:color w:val="auto"/>
                <w:w w:val="88"/>
              </w:rPr>
              <w:t>Average</w:t>
            </w:r>
          </w:p>
        </w:tc>
      </w:tr>
      <w:tr>
        <w:trPr>
          <w:trHeight w:val="216"/>
        </w:trPr>
        <w:tc>
          <w:tcPr>
            <w:tcW w:w="1360" w:type="dxa"/>
            <w:vAlign w:val="bottom"/>
          </w:tcPr>
          <w:p>
            <w:pPr>
              <w:jc w:val="center"/>
              <w:ind w:right="135"/>
              <w:spacing w:after="0"/>
              <w:rPr>
                <w:sz w:val="20"/>
                <w:szCs w:val="20"/>
                <w:color w:val="auto"/>
              </w:rPr>
            </w:pPr>
            <w:r>
              <w:rPr>
                <w:rFonts w:ascii="Arial" w:cs="Arial" w:eastAsia="Arial" w:hAnsi="Arial"/>
                <w:sz w:val="17"/>
                <w:szCs w:val="17"/>
                <w:color w:val="auto"/>
                <w:w w:val="92"/>
              </w:rPr>
              <w:t>Total number of</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w w:val="92"/>
              </w:rPr>
              <w:t>price paid</w:t>
            </w:r>
          </w:p>
        </w:tc>
      </w:tr>
      <w:tr>
        <w:trPr>
          <w:trHeight w:val="216"/>
        </w:trPr>
        <w:tc>
          <w:tcPr>
            <w:tcW w:w="1360" w:type="dxa"/>
            <w:vAlign w:val="bottom"/>
          </w:tcPr>
          <w:p>
            <w:pPr>
              <w:jc w:val="center"/>
              <w:ind w:right="115"/>
              <w:spacing w:after="0"/>
              <w:rPr>
                <w:sz w:val="20"/>
                <w:szCs w:val="20"/>
                <w:color w:val="auto"/>
              </w:rPr>
            </w:pPr>
            <w:r>
              <w:rPr>
                <w:rFonts w:ascii="Arial" w:cs="Arial" w:eastAsia="Arial" w:hAnsi="Arial"/>
                <w:sz w:val="17"/>
                <w:szCs w:val="17"/>
                <w:color w:val="auto"/>
                <w:w w:val="85"/>
              </w:rPr>
              <w:t>shares purchased</w:t>
            </w:r>
          </w:p>
        </w:tc>
        <w:tc>
          <w:tcPr>
            <w:tcW w:w="880" w:type="dxa"/>
            <w:vAlign w:val="bottom"/>
          </w:tcPr>
          <w:p>
            <w:pPr>
              <w:jc w:val="center"/>
              <w:ind w:left="95"/>
              <w:spacing w:after="0"/>
              <w:rPr>
                <w:sz w:val="20"/>
                <w:szCs w:val="20"/>
                <w:color w:val="auto"/>
              </w:rPr>
            </w:pPr>
            <w:r>
              <w:rPr>
                <w:rFonts w:ascii="Arial" w:cs="Arial" w:eastAsia="Arial" w:hAnsi="Arial"/>
                <w:sz w:val="17"/>
                <w:szCs w:val="17"/>
                <w:color w:val="auto"/>
                <w:w w:val="86"/>
              </w:rPr>
              <w:t>per share</w:t>
            </w: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number of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purchased as part of publicly</w:t>
      </w:r>
    </w:p>
    <w:p>
      <w:pPr>
        <w:jc w:val="center"/>
        <w:spacing w:after="0" w:line="190" w:lineRule="auto"/>
        <w:rPr>
          <w:sz w:val="20"/>
          <w:szCs w:val="20"/>
          <w:color w:val="auto"/>
        </w:rPr>
      </w:pPr>
      <w:r>
        <w:rPr>
          <w:rFonts w:ascii="Arial" w:cs="Arial" w:eastAsia="Arial" w:hAnsi="Arial"/>
          <w:sz w:val="13"/>
          <w:szCs w:val="13"/>
          <w:color w:val="auto"/>
        </w:rPr>
        <w:t xml:space="preserve">announced plans or programs </w:t>
      </w:r>
      <w:r>
        <w:rPr>
          <w:rFonts w:ascii="Arial" w:cs="Arial" w:eastAsia="Arial" w:hAnsi="Arial"/>
          <w:sz w:val="17"/>
          <w:szCs w:val="17"/>
          <w:color w:val="auto"/>
          <w:vertAlign w:val="superscript"/>
        </w:rPr>
        <w:t>(1)</w:t>
      </w:r>
    </w:p>
    <w:p>
      <w:pPr>
        <w:ind w:left="104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59690</wp:posOffset>
            </wp:positionV>
            <wp:extent cx="44316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0"/>
        <w:spacing w:after="0" w:line="257" w:lineRule="auto"/>
        <w:rPr>
          <w:sz w:val="20"/>
          <w:szCs w:val="20"/>
          <w:color w:val="auto"/>
        </w:rPr>
      </w:pPr>
      <w:r>
        <w:rPr>
          <w:rFonts w:ascii="Arial" w:cs="Arial" w:eastAsia="Arial" w:hAnsi="Arial"/>
          <w:sz w:val="17"/>
          <w:szCs w:val="17"/>
          <w:color w:val="auto"/>
        </w:rPr>
        <w:t>Approximate dollar value of shares that may yet be</w:t>
      </w:r>
    </w:p>
    <w:p>
      <w:pPr>
        <w:jc w:val="center"/>
        <w:ind w:right="20"/>
        <w:spacing w:after="0" w:line="273" w:lineRule="auto"/>
        <w:rPr>
          <w:sz w:val="20"/>
          <w:szCs w:val="20"/>
          <w:color w:val="auto"/>
        </w:rPr>
      </w:pPr>
      <w:r>
        <w:rPr>
          <w:rFonts w:ascii="Arial" w:cs="Arial" w:eastAsia="Arial" w:hAnsi="Arial"/>
          <w:sz w:val="17"/>
          <w:szCs w:val="17"/>
          <w:color w:val="auto"/>
        </w:rPr>
        <w:t>purchased under the plans or programs</w:t>
      </w:r>
    </w:p>
    <w:p>
      <w:pPr>
        <w:spacing w:after="0" w:line="28" w:lineRule="exact"/>
        <w:rPr>
          <w:sz w:val="20"/>
          <w:szCs w:val="20"/>
          <w:color w:val="auto"/>
        </w:rPr>
      </w:pPr>
    </w:p>
    <w:p>
      <w:pPr>
        <w:sectPr>
          <w:pgSz w:w="11900" w:h="16838" w:orient="portrait"/>
          <w:cols w:equalWidth="0" w:num="3">
            <w:col w:w="6620" w:space="300"/>
            <w:col w:w="2200" w:space="140"/>
            <w:col w:w="1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gridSpan w:val="4"/>
          </w:tcPr>
          <w:p>
            <w:pPr>
              <w:jc w:val="right"/>
              <w:ind w:right="495"/>
              <w:spacing w:after="0"/>
              <w:rPr>
                <w:sz w:val="20"/>
                <w:szCs w:val="20"/>
                <w:color w:val="auto"/>
              </w:rPr>
            </w:pPr>
            <w:r>
              <w:rPr>
                <w:rFonts w:ascii="Arial" w:cs="Arial" w:eastAsia="Arial" w:hAnsi="Arial"/>
                <w:sz w:val="17"/>
                <w:szCs w:val="17"/>
                <w:i w:val="1"/>
                <w:iCs w:val="1"/>
                <w:color w:val="auto"/>
                <w:w w:val="90"/>
              </w:rPr>
              <w:t>(in thousands, except per share and share amounts)</w:t>
            </w:r>
          </w:p>
        </w:tc>
        <w:tc>
          <w:tcPr>
            <w:tcW w:w="1140" w:type="dxa"/>
            <w:vAlign w:val="bottom"/>
          </w:tcPr>
          <w:p>
            <w:pPr>
              <w:spacing w:after="0"/>
              <w:rPr>
                <w:sz w:val="18"/>
                <w:szCs w:val="18"/>
                <w:color w:val="auto"/>
              </w:rPr>
            </w:pPr>
          </w:p>
        </w:tc>
      </w:tr>
      <w:tr>
        <w:trPr>
          <w:trHeight w:val="85"/>
        </w:trPr>
        <w:tc>
          <w:tcPr>
            <w:tcW w:w="4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3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July 1, 2022 - July 31, 2022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1,089,460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1,089,460</w:t>
            </w:r>
          </w:p>
        </w:tc>
        <w:tc>
          <w:tcPr>
            <w:tcW w:w="9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36,675</w:t>
            </w:r>
          </w:p>
        </w:tc>
      </w:tr>
      <w:tr>
        <w:trPr>
          <w:trHeight w:val="225"/>
        </w:trPr>
        <w:tc>
          <w:tcPr>
            <w:tcW w:w="4260" w:type="dxa"/>
            <w:vAlign w:val="bottom"/>
          </w:tcPr>
          <w:p>
            <w:pPr>
              <w:ind w:left="20"/>
              <w:spacing w:after="0"/>
              <w:rPr>
                <w:sz w:val="20"/>
                <w:szCs w:val="20"/>
                <w:color w:val="auto"/>
              </w:rPr>
            </w:pPr>
            <w:r>
              <w:rPr>
                <w:rFonts w:ascii="Arial" w:cs="Arial" w:eastAsia="Arial" w:hAnsi="Arial"/>
                <w:sz w:val="17"/>
                <w:szCs w:val="17"/>
                <w:color w:val="auto"/>
              </w:rPr>
              <w:t>August 1, 2022 - August 31, 2022</w:t>
            </w:r>
          </w:p>
        </w:tc>
        <w:tc>
          <w:tcPr>
            <w:tcW w:w="1400" w:type="dxa"/>
            <w:vAlign w:val="bottom"/>
          </w:tcPr>
          <w:p>
            <w:pPr>
              <w:jc w:val="right"/>
              <w:spacing w:after="0"/>
              <w:rPr>
                <w:sz w:val="20"/>
                <w:szCs w:val="20"/>
                <w:color w:val="auto"/>
              </w:rPr>
            </w:pPr>
            <w:r>
              <w:rPr>
                <w:rFonts w:ascii="Arial" w:cs="Arial" w:eastAsia="Arial" w:hAnsi="Arial"/>
                <w:sz w:val="17"/>
                <w:szCs w:val="17"/>
                <w:color w:val="auto"/>
              </w:rPr>
              <w:t>399,946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12.27</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399,946</w:t>
            </w:r>
          </w:p>
        </w:tc>
        <w:tc>
          <w:tcPr>
            <w:tcW w:w="960" w:type="dxa"/>
            <w:vAlign w:val="bottom"/>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31,767</w:t>
            </w:r>
          </w:p>
        </w:tc>
      </w:tr>
      <w:tr>
        <w:trPr>
          <w:trHeight w:val="31"/>
        </w:trPr>
        <w:tc>
          <w:tcPr>
            <w:tcW w:w="4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1, 2022 - September 30, 2022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311,656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311,656</w:t>
            </w:r>
          </w:p>
        </w:tc>
        <w:tc>
          <w:tcPr>
            <w:tcW w:w="9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28,220</w:t>
            </w:r>
          </w:p>
        </w:tc>
      </w:tr>
      <w:tr>
        <w:trPr>
          <w:trHeight w:val="248"/>
        </w:trPr>
        <w:tc>
          <w:tcPr>
            <w:tcW w:w="4260" w:type="dxa"/>
            <w:vAlign w:val="bottom"/>
          </w:tcPr>
          <w:p>
            <w:pPr>
              <w:ind w:left="140"/>
              <w:spacing w:after="0"/>
              <w:rPr>
                <w:sz w:val="20"/>
                <w:szCs w:val="20"/>
                <w:color w:val="auto"/>
              </w:rPr>
            </w:pPr>
            <w:r>
              <w:rPr>
                <w:rFonts w:ascii="Arial" w:cs="Arial" w:eastAsia="Arial" w:hAnsi="Arial"/>
                <w:sz w:val="17"/>
                <w:szCs w:val="17"/>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1,801,062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33.44</w:t>
            </w:r>
          </w:p>
        </w:tc>
        <w:tc>
          <w:tcPr>
            <w:tcW w:w="80" w:type="dxa"/>
            <w:vAlign w:val="bottom"/>
          </w:tcPr>
          <w:p>
            <w:pPr>
              <w:spacing w:after="0"/>
              <w:rPr>
                <w:sz w:val="21"/>
                <w:szCs w:val="21"/>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1,801,062</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4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60" w:hanging="328"/>
        <w:spacing w:after="0" w:line="290" w:lineRule="auto"/>
        <w:tabs>
          <w:tab w:leader="none" w:pos="654"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14, 2022, the Board of Directors of the Company approved The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This program does not obligate the Company to acquire any particular amount of common stock and may be modified, suspended or terminated at any time at the discretion of its board of directors. The Company expects to fund repurchases with existing cash on hand.</w:t>
      </w:r>
    </w:p>
    <w:p>
      <w:pPr>
        <w:spacing w:after="0" w:line="192" w:lineRule="exact"/>
        <w:rPr>
          <w:rFonts w:ascii="Arial" w:cs="Arial" w:eastAsia="Arial" w:hAnsi="Arial"/>
          <w:sz w:val="16"/>
          <w:szCs w:val="16"/>
          <w:color w:val="auto"/>
        </w:rPr>
      </w:pPr>
    </w:p>
    <w:p>
      <w:pPr>
        <w:ind w:left="66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7, 2022, our Board of Directors approved an expansion of the Repurchase Program with authorization to purchase up to an additional $50.0 million in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($100.0 million total) and an extension to the expiration of the Repurchase Program through December 31, 2023.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w w:val="93"/>
              </w:rPr>
              <w:t>Incorporated by Reference</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r>
      <w:tr>
        <w:trPr>
          <w:trHeight w:val="202"/>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Furnished</w:t>
            </w:r>
          </w:p>
        </w:tc>
      </w:tr>
      <w:tr>
        <w:trPr>
          <w:trHeight w:val="237"/>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5020" w:type="dxa"/>
            <w:vAlign w:val="bottom"/>
            <w:gridSpan w:val="12"/>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740" w:type="dxa"/>
            <w:vAlign w:val="bottom"/>
            <w:gridSpan w:val="2"/>
          </w:tcPr>
          <w:p>
            <w:pPr>
              <w:ind w:left="140"/>
              <w:spacing w:after="0"/>
              <w:rPr>
                <w:sz w:val="20"/>
                <w:szCs w:val="20"/>
                <w:color w:val="auto"/>
              </w:rPr>
            </w:pPr>
            <w:r>
              <w:rPr>
                <w:rFonts w:ascii="Arial" w:cs="Arial" w:eastAsia="Arial" w:hAnsi="Arial"/>
                <w:sz w:val="16"/>
                <w:szCs w:val="16"/>
                <w:b w:val="1"/>
                <w:bCs w:val="1"/>
                <w:color w:val="auto"/>
              </w:rPr>
              <w:t>Form</w:t>
            </w:r>
          </w:p>
        </w:tc>
        <w:tc>
          <w:tcPr>
            <w:tcW w:w="1300" w:type="dxa"/>
            <w:vAlign w:val="bottom"/>
            <w:gridSpan w:val="2"/>
          </w:tcPr>
          <w:p>
            <w:pPr>
              <w:ind w:left="340"/>
              <w:spacing w:after="0"/>
              <w:rPr>
                <w:sz w:val="20"/>
                <w:szCs w:val="20"/>
                <w:color w:val="auto"/>
              </w:rPr>
            </w:pPr>
            <w:r>
              <w:rPr>
                <w:rFonts w:ascii="Arial" w:cs="Arial" w:eastAsia="Arial" w:hAnsi="Arial"/>
                <w:sz w:val="16"/>
                <w:szCs w:val="16"/>
                <w:b w:val="1"/>
                <w:bCs w:val="1"/>
                <w:color w:val="auto"/>
              </w:rPr>
              <w:t>File No.</w:t>
            </w: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257"/>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189"/>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rFonts w:ascii="Arial" w:cs="Arial" w:eastAsia="Arial" w:hAnsi="Arial"/>
                <w:sz w:val="16"/>
                <w:szCs w:val="16"/>
                <w:color w:val="0000FF"/>
                <w:w w:val="95"/>
              </w:rPr>
            </w:pPr>
            <w:hyperlink r:id="rId97">
              <w:r>
                <w:rPr>
                  <w:rFonts w:ascii="Arial" w:cs="Arial" w:eastAsia="Arial" w:hAnsi="Arial"/>
                  <w:sz w:val="16"/>
                  <w:szCs w:val="16"/>
                  <w:color w:val="0000FF"/>
                  <w:w w:val="95"/>
                </w:rPr>
                <w:t>Amended and Restated Certificate of Incorporation of EverCommerce Inc</w:t>
              </w:r>
            </w:hyperlink>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91"/>
              </w:rPr>
              <w:t>001-40575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c>
          <w:tcPr>
            <w:tcW w:w="5020" w:type="dxa"/>
            <w:vAlign w:val="bottom"/>
            <w:gridSpan w:val="12"/>
          </w:tcPr>
          <w:p>
            <w:pPr>
              <w:ind w:left="20"/>
              <w:spacing w:after="0"/>
              <w:rPr>
                <w:rFonts w:ascii="Arial" w:cs="Arial" w:eastAsia="Arial" w:hAnsi="Arial"/>
                <w:sz w:val="16"/>
                <w:szCs w:val="16"/>
                <w:color w:val="0000FF"/>
              </w:rPr>
            </w:pPr>
            <w:hyperlink r:id="rId98">
              <w:r>
                <w:rPr>
                  <w:rFonts w:ascii="Arial" w:cs="Arial" w:eastAsia="Arial" w:hAnsi="Arial"/>
                  <w:sz w:val="16"/>
                  <w:szCs w:val="16"/>
                  <w:color w:val="0000FF"/>
                </w:rPr>
                <w:t>Amended and Restated Bylaws of EverCommerce Inc</w:t>
              </w:r>
            </w:hyperlink>
          </w:p>
        </w:tc>
        <w:tc>
          <w:tcPr>
            <w:tcW w:w="74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w w:val="91"/>
              </w:rPr>
              <w:t>001-40575</w:t>
            </w:r>
          </w:p>
        </w:tc>
        <w:tc>
          <w:tcPr>
            <w:tcW w:w="100" w:type="dxa"/>
            <w:vAlign w:val="bottom"/>
          </w:tcPr>
          <w:p>
            <w:pPr>
              <w:spacing w:after="0"/>
              <w:rPr>
                <w:sz w:val="16"/>
                <w:szCs w:val="16"/>
                <w:color w:val="auto"/>
              </w:rPr>
            </w:pPr>
          </w:p>
        </w:tc>
        <w:tc>
          <w:tcPr>
            <w:tcW w:w="860" w:type="dxa"/>
            <w:vAlign w:val="bottom"/>
          </w:tcPr>
          <w:p>
            <w:pPr>
              <w:jc w:val="right"/>
              <w:ind w:right="559"/>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0000FF"/>
                <w:w w:val="99"/>
              </w:rPr>
              <w:t>Certification of Chief Executive Officer pursuant to Rule 13a-14(a)/15d-</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9"/>
        </w:trPr>
        <w:tc>
          <w:tcPr>
            <w:tcW w:w="9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31.1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540" w:type="dxa"/>
            <w:vAlign w:val="bottom"/>
            <w:tcBorders>
              <w:top w:val="single" w:sz="8" w:color="0000FF"/>
            </w:tcBorders>
            <w:gridSpan w:val="6"/>
            <w:shd w:val="clear" w:color="auto" w:fill="CCEEFF"/>
          </w:tcPr>
          <w:p>
            <w:pPr>
              <w:spacing w:after="0" w:line="155" w:lineRule="exact"/>
              <w:rPr>
                <w:sz w:val="20"/>
                <w:szCs w:val="20"/>
                <w:color w:val="auto"/>
              </w:rPr>
            </w:pPr>
            <w:r>
              <w:rPr>
                <w:rFonts w:ascii="Arial" w:cs="Arial" w:eastAsia="Arial" w:hAnsi="Arial"/>
                <w:sz w:val="16"/>
                <w:szCs w:val="16"/>
                <w:color w:val="0000FF"/>
              </w:rPr>
              <w:t>14(a)</w:t>
            </w:r>
          </w:p>
        </w:tc>
        <w:tc>
          <w:tcPr>
            <w:tcW w:w="30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w:t>
            </w: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189"/>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gridSpan w:val="12"/>
          </w:tcPr>
          <w:p>
            <w:pPr>
              <w:ind w:left="20"/>
              <w:spacing w:after="0"/>
              <w:rPr>
                <w:sz w:val="20"/>
                <w:szCs w:val="20"/>
                <w:color w:val="auto"/>
              </w:rPr>
            </w:pPr>
            <w:r>
              <w:rPr>
                <w:rFonts w:ascii="Arial" w:cs="Arial" w:eastAsia="Arial" w:hAnsi="Arial"/>
                <w:sz w:val="16"/>
                <w:szCs w:val="16"/>
                <w:color w:val="0000FF"/>
              </w:rPr>
              <w:t>Certification of Chief Financial Officer pursuant to Rule 13a-14(a)/15d-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6"/>
                <w:szCs w:val="16"/>
                <w:color w:val="0000FF"/>
                <w:w w:val="85"/>
              </w:rPr>
              <w:t>14(a)</w:t>
            </w:r>
          </w:p>
        </w:tc>
        <w:tc>
          <w:tcPr>
            <w:tcW w:w="4060" w:type="dxa"/>
            <w:vAlign w:val="bottom"/>
            <w:tcBorders>
              <w:top w:val="single" w:sz="8" w:color="0000FF"/>
            </w:tcBorders>
            <w:gridSpan w:val="2"/>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ind w:left="20"/>
              <w:spacing w:after="0" w:line="169" w:lineRule="exact"/>
              <w:rPr>
                <w:sz w:val="20"/>
                <w:szCs w:val="20"/>
                <w:color w:val="auto"/>
              </w:rPr>
            </w:pPr>
            <w:r>
              <w:rPr>
                <w:rFonts w:ascii="Arial" w:cs="Arial" w:eastAsia="Arial" w:hAnsi="Arial"/>
                <w:sz w:val="16"/>
                <w:szCs w:val="16"/>
                <w:color w:val="auto"/>
              </w:rPr>
              <w:t>*</w:t>
            </w:r>
          </w:p>
        </w:tc>
      </w:tr>
      <w:tr>
        <w:trPr>
          <w:trHeight w:val="48"/>
        </w:trPr>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0000FF"/>
              </w:rPr>
              <w:t>Certification of Chief Executive Officer pursuant to 18 U.S.C. Section</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9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32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6"/>
                <w:szCs w:val="16"/>
                <w:color w:val="0000FF"/>
                <w:w w:val="84"/>
              </w:rPr>
              <w:t>1350</w:t>
            </w: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3000" w:type="dxa"/>
            <w:vAlign w:val="bottom"/>
            <w:tcBorders>
              <w:top w:val="single" w:sz="8" w:color="0000FF"/>
              <w:bottom w:val="single" w:sz="8" w:color="CCEEFF"/>
            </w:tcBorders>
            <w:shd w:val="clear" w:color="auto" w:fill="CCEEFF"/>
          </w:tcPr>
          <w:p>
            <w:pPr>
              <w:spacing w:after="0"/>
              <w:rPr>
                <w:sz w:val="18"/>
                <w:szCs w:val="18"/>
                <w:color w:val="auto"/>
              </w:rPr>
            </w:pPr>
          </w:p>
        </w:tc>
        <w:tc>
          <w:tcPr>
            <w:tcW w:w="10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6"/>
                <w:szCs w:val="16"/>
                <w:color w:val="auto"/>
              </w:rPr>
            </w:pPr>
          </w:p>
        </w:tc>
        <w:tc>
          <w:tcPr>
            <w:tcW w:w="5020" w:type="dxa"/>
            <w:vAlign w:val="bottom"/>
            <w:gridSpan w:val="12"/>
          </w:tcPr>
          <w:p>
            <w:pPr>
              <w:ind w:left="20"/>
              <w:spacing w:after="0"/>
              <w:rPr>
                <w:sz w:val="20"/>
                <w:szCs w:val="20"/>
                <w:color w:val="auto"/>
              </w:rPr>
            </w:pPr>
            <w:r>
              <w:rPr>
                <w:rFonts w:ascii="Arial" w:cs="Arial" w:eastAsia="Arial" w:hAnsi="Arial"/>
                <w:sz w:val="16"/>
                <w:szCs w:val="16"/>
                <w:color w:val="0000FF"/>
                <w:w w:val="95"/>
              </w:rPr>
              <w:t>Certification of Chief Financial Officer pursuant to 18 U.S.C. Section 1350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4"/>
              </w:rPr>
              <w:t>Inline XBRL Instance Document – the instance document does not appear</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w w:val="95"/>
              </w:rPr>
              <w:t>in the Interactive Data File because its XBRL tags are embedded within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101.INS</w:t>
            </w:r>
          </w:p>
        </w:tc>
        <w:tc>
          <w:tcPr>
            <w:tcW w:w="20" w:type="dxa"/>
            <w:vAlign w:val="bottom"/>
            <w:shd w:val="clear" w:color="auto" w:fill="CCEEFF"/>
          </w:tcPr>
          <w:p>
            <w:pPr>
              <w:spacing w:after="0"/>
              <w:rPr>
                <w:sz w:val="19"/>
                <w:szCs w:val="19"/>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rPr>
              <w:t>the Inline XBRL document.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53"/>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53"/>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6"/>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Cover Page Interactive Data File (formatted as Inline XBRL and contained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9"/>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rPr>
              <w:t>in Exhibit 101)</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EVERCOMMERCE INC.</w:t>
      </w:r>
    </w:p>
    <w:p>
      <w:pPr>
        <w:spacing w:after="0" w:line="329" w:lineRule="exact"/>
        <w:rPr>
          <w:sz w:val="20"/>
          <w:szCs w:val="20"/>
          <w:color w:val="auto"/>
        </w:rPr>
      </w:pPr>
    </w:p>
    <w:p>
      <w:pPr>
        <w:ind w:left="20"/>
        <w:spacing w:after="0"/>
        <w:tabs>
          <w:tab w:leader="none" w:pos="5640" w:val="left"/>
          <w:tab w:leader="none" w:pos="8200" w:val="left"/>
        </w:tabs>
        <w:rPr>
          <w:sz w:val="20"/>
          <w:szCs w:val="20"/>
          <w:color w:val="auto"/>
        </w:rPr>
      </w:pPr>
      <w:r>
        <w:rPr>
          <w:rFonts w:ascii="Arial" w:cs="Arial" w:eastAsia="Arial" w:hAnsi="Arial"/>
          <w:sz w:val="18"/>
          <w:szCs w:val="18"/>
          <w:b w:val="1"/>
          <w:bCs w:val="1"/>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8"/>
          <w:szCs w:val="18"/>
          <w:b w:val="1"/>
          <w:bCs w:val="1"/>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40" w:hanging="391"/>
        <w:spacing w:after="0"/>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[Omitted];</w:t>
      </w:r>
    </w:p>
    <w:p>
      <w:pPr>
        <w:spacing w:after="0" w:line="198"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hanging="432"/>
        <w:spacing w:after="0" w:line="274" w:lineRule="auto"/>
        <w:tabs>
          <w:tab w:leader="none" w:pos="4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500" w:val="left"/>
          <w:tab w:leader="none" w:pos="60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40640</wp:posOffset>
            </wp:positionV>
            <wp:extent cx="3300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66"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20" w:hanging="412"/>
        <w:spacing w:after="0" w:line="22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40" w:hanging="391"/>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198"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20" w:hanging="412"/>
        <w:spacing w:after="0" w:line="274"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460" w:val="left"/>
          <w:tab w:leader="none" w:pos="60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40640</wp:posOffset>
            </wp:positionV>
            <wp:extent cx="3300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6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September 30, 2022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00" w:right="20" w:hanging="451"/>
        <w:spacing w:after="0" w:line="246" w:lineRule="auto"/>
        <w:tabs>
          <w:tab w:leader="none" w:pos="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5620" w:val="left"/>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2918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6"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52"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ind w:left="75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September 30, 2022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00" w:right="20" w:hanging="451"/>
        <w:spacing w:after="0" w:line="246" w:lineRule="auto"/>
        <w:tabs>
          <w:tab w:leader="none" w:pos="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5620" w:val="left"/>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2918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 Thompson</w:t>
      </w:r>
    </w:p>
    <w:p>
      <w:pPr>
        <w:spacing w:after="0" w:line="5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97" Type="http://schemas.openxmlformats.org/officeDocument/2006/relationships/hyperlink" Target="http://www.sec.gov/Archives/edgar/data/0001853145/000114036121023912/nt10022251x16_ex3-1.htm" TargetMode="External"/><Relationship Id="rId98" Type="http://schemas.openxmlformats.org/officeDocument/2006/relationships/hyperlink" Target="http://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2022-11-10T19:08:37Z</dcterms:created>
  <dcterms:modified xsi:type="dcterms:W3CDTF">2022-11-10T19:08:37Z</dcterms:modified>
</cp:coreProperties>
</file>