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Date of report (Date of earliest event reported): </w:t>
      </w:r>
      <w:r>
        <w:rPr>
          <w:rFonts w:ascii="Times New Roman" w:hAnsi="Times New Roman"/>
          <w:b w:val="false"/>
          <w:color w:val="000000"/>
          <w:sz w:val="20"/>
          <w:shd w:fill="FFFFFF" w:val="clear"/>
        </w:rPr>
        <w:t>June 18, 2026</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EVERCOMMERCE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pPr>
      <w:r>
        <w:rPr/>
      </w:r>
    </w:p>
    <w:tbl>
      <w:tblPr>
        <w:tblW w:w="5550" w:type="dxa"/>
        <w:jc w:val="left"/>
        <w:tblInd w:w="0" w:type="dxa"/>
        <w:tblLayout w:type="fixed"/>
        <w:tblCellMar>
          <w:top w:w="0" w:type="dxa"/>
          <w:left w:w="0" w:type="dxa"/>
          <w:bottom w:w="0" w:type="dxa"/>
          <w:right w:w="0" w:type="dxa"/>
        </w:tblCellMar>
      </w:tblPr>
      <w:tblGrid>
        <w:gridCol w:w="2855"/>
        <w:gridCol w:w="1145"/>
        <w:gridCol w:w="1550"/>
      </w:tblGrid>
      <w:tr>
        <w:trPr/>
        <w:tc>
          <w:tcPr>
            <w:tcW w:w="28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11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001-40575</w:t>
            </w:r>
          </w:p>
        </w:tc>
        <w:tc>
          <w:tcPr>
            <w:tcW w:w="15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81-4063428</w:t>
            </w:r>
          </w:p>
        </w:tc>
      </w:tr>
      <w:tr>
        <w:trPr/>
        <w:tc>
          <w:tcPr>
            <w:tcW w:w="28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(State or other jurisdiction</w:t>
            </w:r>
          </w:p>
        </w:tc>
        <w:tc>
          <w:tcPr>
            <w:tcW w:w="11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(Commission</w:t>
            </w:r>
          </w:p>
        </w:tc>
        <w:tc>
          <w:tcPr>
            <w:tcW w:w="15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(I.R.S. Employer</w:t>
            </w:r>
          </w:p>
        </w:tc>
      </w:tr>
      <w:tr>
        <w:trPr/>
        <w:tc>
          <w:tcPr>
            <w:tcW w:w="28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of incorporation or organization)</w:t>
            </w:r>
          </w:p>
        </w:tc>
        <w:tc>
          <w:tcPr>
            <w:tcW w:w="11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File Number)</w:t>
            </w:r>
          </w:p>
        </w:tc>
        <w:tc>
          <w:tcPr>
            <w:tcW w:w="15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3601 Walnut Street, Suite 400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Denver, Colorado 80205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(Zip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(720) 647-4948</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include area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0"/>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 Securities registered pursuant to Section 12(b) of the Act:</w:t>
            </w:r>
          </w:p>
        </w:tc>
      </w:tr>
    </w:tbl>
    <w:p>
      <w:pPr>
        <w:pStyle w:val="TextBody"/>
        <w:bidi w:val="0"/>
        <w:spacing w:before="0" w:after="0"/>
        <w:jc w:val="left"/>
        <w:rPr/>
      </w:pPr>
      <w:r>
        <w:rPr/>
      </w:r>
    </w:p>
    <w:tbl>
      <w:tblPr>
        <w:tblW w:w="9295" w:type="dxa"/>
        <w:jc w:val="left"/>
        <w:tblInd w:w="0" w:type="dxa"/>
        <w:tblLayout w:type="fixed"/>
        <w:tblCellMar>
          <w:top w:w="0" w:type="dxa"/>
          <w:left w:w="0" w:type="dxa"/>
          <w:bottom w:w="28" w:type="dxa"/>
          <w:right w:w="0" w:type="dxa"/>
        </w:tblCellMar>
      </w:tblPr>
      <w:tblGrid>
        <w:gridCol w:w="3766"/>
        <w:gridCol w:w="116"/>
        <w:gridCol w:w="1546"/>
        <w:gridCol w:w="116"/>
        <w:gridCol w:w="3751"/>
      </w:tblGrid>
      <w:tr>
        <w:trPr/>
        <w:tc>
          <w:tcPr>
            <w:tcW w:w="3766"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Title of each class</w:t>
            </w:r>
          </w:p>
        </w:tc>
        <w:tc>
          <w:tcPr>
            <w:tcW w:w="116" w:type="dxa"/>
            <w:tcBorders/>
            <w:tcMar>
              <w:bottom w:w="0" w:type="dxa"/>
            </w:tcMar>
            <w:vAlign w:val="center"/>
          </w:tcPr>
          <w:p>
            <w:pPr>
              <w:pStyle w:val="TableContents"/>
              <w:bidi w:val="0"/>
              <w:spacing w:before="0" w:after="283"/>
              <w:jc w:val="left"/>
              <w:rPr/>
            </w:pPr>
            <w:r>
              <w:rPr/>
              <w:t> </w:t>
            </w:r>
          </w:p>
        </w:tc>
        <w:tc>
          <w:tcPr>
            <w:tcW w:w="1546"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Trading Symbols</w:t>
            </w:r>
          </w:p>
        </w:tc>
        <w:tc>
          <w:tcPr>
            <w:tcW w:w="116" w:type="dxa"/>
            <w:tcBorders/>
            <w:tcMar>
              <w:bottom w:w="0" w:type="dxa"/>
            </w:tcMar>
            <w:vAlign w:val="center"/>
          </w:tcPr>
          <w:p>
            <w:pPr>
              <w:pStyle w:val="TableContents"/>
              <w:bidi w:val="0"/>
              <w:spacing w:before="0" w:after="283"/>
              <w:jc w:val="left"/>
              <w:rPr/>
            </w:pPr>
            <w:r>
              <w:rPr/>
              <w:t> </w:t>
            </w:r>
          </w:p>
        </w:tc>
        <w:tc>
          <w:tcPr>
            <w:tcW w:w="3751"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Name of each exchange on which registered</w:t>
            </w:r>
          </w:p>
        </w:tc>
      </w:tr>
      <w:tr>
        <w:trPr/>
        <w:tc>
          <w:tcPr>
            <w:tcW w:w="3766" w:type="dxa"/>
            <w:tcBorders/>
            <w:tcMar>
              <w:top w:w="28" w:type="dxa"/>
              <w:left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$0.00001 par value per share</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546" w:type="dxa"/>
            <w:tcBorders/>
            <w:tcMar>
              <w:top w:w="28" w:type="dxa"/>
              <w:left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EVCM</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3751" w:type="dxa"/>
            <w:tcBorders/>
            <w:tcMar>
              <w:top w:w="28" w:type="dxa"/>
              <w:left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Item 5.07</w:t>
      </w:r>
      <w:r>
        <w:rPr>
          <w:rFonts w:ascii="Times New Roman" w:hAnsi="Times New Roman"/>
          <w:color w:val="000000"/>
          <w:sz w:val="20"/>
          <w:shd w:fill="FFFFFF" w:val="clear"/>
        </w:rPr>
        <w:t xml:space="preserve">   </w:t>
      </w:r>
      <w:r>
        <w:rPr>
          <w:rFonts w:ascii="Times New Roman" w:hAnsi="Times New Roman"/>
          <w:b/>
          <w:color w:val="000000"/>
          <w:sz w:val="20"/>
          <w:shd w:fill="FFFFFF" w:val="clear"/>
        </w:rPr>
        <w:t>Submission of Matters to a Vote of Security 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June 18, 2026, EverCommerce Inc. (the “Company”) held its 2026 Annual Meeting of Stockholders (the “Annual Meeting”). A total of 173,901,012 shares of common stock were present in person or represented by proxy at the Annual Meeting, representing approximately 98.24% percent of the Company’s outstanding common stock as of the April 20, 2026 record date. The following are the voting results for the proposals considered and voted upon at the meeting, each of which were described in the Company’s Definitive Proxy Statement filed with the Securities and Exchange Commission on April 28, 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Item 1 — Election of three Class II Directors to serve until the 2029 Annual Meeting of Stockholders, and until their respective successors have been duly elected and qualified.</w:t>
      </w:r>
    </w:p>
    <w:p>
      <w:pPr>
        <w:pStyle w:val="TextBody"/>
        <w:bidi w:val="0"/>
        <w:spacing w:before="0" w:after="0"/>
        <w:jc w:val="left"/>
        <w:rPr/>
      </w:pPr>
      <w:r>
        <w:rPr/>
      </w:r>
    </w:p>
    <w:tbl>
      <w:tblPr>
        <w:tblW w:w="6425" w:type="dxa"/>
        <w:jc w:val="left"/>
        <w:tblInd w:w="0" w:type="dxa"/>
        <w:tblLayout w:type="fixed"/>
        <w:tblCellMar>
          <w:top w:w="0" w:type="dxa"/>
          <w:left w:w="0" w:type="dxa"/>
          <w:bottom w:w="0" w:type="dxa"/>
          <w:right w:w="0" w:type="dxa"/>
        </w:tblCellMar>
      </w:tblPr>
      <w:tblGrid>
        <w:gridCol w:w="2255"/>
        <w:gridCol w:w="1055"/>
        <w:gridCol w:w="1565"/>
        <w:gridCol w:w="1550"/>
      </w:tblGrid>
      <w:tr>
        <w:trPr/>
        <w:tc>
          <w:tcPr>
            <w:tcW w:w="22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NOMINEE</w:t>
            </w:r>
          </w:p>
        </w:tc>
        <w:tc>
          <w:tcPr>
            <w:tcW w:w="10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Vote FOR</w:t>
            </w:r>
          </w:p>
        </w:tc>
        <w:tc>
          <w:tcPr>
            <w:tcW w:w="15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Vote WITHHELD</w:t>
            </w:r>
          </w:p>
        </w:tc>
        <w:tc>
          <w:tcPr>
            <w:tcW w:w="15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Broker Non-Votes</w:t>
            </w:r>
          </w:p>
        </w:tc>
      </w:tr>
      <w:tr>
        <w:trPr/>
        <w:tc>
          <w:tcPr>
            <w:tcW w:w="225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Amy Guggenheim Shenkan</w:t>
            </w:r>
          </w:p>
        </w:tc>
        <w:tc>
          <w:tcPr>
            <w:tcW w:w="10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169,944,703</w:t>
            </w:r>
          </w:p>
        </w:tc>
        <w:tc>
          <w:tcPr>
            <w:tcW w:w="15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86,998</w:t>
            </w:r>
          </w:p>
        </w:tc>
        <w:tc>
          <w:tcPr>
            <w:tcW w:w="15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3,869,311</w:t>
            </w:r>
          </w:p>
        </w:tc>
      </w:tr>
      <w:tr>
        <w:trPr/>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Rudella</w:t>
            </w:r>
          </w:p>
        </w:tc>
        <w:tc>
          <w:tcPr>
            <w:tcW w:w="105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169,392,868</w:t>
            </w:r>
          </w:p>
        </w:tc>
        <w:tc>
          <w:tcPr>
            <w:tcW w:w="156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638,833</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3,869,311</w:t>
            </w:r>
          </w:p>
        </w:tc>
      </w:tr>
      <w:tr>
        <w:trPr/>
        <w:tc>
          <w:tcPr>
            <w:tcW w:w="2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Hastings</w:t>
            </w:r>
          </w:p>
        </w:tc>
        <w:tc>
          <w:tcPr>
            <w:tcW w:w="10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169,458,898</w:t>
            </w:r>
          </w:p>
        </w:tc>
        <w:tc>
          <w:tcPr>
            <w:tcW w:w="15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572,803</w:t>
            </w:r>
          </w:p>
        </w:tc>
        <w:tc>
          <w:tcPr>
            <w:tcW w:w="15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3,869,311</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Item 2 — Ratification of the appointment of Ernst &amp; Young LLP as the Company’s independent registered public accounting firm for the year ending December 31, 2026.</w:t>
      </w:r>
    </w:p>
    <w:p>
      <w:pPr>
        <w:pStyle w:val="TextBody"/>
        <w:bidi w:val="0"/>
        <w:spacing w:before="0" w:after="0"/>
        <w:jc w:val="left"/>
        <w:rPr/>
      </w:pPr>
      <w:r>
        <w:rPr/>
      </w:r>
    </w:p>
    <w:tbl>
      <w:tblPr>
        <w:tblW w:w="5510" w:type="dxa"/>
        <w:jc w:val="left"/>
        <w:tblInd w:w="0" w:type="dxa"/>
        <w:tblLayout w:type="fixed"/>
        <w:tblCellMar>
          <w:top w:w="0" w:type="dxa"/>
          <w:left w:w="0" w:type="dxa"/>
          <w:bottom w:w="0" w:type="dxa"/>
          <w:right w:w="0" w:type="dxa"/>
        </w:tblCellMar>
      </w:tblPr>
      <w:tblGrid>
        <w:gridCol w:w="1055"/>
        <w:gridCol w:w="1325"/>
        <w:gridCol w:w="1580"/>
        <w:gridCol w:w="1550"/>
      </w:tblGrid>
      <w:tr>
        <w:trPr/>
        <w:tc>
          <w:tcPr>
            <w:tcW w:w="10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Vote For</w:t>
            </w:r>
          </w:p>
        </w:tc>
        <w:tc>
          <w:tcPr>
            <w:tcW w:w="132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Vote AGAINST</w:t>
            </w:r>
          </w:p>
        </w:tc>
        <w:tc>
          <w:tcPr>
            <w:tcW w:w="158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Vote ABSTAINED</w:t>
            </w:r>
          </w:p>
        </w:tc>
        <w:tc>
          <w:tcPr>
            <w:tcW w:w="15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Broker Non-Votes</w:t>
            </w:r>
          </w:p>
        </w:tc>
      </w:tr>
      <w:tr>
        <w:trPr/>
        <w:tc>
          <w:tcPr>
            <w:tcW w:w="1055"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c>
          <w:tcPr>
            <w:tcW w:w="1550" w:type="dxa"/>
            <w:tcBorders/>
            <w:vAlign w:val="center"/>
          </w:tcPr>
          <w:p>
            <w:pPr>
              <w:pStyle w:val="TableContents"/>
              <w:bidi w:val="0"/>
              <w:spacing w:before="0" w:after="283"/>
              <w:jc w:val="center"/>
              <w:rPr/>
            </w:pPr>
            <w:r>
              <w:rPr/>
              <w:t> </w:t>
            </w:r>
          </w:p>
        </w:tc>
      </w:tr>
      <w:tr>
        <w:trPr/>
        <w:tc>
          <w:tcPr>
            <w:tcW w:w="10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173,750,416</w:t>
            </w:r>
          </w:p>
        </w:tc>
        <w:tc>
          <w:tcPr>
            <w:tcW w:w="13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150,318</w:t>
            </w:r>
          </w:p>
        </w:tc>
        <w:tc>
          <w:tcPr>
            <w:tcW w:w="15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278</w:t>
            </w:r>
          </w:p>
        </w:tc>
        <w:tc>
          <w:tcPr>
            <w:tcW w:w="15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SIGNATURES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3730" w:type="dxa"/>
        <w:jc w:val="left"/>
        <w:tblInd w:w="0" w:type="dxa"/>
        <w:tblLayout w:type="fixed"/>
        <w:tblCellMar>
          <w:top w:w="0" w:type="dxa"/>
          <w:left w:w="0" w:type="dxa"/>
          <w:bottom w:w="0" w:type="dxa"/>
          <w:right w:w="0" w:type="dxa"/>
        </w:tblCellMar>
      </w:tblPr>
      <w:tblGrid>
        <w:gridCol w:w="1640"/>
        <w:gridCol w:w="352"/>
        <w:gridCol w:w="1738"/>
      </w:tblGrid>
      <w:tr>
        <w:trPr/>
        <w:tc>
          <w:tcPr>
            <w:tcW w:w="1640" w:type="dxa"/>
            <w:tcBorders/>
            <w:vAlign w:val="center"/>
          </w:tcPr>
          <w:p>
            <w:pPr>
              <w:pStyle w:val="TableContents"/>
              <w:bidi w:val="0"/>
              <w:spacing w:before="0" w:after="283"/>
              <w:jc w:val="left"/>
              <w:rPr/>
            </w:pPr>
            <w:r>
              <w:rPr/>
              <w:t> </w:t>
            </w:r>
          </w:p>
        </w:tc>
        <w:tc>
          <w:tcPr>
            <w:tcW w:w="209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EVERCOMMERCE INC.</w:t>
            </w:r>
          </w:p>
        </w:tc>
      </w:tr>
      <w:tr>
        <w:trPr/>
        <w:tc>
          <w:tcPr>
            <w:tcW w:w="164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1738"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June 23, 2026</w:t>
            </w:r>
          </w:p>
        </w:tc>
        <w:tc>
          <w:tcPr>
            <w:tcW w:w="3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738"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Lisa Storey</w:t>
            </w:r>
          </w:p>
        </w:tc>
      </w:tr>
      <w:tr>
        <w:trPr/>
        <w:tc>
          <w:tcPr>
            <w:tcW w:w="164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17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Lisa Storey</w:t>
            </w:r>
          </w:p>
        </w:tc>
      </w:tr>
      <w:tr>
        <w:trPr/>
        <w:tc>
          <w:tcPr>
            <w:tcW w:w="164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17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Legal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544</Words>
  <Characters>2996</Characters>
  <CharactersWithSpaces>3484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