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51" w:lineRule="exact"/>
        <w:rPr>
          <w:sz w:val="24"/>
          <w:szCs w:val="24"/>
          <w:color w:val="auto"/>
        </w:rPr>
      </w:pPr>
    </w:p>
    <w:p>
      <w:pPr>
        <w:ind w:left="600" w:hanging="534"/>
        <w:spacing w:after="0"/>
        <w:tabs>
          <w:tab w:leader="none" w:pos="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rFonts w:ascii="MS PGothic" w:cs="MS PGothic" w:eastAsia="MS PGothic" w:hAnsi="MS PGothic"/>
          <w:sz w:val="18"/>
          <w:szCs w:val="18"/>
          <w:color w:val="auto"/>
          <w:highlight w:val="black"/>
        </w:rPr>
      </w:pPr>
    </w:p>
    <w:p>
      <w:pPr>
        <w:ind w:left="29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transition period from ___________________ to ___________________</w:t>
      </w:r>
    </w:p>
    <w:p>
      <w:pPr>
        <w:spacing w:after="0" w:line="126"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001-40575</w:t>
      </w:r>
    </w:p>
    <w:p>
      <w:pPr>
        <w:spacing w:after="0" w:line="149" w:lineRule="exact"/>
        <w:rPr>
          <w:sz w:val="24"/>
          <w:szCs w:val="24"/>
          <w:color w:val="auto"/>
        </w:rPr>
      </w:pPr>
    </w:p>
    <w:tbl>
      <w:tblPr>
        <w:tblLayout w:type="fixed"/>
        <w:tblInd w:w="1560" w:type="dxa"/>
        <w:tblCellMar>
          <w:top w:w="0" w:type="dxa"/>
          <w:left w:w="0" w:type="dxa"/>
          <w:bottom w:w="0" w:type="dxa"/>
          <w:right w:w="0" w:type="dxa"/>
        </w:tblCellMar>
      </w:tblPr>
      <w:tr>
        <w:trPr>
          <w:trHeight w:val="375"/>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Arial" w:cs="Arial" w:eastAsia="Arial" w:hAnsi="Arial"/>
                <w:sz w:val="29"/>
                <w:szCs w:val="29"/>
                <w:b w:val="1"/>
                <w:bCs w:val="1"/>
                <w:color w:val="auto"/>
                <w:w w:val="91"/>
              </w:rPr>
              <w:t>EverCommerce Inc.</w:t>
            </w:r>
          </w:p>
        </w:tc>
      </w:tr>
      <w:tr>
        <w:trPr>
          <w:trHeight w:val="280"/>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392"/>
        </w:trPr>
        <w:tc>
          <w:tcPr>
            <w:tcW w:w="2200" w:type="dxa"/>
            <w:vAlign w:val="bottom"/>
          </w:tcPr>
          <w:p>
            <w:pPr>
              <w:jc w:val="center"/>
              <w:ind w:right="153"/>
              <w:spacing w:after="0"/>
              <w:rPr>
                <w:sz w:val="20"/>
                <w:szCs w:val="20"/>
                <w:color w:val="auto"/>
              </w:rPr>
            </w:pPr>
            <w:r>
              <w:rPr>
                <w:rFonts w:ascii="Arial" w:cs="Arial" w:eastAsia="Arial" w:hAnsi="Arial"/>
                <w:sz w:val="14"/>
                <w:szCs w:val="14"/>
                <w:b w:val="1"/>
                <w:bCs w:val="1"/>
                <w:color w:val="auto"/>
                <w:w w:val="94"/>
              </w:rPr>
              <w:t>Delaware</w:t>
            </w:r>
          </w:p>
        </w:tc>
        <w:tc>
          <w:tcPr>
            <w:tcW w:w="4760" w:type="dxa"/>
            <w:vAlign w:val="bottom"/>
          </w:tcPr>
          <w:p>
            <w:pPr>
              <w:jc w:val="right"/>
              <w:ind w:right="42"/>
              <w:spacing w:after="0"/>
              <w:rPr>
                <w:sz w:val="20"/>
                <w:szCs w:val="20"/>
                <w:color w:val="auto"/>
              </w:rPr>
            </w:pPr>
            <w:r>
              <w:rPr>
                <w:rFonts w:ascii="Arial" w:cs="Arial" w:eastAsia="Arial" w:hAnsi="Arial"/>
                <w:sz w:val="14"/>
                <w:szCs w:val="14"/>
                <w:b w:val="1"/>
                <w:bCs w:val="1"/>
                <w:color w:val="auto"/>
              </w:rPr>
              <w:t>81-4063248</w:t>
            </w:r>
          </w:p>
        </w:tc>
      </w:tr>
      <w:tr>
        <w:trPr>
          <w:trHeight w:val="200"/>
        </w:trPr>
        <w:tc>
          <w:tcPr>
            <w:tcW w:w="2200" w:type="dxa"/>
            <w:vAlign w:val="bottom"/>
          </w:tcPr>
          <w:p>
            <w:pPr>
              <w:jc w:val="center"/>
              <w:ind w:right="133"/>
              <w:spacing w:after="0"/>
              <w:rPr>
                <w:sz w:val="20"/>
                <w:szCs w:val="20"/>
                <w:color w:val="auto"/>
              </w:rPr>
            </w:pPr>
            <w:r>
              <w:rPr>
                <w:rFonts w:ascii="Arial" w:cs="Arial" w:eastAsia="Arial" w:hAnsi="Arial"/>
                <w:sz w:val="13"/>
                <w:szCs w:val="13"/>
                <w:color w:val="auto"/>
                <w:w w:val="91"/>
              </w:rPr>
              <w:t>(State or other jurisdiction of</w:t>
            </w:r>
          </w:p>
        </w:tc>
        <w:tc>
          <w:tcPr>
            <w:tcW w:w="4760" w:type="dxa"/>
            <w:vAlign w:val="bottom"/>
          </w:tcPr>
          <w:p>
            <w:pPr>
              <w:jc w:val="center"/>
              <w:ind w:left="3782"/>
              <w:spacing w:after="0"/>
              <w:rPr>
                <w:sz w:val="20"/>
                <w:szCs w:val="20"/>
                <w:color w:val="auto"/>
              </w:rPr>
            </w:pPr>
            <w:r>
              <w:rPr>
                <w:rFonts w:ascii="Arial" w:cs="Arial" w:eastAsia="Arial" w:hAnsi="Arial"/>
                <w:sz w:val="13"/>
                <w:szCs w:val="13"/>
                <w:color w:val="auto"/>
                <w:w w:val="90"/>
              </w:rPr>
              <w:t>(I.R.S. Employer</w:t>
            </w:r>
          </w:p>
        </w:tc>
      </w:tr>
      <w:tr>
        <w:trPr>
          <w:trHeight w:val="160"/>
        </w:trPr>
        <w:tc>
          <w:tcPr>
            <w:tcW w:w="2200" w:type="dxa"/>
            <w:vAlign w:val="bottom"/>
          </w:tcPr>
          <w:p>
            <w:pPr>
              <w:jc w:val="center"/>
              <w:ind w:right="133"/>
              <w:spacing w:after="0"/>
              <w:rPr>
                <w:sz w:val="20"/>
                <w:szCs w:val="20"/>
                <w:color w:val="auto"/>
              </w:rPr>
            </w:pPr>
            <w:r>
              <w:rPr>
                <w:rFonts w:ascii="Arial" w:cs="Arial" w:eastAsia="Arial" w:hAnsi="Arial"/>
                <w:sz w:val="13"/>
                <w:szCs w:val="13"/>
                <w:color w:val="auto"/>
                <w:w w:val="89"/>
              </w:rPr>
              <w:t>incorporation or organization)</w:t>
            </w:r>
          </w:p>
        </w:tc>
        <w:tc>
          <w:tcPr>
            <w:tcW w:w="4760" w:type="dxa"/>
            <w:vAlign w:val="bottom"/>
          </w:tcPr>
          <w:p>
            <w:pPr>
              <w:jc w:val="center"/>
              <w:ind w:left="3762"/>
              <w:spacing w:after="0"/>
              <w:rPr>
                <w:sz w:val="20"/>
                <w:szCs w:val="20"/>
                <w:color w:val="auto"/>
              </w:rPr>
            </w:pPr>
            <w:r>
              <w:rPr>
                <w:rFonts w:ascii="Arial" w:cs="Arial" w:eastAsia="Arial" w:hAnsi="Arial"/>
                <w:sz w:val="13"/>
                <w:szCs w:val="13"/>
                <w:color w:val="auto"/>
                <w:w w:val="90"/>
              </w:rPr>
              <w:t>Identification No.)</w:t>
            </w:r>
          </w:p>
        </w:tc>
      </w:tr>
      <w:tr>
        <w:trPr>
          <w:trHeight w:val="344"/>
        </w:trPr>
        <w:tc>
          <w:tcPr>
            <w:tcW w:w="2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3601 Walnut Street, Suite 400</w:t>
            </w:r>
          </w:p>
        </w:tc>
        <w:tc>
          <w:tcPr>
            <w:tcW w:w="4760" w:type="dxa"/>
            <w:vAlign w:val="bottom"/>
          </w:tcPr>
          <w:p>
            <w:pPr>
              <w:spacing w:after="0"/>
              <w:rPr>
                <w:sz w:val="24"/>
                <w:szCs w:val="24"/>
                <w:color w:val="auto"/>
              </w:rPr>
            </w:pPr>
          </w:p>
        </w:tc>
      </w:tr>
      <w:tr>
        <w:trPr>
          <w:trHeight w:val="200"/>
        </w:trPr>
        <w:tc>
          <w:tcPr>
            <w:tcW w:w="2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Denver, Colorado</w:t>
            </w:r>
          </w:p>
        </w:tc>
        <w:tc>
          <w:tcPr>
            <w:tcW w:w="4760" w:type="dxa"/>
            <w:vAlign w:val="bottom"/>
          </w:tcPr>
          <w:p>
            <w:pPr>
              <w:jc w:val="right"/>
              <w:ind w:right="202"/>
              <w:spacing w:after="0"/>
              <w:rPr>
                <w:sz w:val="20"/>
                <w:szCs w:val="20"/>
                <w:color w:val="auto"/>
              </w:rPr>
            </w:pPr>
            <w:r>
              <w:rPr>
                <w:rFonts w:ascii="Arial" w:cs="Arial" w:eastAsia="Arial" w:hAnsi="Arial"/>
                <w:sz w:val="14"/>
                <w:szCs w:val="14"/>
                <w:b w:val="1"/>
                <w:bCs w:val="1"/>
                <w:color w:val="auto"/>
              </w:rPr>
              <w:t>80205</w:t>
            </w:r>
          </w:p>
        </w:tc>
      </w:tr>
      <w:tr>
        <w:trPr>
          <w:trHeight w:val="212"/>
        </w:trPr>
        <w:tc>
          <w:tcPr>
            <w:tcW w:w="2200" w:type="dxa"/>
            <w:vAlign w:val="bottom"/>
          </w:tcPr>
          <w:p>
            <w:pPr>
              <w:jc w:val="center"/>
              <w:ind w:right="133"/>
              <w:spacing w:after="0"/>
              <w:rPr>
                <w:sz w:val="20"/>
                <w:szCs w:val="20"/>
                <w:color w:val="auto"/>
              </w:rPr>
            </w:pPr>
            <w:r>
              <w:rPr>
                <w:rFonts w:ascii="Arial" w:cs="Arial" w:eastAsia="Arial" w:hAnsi="Arial"/>
                <w:sz w:val="13"/>
                <w:szCs w:val="13"/>
                <w:color w:val="auto"/>
                <w:w w:val="89"/>
              </w:rPr>
              <w:t>(Address of principal executive offices)</w:t>
            </w:r>
          </w:p>
        </w:tc>
        <w:tc>
          <w:tcPr>
            <w:tcW w:w="4760" w:type="dxa"/>
            <w:vAlign w:val="bottom"/>
          </w:tcPr>
          <w:p>
            <w:pPr>
              <w:jc w:val="center"/>
              <w:ind w:left="3762"/>
              <w:spacing w:after="0"/>
              <w:rPr>
                <w:sz w:val="20"/>
                <w:szCs w:val="20"/>
                <w:color w:val="auto"/>
              </w:rPr>
            </w:pPr>
            <w:r>
              <w:rPr>
                <w:rFonts w:ascii="Arial" w:cs="Arial" w:eastAsia="Arial" w:hAnsi="Arial"/>
                <w:sz w:val="13"/>
                <w:szCs w:val="13"/>
                <w:color w:val="auto"/>
                <w:w w:val="91"/>
              </w:rPr>
              <w:t>(Zip Code)</w:t>
            </w:r>
          </w:p>
        </w:tc>
      </w:tr>
      <w:tr>
        <w:trPr>
          <w:trHeight w:val="290"/>
        </w:trPr>
        <w:tc>
          <w:tcPr>
            <w:tcW w:w="2200" w:type="dxa"/>
            <w:vAlign w:val="bottom"/>
          </w:tcPr>
          <w:p>
            <w:pPr>
              <w:spacing w:after="0"/>
              <w:rPr>
                <w:sz w:val="24"/>
                <w:szCs w:val="24"/>
                <w:color w:val="auto"/>
              </w:rPr>
            </w:pPr>
          </w:p>
        </w:tc>
        <w:tc>
          <w:tcPr>
            <w:tcW w:w="4760" w:type="dxa"/>
            <w:vAlign w:val="bottom"/>
          </w:tcPr>
          <w:p>
            <w:pPr>
              <w:jc w:val="center"/>
              <w:ind w:right="942"/>
              <w:spacing w:after="0"/>
              <w:rPr>
                <w:sz w:val="20"/>
                <w:szCs w:val="20"/>
                <w:color w:val="auto"/>
              </w:rPr>
            </w:pPr>
            <w:r>
              <w:rPr>
                <w:rFonts w:ascii="Arial" w:cs="Arial" w:eastAsia="Arial" w:hAnsi="Arial"/>
                <w:sz w:val="16"/>
                <w:szCs w:val="16"/>
                <w:b w:val="1"/>
                <w:bCs w:val="1"/>
                <w:color w:val="auto"/>
                <w:w w:val="93"/>
              </w:rPr>
              <w:t>(720) 647-4948</w:t>
            </w:r>
          </w:p>
        </w:tc>
      </w:tr>
      <w:tr>
        <w:trPr>
          <w:trHeight w:val="186"/>
        </w:trPr>
        <w:tc>
          <w:tcPr>
            <w:tcW w:w="2200" w:type="dxa"/>
            <w:vAlign w:val="bottom"/>
          </w:tcPr>
          <w:p>
            <w:pPr>
              <w:spacing w:after="0"/>
              <w:rPr>
                <w:sz w:val="16"/>
                <w:szCs w:val="16"/>
                <w:color w:val="auto"/>
              </w:rPr>
            </w:pPr>
          </w:p>
        </w:tc>
        <w:tc>
          <w:tcPr>
            <w:tcW w:w="4760" w:type="dxa"/>
            <w:vAlign w:val="bottom"/>
          </w:tcPr>
          <w:p>
            <w:pPr>
              <w:jc w:val="center"/>
              <w:ind w:right="962"/>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4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30"/>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184"/>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EVCM</w:t>
            </w: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39"/>
        </w:trPr>
        <w:tc>
          <w:tcPr>
            <w:tcW w:w="396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r>
    </w:tbl>
    <w:p>
      <w:pPr>
        <w:spacing w:after="0" w:line="193" w:lineRule="exact"/>
        <w:rPr>
          <w:sz w:val="24"/>
          <w:szCs w:val="24"/>
          <w:color w:val="auto"/>
        </w:rPr>
      </w:pPr>
    </w:p>
    <w:p>
      <w:pPr>
        <w:jc w:val="both"/>
        <w:ind w:right="2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20"/>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8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86"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MS PGothic" w:cs="MS PGothic" w:eastAsia="MS PGothic" w:hAnsi="MS PGothic"/>
          <w:sz w:val="17"/>
          <w:szCs w:val="17"/>
          <w:color w:val="auto"/>
        </w:rPr>
        <w:t>☐</w:t>
      </w:r>
      <w:r>
        <w:rPr>
          <w:rFonts w:ascii="Arial" w:cs="Arial" w:eastAsia="Arial" w:hAnsi="Arial"/>
          <w:sz w:val="16"/>
          <w:szCs w:val="16"/>
          <w:color w:val="auto"/>
        </w:rPr>
        <w:t xml:space="preserve"> </w:t>
      </w:r>
      <w:r>
        <w:rPr>
          <w:rFonts w:ascii="Arial" w:cs="Arial" w:eastAsia="Arial" w:hAnsi="Arial"/>
          <w:sz w:val="17"/>
          <w:szCs w:val="17"/>
          <w:color w:val="auto"/>
        </w:rPr>
        <w:t>No</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3, 2023, there were 188,658,621 shares of the registrant’s common stock, par value $0.00001,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1.</w:t>
            </w:r>
          </w:p>
        </w:tc>
        <w:tc>
          <w:tcPr>
            <w:tcW w:w="920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Condensed Consolidated Balance Sheets as of September 30, 2023 (unaudited) and December 31, 2022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Arial" w:cs="Arial" w:eastAsia="Arial" w:hAnsi="Arial"/>
                <w:sz w:val="18"/>
                <w:szCs w:val="18"/>
                <w:color w:val="auto"/>
                <w:w w:val="89"/>
              </w:rPr>
              <w:t>Condensed Consolidated Statements of Operations and Comprehensive Loss (unaudited) for the three and nine months ended</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280"/>
              <w:spacing w:after="0"/>
              <w:rPr>
                <w:sz w:val="20"/>
                <w:szCs w:val="20"/>
                <w:color w:val="auto"/>
              </w:rPr>
            </w:pPr>
            <w:r>
              <w:rPr>
                <w:rFonts w:ascii="Arial" w:cs="Arial" w:eastAsia="Arial" w:hAnsi="Arial"/>
                <w:sz w:val="18"/>
                <w:szCs w:val="18"/>
                <w:color w:val="auto"/>
              </w:rPr>
              <w:t>September 30, 2023 and 2022</w:t>
            </w:r>
          </w:p>
        </w:tc>
        <w:tc>
          <w:tcPr>
            <w:tcW w:w="106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Condensed Consolidated Statements of Stockholders’ Equity (unaudited) for the three and nine months ended September 30,</w:t>
            </w: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 and 2022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0" w:type="dxa"/>
            <w:vAlign w:val="bottom"/>
          </w:tcPr>
          <w:p>
            <w:pPr>
              <w:ind w:left="120"/>
              <w:spacing w:after="0"/>
              <w:rPr>
                <w:sz w:val="20"/>
                <w:szCs w:val="20"/>
                <w:color w:val="auto"/>
              </w:rPr>
            </w:pPr>
            <w:r>
              <w:rPr>
                <w:rFonts w:ascii="Arial" w:cs="Arial" w:eastAsia="Arial" w:hAnsi="Arial"/>
                <w:sz w:val="18"/>
                <w:szCs w:val="18"/>
                <w:color w:val="auto"/>
                <w:w w:val="92"/>
              </w:rPr>
              <w:t>Condensed Consolidated Statements of Cash Flows (unaudited) for the nine months ended September 30, 2023 and 2022</w:t>
            </w:r>
          </w:p>
        </w:tc>
        <w:tc>
          <w:tcPr>
            <w:tcW w:w="106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Notes to Condensed Consolidated Financial Statements (unaudited)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2.</w:t>
            </w:r>
          </w:p>
        </w:tc>
        <w:tc>
          <w:tcPr>
            <w:tcW w:w="920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19</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4.</w:t>
            </w:r>
          </w:p>
        </w:tc>
        <w:tc>
          <w:tcPr>
            <w:tcW w:w="920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31</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20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Legal Proceedings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2.</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3.</w:t>
            </w:r>
          </w:p>
        </w:tc>
        <w:tc>
          <w:tcPr>
            <w:tcW w:w="9200" w:type="dxa"/>
            <w:vAlign w:val="bottom"/>
          </w:tcPr>
          <w:p>
            <w:pPr>
              <w:ind w:left="120"/>
              <w:spacing w:after="0"/>
              <w:rPr>
                <w:sz w:val="20"/>
                <w:szCs w:val="20"/>
                <w:color w:val="auto"/>
              </w:rPr>
            </w:pPr>
            <w:r>
              <w:rPr>
                <w:rFonts w:ascii="Arial" w:cs="Arial" w:eastAsia="Arial" w:hAnsi="Arial"/>
                <w:sz w:val="18"/>
                <w:szCs w:val="18"/>
                <w:color w:val="auto"/>
              </w:rPr>
              <w:t>Defaults Upon Senior Securities</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4.</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Mine Safety Disclosures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8"/>
                <w:szCs w:val="18"/>
                <w:color w:val="auto"/>
              </w:rPr>
              <w:t>Item 5.</w:t>
            </w:r>
          </w:p>
        </w:tc>
        <w:tc>
          <w:tcPr>
            <w:tcW w:w="920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6.</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Exhibits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00FF"/>
                <w:w w:val="89"/>
              </w:rPr>
              <w:t>32</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Signatures</w:t>
            </w:r>
          </w:p>
        </w:tc>
        <w:tc>
          <w:tcPr>
            <w:tcW w:w="9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0000FF"/>
                <w:w w:val="89"/>
              </w:rPr>
              <w:t>34</w:t>
            </w:r>
          </w:p>
        </w:tc>
        <w:tc>
          <w:tcPr>
            <w:tcW w:w="40" w:type="dxa"/>
            <w:vAlign w:val="bottom"/>
          </w:tcPr>
          <w:p>
            <w:pPr>
              <w:spacing w:after="0"/>
              <w:rPr>
                <w:sz w:val="21"/>
                <w:szCs w:val="21"/>
                <w:color w:val="auto"/>
              </w:rPr>
            </w:pPr>
          </w:p>
        </w:tc>
      </w:tr>
      <w:tr>
        <w:trPr>
          <w:trHeight w:val="1290"/>
        </w:trPr>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may not achieve profitability in the future; we may continue to experience significant quarterly and annual fluctuations in our operating results due to a number of factors, which makes our future operating results difficult to predict; we may reduce our rate of acquisitions and may be unsuccessful in achieving continued growth through acquisitions; revenues and profits generated through acquisitions may be less than anticipated, and we may fail to uncover all liabilities of acquisition targets; we may need to incur additional indebtedness or seek capital through new equity or debt financings, which may not be available to us on acceptable terms or at all;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we are dependent on payment card networks and payment processors and if we fail to comply with the applicable requirements of our payment network or payment processors, they can seek to fine us, suspend us or terminate our registrations through our bank sponsors; the inability to keep pace with rapid developments and changes in the electronic payments market or are unable to introduce, develop and market new and enhanced versions of our software solutions; real or perceived errors, failures or bugs in our solutions; unauthorized disclosure, destruction or modification of data, disruption of our software or services or cyber breaches; our estimated total addressable market is subject to inherent challenges and uncertainties; actual or perceived inaccuracies in our operational metrics may harm our reputation; failure to effectively develop and expand our sales and marketing capabilities; failure to maintain and enhance our reputation and brand recognition; inability to retain current customers or to sell additional functionality and services to them may adversely affect our revenue growth; our systems and our third-party providers’ systems may fail or our third-party providers may discontinue providing their services or technology or to us specifically; faster growth of lower margin solutions and services than higher margin solutions and services; impacts from COVID-19 and the risk of future pandemics, epidemics or outbreaks of an infectious disease in the United States; economic and political risks, including the business cycles of our clients and changes in the overall level of consumer and commercial spending; our ability to retain and hire skilled personnel; risks related to our indebtedness; risks related to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as well as the other factors described in our Annual Report on Form 10-K for the year ended December 31, 2022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87,335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92,625</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Accounts receivable, net of allowance for expected credit losses of $6.3 million and $4.7 million at September 30,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2023 and December 31, 2022,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12,971</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23,760</w:t>
            </w: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179,261</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180,587</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Capitalized software, net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32,554</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46,855</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340,841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405,720</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923,766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914,082</w:t>
            </w: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1,541,299</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1,591,728</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8,373</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56,963</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11,360</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37"/>
        </w:trPr>
        <w:tc>
          <w:tcPr>
            <w:tcW w:w="8400" w:type="dxa"/>
            <w:vAlign w:val="bottom"/>
          </w:tcPr>
          <w:p>
            <w:pPr>
              <w:ind w:left="2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108,616</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105,081</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530,946</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49,008</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679,143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685,035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8400" w:type="dxa"/>
            <w:vAlign w:val="bottom"/>
          </w:tcPr>
          <w:p>
            <w:pPr>
              <w:ind w:left="100"/>
              <w:spacing w:after="0"/>
              <w:rPr>
                <w:sz w:val="20"/>
                <w:szCs w:val="20"/>
                <w:color w:val="auto"/>
              </w:rPr>
            </w:pPr>
            <w:r>
              <w:rPr>
                <w:rFonts w:ascii="Arial" w:cs="Arial" w:eastAsia="Arial" w:hAnsi="Arial"/>
                <w:sz w:val="18"/>
                <w:szCs w:val="18"/>
                <w:color w:val="auto"/>
                <w:w w:val="94"/>
              </w:rPr>
              <w:t>Preferred stock, $0.00001 par value, 50,000,000 shares authorized and no shares issued or outstanding as of</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400" w:type="dxa"/>
            <w:vAlign w:val="bottom"/>
          </w:tcPr>
          <w:p>
            <w:pPr>
              <w:ind w:left="260"/>
              <w:spacing w:after="0"/>
              <w:rPr>
                <w:sz w:val="20"/>
                <w:szCs w:val="20"/>
                <w:color w:val="auto"/>
              </w:rPr>
            </w:pPr>
            <w:r>
              <w:rPr>
                <w:rFonts w:ascii="Arial" w:cs="Arial" w:eastAsia="Arial" w:hAnsi="Arial"/>
                <w:sz w:val="18"/>
                <w:szCs w:val="18"/>
                <w:color w:val="auto"/>
              </w:rPr>
              <w:t>September 30, 2023 and December 31, 2022</w:t>
            </w: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8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Common stock, $0.00001 par value, 2,000,000,000 shares authorized and 188,927,445 and 191,447,237 shares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8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issued and outstanding at September 30, 2023 and December 31, 2022,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(10,198)</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1,489,935</w:t>
            </w:r>
          </w:p>
        </w:tc>
      </w:tr>
      <w:tr>
        <w:trPr>
          <w:trHeight w:val="243"/>
        </w:trPr>
        <w:tc>
          <w:tcPr>
            <w:tcW w:w="84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(596,640)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(573,046)</w:t>
            </w: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862,156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906,693</w:t>
            </w:r>
          </w:p>
        </w:tc>
      </w:tr>
      <w:tr>
        <w:trPr>
          <w:trHeight w:val="264"/>
        </w:trPr>
        <w:tc>
          <w:tcPr>
            <w:tcW w:w="8400" w:type="dxa"/>
            <w:vAlign w:val="bottom"/>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1,541,299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1,591,728</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174"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700" w:type="dxa"/>
            <w:vAlign w:val="bottom"/>
            <w:gridSpan w:val="4"/>
          </w:tcPr>
          <w:p>
            <w:pPr>
              <w:jc w:val="right"/>
              <w:ind w:right="77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132,640</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120,085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386,765</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343,734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101,340</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505,929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revenues (exclusive of depreciation and amortization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presented separately below)</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175,602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163,503</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30,086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91,660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53,568</w:t>
            </w: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31,538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101,553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77,975</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0" w:type="dxa"/>
            <w:vAlign w:val="bottom"/>
          </w:tcPr>
          <w:p>
            <w:pPr>
              <w:spacing w:after="0"/>
              <w:rPr>
                <w:sz w:val="1"/>
                <w:szCs w:val="1"/>
                <w:color w:val="auto"/>
              </w:rPr>
            </w:pPr>
          </w:p>
        </w:tc>
      </w:tr>
      <w:tr>
        <w:trPr>
          <w:trHeight w:val="237"/>
        </w:trPr>
        <w:tc>
          <w:tcPr>
            <w:tcW w:w="5160" w:type="dxa"/>
            <w:vAlign w:val="bottom"/>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168,448</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165,380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503,142</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485,874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jc w:val="right"/>
              <w:ind w:right="289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(26,926)</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b w:val="1"/>
                <w:bCs w:val="1"/>
                <w:color w:val="auto"/>
                <w:w w:val="90"/>
              </w:rPr>
              <w:t>Net loss attributable to common stockholders before income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jc w:val="right"/>
              <w:ind w:right="2890"/>
              <w:spacing w:after="0"/>
              <w:rPr>
                <w:sz w:val="20"/>
                <w:szCs w:val="20"/>
                <w:color w:val="auto"/>
              </w:rPr>
            </w:pPr>
            <w:r>
              <w:rPr>
                <w:rFonts w:ascii="Arial" w:cs="Arial" w:eastAsia="Arial" w:hAnsi="Arial"/>
                <w:sz w:val="18"/>
                <w:szCs w:val="18"/>
                <w:b w:val="1"/>
                <w:bCs w:val="1"/>
                <w:color w:val="auto"/>
              </w:rPr>
              <w:t>tax (expense) benefit</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(47,996)</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Net loss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translation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37"/>
        </w:trPr>
        <w:tc>
          <w:tcPr>
            <w:tcW w:w="5160" w:type="dxa"/>
            <w:vAlign w:val="bottom"/>
          </w:tcPr>
          <w:p>
            <w:pPr>
              <w:ind w:left="680"/>
              <w:spacing w:after="0"/>
              <w:rPr>
                <w:sz w:val="20"/>
                <w:szCs w:val="20"/>
                <w:color w:val="auto"/>
              </w:rPr>
            </w:pPr>
            <w:r>
              <w:rPr>
                <w:rFonts w:ascii="Arial" w:cs="Arial" w:eastAsia="Arial" w:hAnsi="Arial"/>
                <w:sz w:val="18"/>
                <w:szCs w:val="18"/>
                <w:b w:val="1"/>
                <w:bCs w:val="1"/>
                <w:color w:val="auto"/>
                <w:w w:val="89"/>
              </w:rPr>
              <w:t>Comprehensive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(22,831)</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(25,006)</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(57,854)</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Basic and diluted net loss per share attributable to common</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300" w:type="dxa"/>
            <w:vAlign w:val="bottom"/>
            <w:vMerge w:val="continue"/>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weighted-average shares of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188,805,421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194,542,764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189,039,709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7"/>
              </w:rPr>
              <w:t>195,205,260</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outstanding used in computing net loss per share</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gridSpan w:val="3"/>
            <w:vMerge w:val="restart"/>
          </w:tcPr>
          <w:p>
            <w:pPr>
              <w:jc w:val="right"/>
              <w:ind w:right="33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94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1"/>
        </w:trPr>
        <w:tc>
          <w:tcPr>
            <w:tcW w:w="4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91"/>
              <w:spacing w:after="0" w:line="176" w:lineRule="exact"/>
              <w:rPr>
                <w:sz w:val="20"/>
                <w:szCs w:val="20"/>
                <w:color w:val="auto"/>
              </w:rPr>
            </w:pPr>
            <w:r>
              <w:rPr>
                <w:rFonts w:ascii="Arial" w:cs="Arial" w:eastAsia="Arial" w:hAnsi="Arial"/>
                <w:sz w:val="16"/>
                <w:szCs w:val="16"/>
                <w:b w:val="1"/>
                <w:bCs w:val="1"/>
                <w:color w:val="auto"/>
              </w:rPr>
              <w:t>Paid-In</w:t>
            </w:r>
          </w:p>
        </w:tc>
        <w:tc>
          <w:tcPr>
            <w:tcW w:w="110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w w:val="99"/>
              </w:rPr>
              <w:t>Accumulated</w:t>
            </w:r>
          </w:p>
        </w:tc>
        <w:tc>
          <w:tcPr>
            <w:tcW w:w="112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1,489,935</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(573,046)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906,693</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(29,643)</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(29,643)</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 xml:space="preserve">Adoption of ASC 326, </w:t>
            </w:r>
            <w:r>
              <w:rPr>
                <w:rFonts w:ascii="Arial" w:cs="Arial" w:eastAsia="Arial" w:hAnsi="Arial"/>
                <w:sz w:val="18"/>
                <w:szCs w:val="18"/>
                <w:i w:val="1"/>
                <w:iCs w:val="1"/>
                <w:color w:val="auto"/>
              </w:rPr>
              <w:t>Current Expected Credit Losses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losses, net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(20,775)</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1,468,415</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(595,130)</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862,990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ind w:left="100"/>
              <w:spacing w:after="0"/>
              <w:rPr>
                <w:sz w:val="20"/>
                <w:szCs w:val="20"/>
                <w:color w:val="auto"/>
              </w:rPr>
            </w:pPr>
            <w:r>
              <w:rPr>
                <w:rFonts w:ascii="Arial" w:cs="Arial" w:eastAsia="Arial" w:hAnsi="Arial"/>
                <w:sz w:val="18"/>
                <w:szCs w:val="18"/>
                <w:color w:val="auto"/>
                <w:w w:val="95"/>
              </w:rPr>
              <w:t>Issuance of common stock for 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 issued upon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6,241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 exercises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w w:val="98"/>
              </w:rPr>
              <w:t>Repurchase and retirement of common stock including taxes</w:t>
            </w:r>
          </w:p>
        </w:tc>
        <w:tc>
          <w:tcPr>
            <w:tcW w:w="920" w:type="dxa"/>
            <w:vAlign w:val="bottom"/>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(10,361)</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losses, net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1,466,360</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(596,026)</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859,357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ind w:left="100"/>
              <w:spacing w:after="0"/>
              <w:rPr>
                <w:sz w:val="20"/>
                <w:szCs w:val="20"/>
                <w:color w:val="auto"/>
              </w:rPr>
            </w:pPr>
            <w:r>
              <w:rPr>
                <w:rFonts w:ascii="Arial" w:cs="Arial" w:eastAsia="Arial" w:hAnsi="Arial"/>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8"/>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Arial" w:cs="Arial" w:eastAsia="Arial" w:hAnsi="Arial"/>
                <w:sz w:val="18"/>
                <w:szCs w:val="18"/>
                <w:color w:val="auto"/>
              </w:rPr>
              <w:t>Foreign currency translation losses, net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6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1,471,713</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(596,640)</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862,156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174"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0"/>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2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31"/>
              <w:spacing w:after="0" w:line="162" w:lineRule="exact"/>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170"/>
              <w:spacing w:after="0" w:line="182" w:lineRule="exact"/>
              <w:rPr>
                <w:sz w:val="20"/>
                <w:szCs w:val="20"/>
                <w:color w:val="auto"/>
              </w:rPr>
            </w:pPr>
            <w:r>
              <w:rPr>
                <w:rFonts w:ascii="Arial" w:cs="Arial" w:eastAsia="Arial" w:hAnsi="Arial"/>
                <w:sz w:val="18"/>
                <w:szCs w:val="18"/>
                <w:b w:val="1"/>
                <w:bCs w:val="1"/>
                <w:color w:val="auto"/>
              </w:rPr>
              <w:t>Paid-In</w:t>
            </w:r>
          </w:p>
        </w:tc>
        <w:tc>
          <w:tcPr>
            <w:tcW w:w="3360" w:type="dxa"/>
            <w:vAlign w:val="bottom"/>
            <w:gridSpan w:val="6"/>
            <w:vMerge w:val="restart"/>
          </w:tcPr>
          <w:p>
            <w:pPr>
              <w:ind w:left="40"/>
              <w:spacing w:after="0" w:line="182" w:lineRule="exact"/>
              <w:rPr>
                <w:sz w:val="20"/>
                <w:szCs w:val="20"/>
                <w:color w:val="auto"/>
              </w:rPr>
            </w:pPr>
            <w:r>
              <w:rPr>
                <w:rFonts w:ascii="Arial" w:cs="Arial" w:eastAsia="Arial" w:hAnsi="Arial"/>
                <w:sz w:val="18"/>
                <w:szCs w:val="18"/>
                <w:b w:val="1"/>
                <w:bCs w:val="1"/>
                <w:color w:val="auto"/>
                <w:w w:val="91"/>
              </w:rPr>
              <w:t xml:space="preserve">Accumulated </w:t>
            </w:r>
            <w:r>
              <w:rPr>
                <w:rFonts w:ascii="Arial" w:cs="Arial" w:eastAsia="Arial" w:hAnsi="Arial"/>
                <w:sz w:val="16"/>
                <w:szCs w:val="16"/>
                <w:b w:val="1"/>
                <w:bCs w:val="1"/>
                <w:color w:val="auto"/>
                <w:w w:val="91"/>
              </w:rPr>
              <w:t>Comprehensive</w:t>
            </w:r>
            <w:r>
              <w:rPr>
                <w:rFonts w:ascii="Arial" w:cs="Arial" w:eastAsia="Arial" w:hAnsi="Arial"/>
                <w:sz w:val="18"/>
                <w:szCs w:val="18"/>
                <w:b w:val="1"/>
                <w:bCs w:val="1"/>
                <w:color w:val="auto"/>
                <w:w w:val="91"/>
              </w:rPr>
              <w:t xml:space="preserve"> 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33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Arial" w:cs="Arial" w:eastAsia="Arial" w:hAnsi="Arial"/>
                <w:sz w:val="16"/>
                <w:szCs w:val="16"/>
                <w:b w:val="1"/>
                <w:bCs w:val="1"/>
                <w:color w:val="auto"/>
                <w:w w:val="85"/>
              </w:rPr>
              <w:t>Loss</w:t>
            </w:r>
          </w:p>
        </w:tc>
        <w:tc>
          <w:tcPr>
            <w:tcW w:w="2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195,384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1,500,643</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(513,230)</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 exercises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Foreign currency translation losses, net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0" w:type="dxa"/>
            <w:vAlign w:val="bottom"/>
          </w:tcPr>
          <w:p>
            <w:pPr>
              <w:spacing w:after="0"/>
              <w:rPr>
                <w:sz w:val="1"/>
                <w:szCs w:val="1"/>
                <w:color w:val="auto"/>
              </w:rPr>
            </w:pPr>
          </w:p>
        </w:tc>
      </w:tr>
      <w:tr>
        <w:trPr>
          <w:trHeight w:val="263"/>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2022</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1,507,501</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(526,539)</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3"/>
              </w:rPr>
              <w:t>Issuance of common stock for 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6,508</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 exercises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losses,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(12,881)</w:t>
            </w:r>
          </w:p>
        </w:tc>
        <w:tc>
          <w:tcPr>
            <w:tcW w:w="0" w:type="dxa"/>
            <w:vAlign w:val="bottom"/>
          </w:tcPr>
          <w:p>
            <w:pPr>
              <w:spacing w:after="0"/>
              <w:rPr>
                <w:sz w:val="1"/>
                <w:szCs w:val="1"/>
                <w:color w:val="auto"/>
              </w:rPr>
            </w:pPr>
          </w:p>
        </w:tc>
      </w:tr>
      <w:tr>
        <w:trPr>
          <w:trHeight w:val="27"/>
        </w:trPr>
        <w:tc>
          <w:tcPr>
            <w:tcW w:w="48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195,528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1,513,529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(539,420)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w w:val="93"/>
              </w:rPr>
              <w:t>Issuance of common stock for Employee Stock Purchase Plan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8"/>
              </w:rPr>
              <w:t>Common stock issued upon 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7,133</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 option exercises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(19,198)</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currency translation losses,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(15,853)</w:t>
            </w:r>
          </w:p>
        </w:tc>
        <w:tc>
          <w:tcPr>
            <w:tcW w:w="0" w:type="dxa"/>
            <w:vAlign w:val="bottom"/>
          </w:tcPr>
          <w:p>
            <w:pPr>
              <w:spacing w:after="0"/>
              <w:rPr>
                <w:sz w:val="1"/>
                <w:szCs w:val="1"/>
                <w:color w:val="auto"/>
              </w:rPr>
            </w:pPr>
          </w:p>
        </w:tc>
      </w:tr>
      <w:tr>
        <w:trPr>
          <w:trHeight w:val="27"/>
        </w:trPr>
        <w:tc>
          <w:tcPr>
            <w:tcW w:w="48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193,938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1,501,985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(555,273)</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327"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Nine months ended</w:t>
      </w:r>
    </w:p>
    <w:p>
      <w:pPr>
        <w:spacing w:after="0" w:line="23"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2022</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(22,285)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(42,043)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82,524</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 and non-cash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non-cash items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(11,722)</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7"/>
        </w:trPr>
        <w:tc>
          <w:tcPr>
            <w:tcW w:w="8240" w:type="dxa"/>
            <w:vAlign w:val="bottom"/>
          </w:tcPr>
          <w:p>
            <w:pPr>
              <w:ind w:left="4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68,587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37,612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Capitalization of software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w:t>
            </w:r>
          </w:p>
        </w:tc>
      </w:tr>
      <w:tr>
        <w:trPr>
          <w:trHeight w:val="243"/>
        </w:trPr>
        <w:tc>
          <w:tcPr>
            <w:tcW w:w="8240" w:type="dxa"/>
            <w:vAlign w:val="bottom"/>
          </w:tcPr>
          <w:p>
            <w:pPr>
              <w:ind w:left="100"/>
              <w:spacing w:after="0"/>
              <w:rPr>
                <w:sz w:val="20"/>
                <w:szCs w:val="20"/>
                <w:color w:val="auto"/>
              </w:rPr>
            </w:pPr>
            <w:r>
              <w:rPr>
                <w:rFonts w:ascii="Arial" w:cs="Arial" w:eastAsia="Arial" w:hAnsi="Arial"/>
                <w:sz w:val="18"/>
                <w:szCs w:val="18"/>
                <w:color w:val="auto"/>
              </w:rPr>
              <w:t>Acquisition, net of cash acquired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used in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Payments on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r>
      <w:tr>
        <w:trPr>
          <w:trHeight w:val="243"/>
        </w:trPr>
        <w:tc>
          <w:tcPr>
            <w:tcW w:w="8240" w:type="dxa"/>
            <w:vAlign w:val="bottom"/>
          </w:tcPr>
          <w:p>
            <w:pPr>
              <w:ind w:left="100"/>
              <w:spacing w:after="0"/>
              <w:rPr>
                <w:sz w:val="20"/>
                <w:szCs w:val="20"/>
                <w:color w:val="auto"/>
              </w:rPr>
            </w:pPr>
            <w:r>
              <w:rPr>
                <w:rFonts w:ascii="Arial" w:cs="Arial" w:eastAsia="Arial" w:hAnsi="Arial"/>
                <w:sz w:val="18"/>
                <w:szCs w:val="18"/>
                <w:color w:val="auto"/>
              </w:rPr>
              <w:t>Exercise of stock options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common stock issuance for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43"/>
        </w:trPr>
        <w:tc>
          <w:tcPr>
            <w:tcW w:w="8240" w:type="dxa"/>
            <w:vAlign w:val="bottom"/>
          </w:tcPr>
          <w:p>
            <w:pPr>
              <w:ind w:left="100"/>
              <w:spacing w:after="0"/>
              <w:rPr>
                <w:sz w:val="20"/>
                <w:szCs w:val="20"/>
                <w:color w:val="auto"/>
              </w:rPr>
            </w:pPr>
            <w:r>
              <w:rPr>
                <w:rFonts w:ascii="Arial" w:cs="Arial" w:eastAsia="Arial" w:hAnsi="Arial"/>
                <w:sz w:val="18"/>
                <w:szCs w:val="18"/>
                <w:color w:val="auto"/>
              </w:rPr>
              <w:t>Repurchase and retirement of common stock</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(21,863)</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95,824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97,559</w:t>
            </w:r>
          </w:p>
        </w:tc>
      </w:tr>
      <w:tr>
        <w:trPr>
          <w:trHeight w:val="263"/>
        </w:trPr>
        <w:tc>
          <w:tcPr>
            <w:tcW w:w="8240" w:type="dxa"/>
            <w:vAlign w:val="bottom"/>
          </w:tcPr>
          <w:p>
            <w:pPr>
              <w:ind w:left="100"/>
              <w:spacing w:after="0"/>
              <w:rPr>
                <w:sz w:val="20"/>
                <w:szCs w:val="20"/>
                <w:color w:val="auto"/>
              </w:rPr>
            </w:pPr>
            <w:r>
              <w:rPr>
                <w:rFonts w:ascii="Arial" w:cs="Arial" w:eastAsia="Arial" w:hAnsi="Arial"/>
                <w:sz w:val="18"/>
                <w:szCs w:val="18"/>
                <w:color w:val="auto"/>
              </w:rPr>
              <w:t>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90,823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70"/>
        </w:trPr>
        <w:tc>
          <w:tcPr>
            <w:tcW w:w="824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34,112</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17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EverCommerce Inc. and subsidiaries (the “Company” or “EverCommerce”) is a leading provider of integrated software-as-a-service (“SaaS”) solutions or services for service-based small- and medium-sized businesses (“service SMBs”). Our platform spans across the full lifecycle of interactions between consumers and service professionals with vertical-specific applications. Today, the Company serves more than 685,000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2022 and the related notes (“Annual Report on Form 10-K”). The December 31, 2022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nine months ended September 30, 2023 from those disclosed in the annual consolidated financial statements for the year ended December 31, 2022 and the related notes. Certain prior year amounts have been reclassified to conform to the current year presentation.</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for the three and nine months ended September 30, 2023 are not necessarily indicative of the results expected for the full year ending December 31, 2023.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expected credit losses, valuation allowances with respect to deferred tax assets, assumptions underlying the fair value used in the calculation of stock-based compensation, valuation of intangible assets and goodwill and useful lives of tangible and intangible assets, among others.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Arial" w:cs="Arial" w:eastAsia="Arial" w:hAnsi="Arial"/>
          <w:sz w:val="18"/>
          <w:szCs w:val="18"/>
          <w:i w:val="1"/>
          <w:iCs w:val="1"/>
          <w:color w:val="auto"/>
        </w:rPr>
        <w:t>“Recently Issued Accounting Pronouncements”</w:t>
      </w:r>
      <w:r>
        <w:rPr>
          <w:rFonts w:ascii="Arial" w:cs="Arial" w:eastAsia="Arial" w:hAnsi="Arial"/>
          <w:sz w:val="18"/>
          <w:szCs w:val="18"/>
          <w:color w:val="auto"/>
        </w:rPr>
        <w:t xml:space="preserv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and adopted</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the measurement and recognition of expected credit losses for financial assets held at amortized cost, which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accounts receivable and contract assets. This updated standard is effective for annual reporting periods beginning after December 15, 2022. The Company adopted this ASU for the year ending December 31, 2023 and it did not have a material impact on the financial statements.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Accounting for Contract Assets and Contract Liabilities from Contracts with Customers</w:t>
      </w:r>
      <w:r>
        <w:rPr>
          <w:rFonts w:ascii="Arial" w:cs="Arial" w:eastAsia="Arial" w:hAnsi="Arial"/>
          <w:sz w:val="18"/>
          <w:szCs w:val="18"/>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is effective for annual reporting periods beginning after December 15, 2022. The Company adopted this ASU on January 1, 2023 and it is prospectively applicable to all business combinations from the adoption date. The adoption of this standard was not material to the KickServ Acquisition (see Note 3).</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2024. There was no material impact to our financial statements from the adoption of this standard.</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reviewed all other recently issued accounting pronouncements and concluded that they were either not applicable or not expected to have a significant impact to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Kickserv Acquisition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10, 2023, the Company acquired 100% of the interest of Norman’s Dojo Inc. (“Kickserv”), a provider of field service management software for home service businesses for approximately $15.0 million in cash. The acquisition adds offerings for SMBs across diversified portfolios with an opportunity to capture a broader segment of new customers within the Home Services vertical.</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accounted for the acquisition as a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Kickserv is not deductible for tax purposes.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measured the identifiable assets and liabilities assumed at their acquisition date estimated fair values separately from goodwill, which represent Level 3 fair value measurements as defined in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estimated fair values were determined by management using the assistance of third-party valuation specialists. The valuation methods used to determine the estimated fair value of intangible assets included the income approach— relief from royalty method for developed technology with an estimated useful life of five years, and the income approach—multi period excess earnings method for customer relationships with an estimated useful life of 13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purchase price allocation for the acquisition is preliminary and subject to revision with provisional amounts related to tax-related and other items. Additional information that existed as of the acquisition date but at the time was unknown to us may become known to us during the remainder of the measurement period, which is not to exceed 12 months from the acquisition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results of Kickserv since the closing through September 30, 2023, were not material to our consolidated financial statements, nor were they material to our prior period consolidated results on a pro forma basis.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estimated fair values of consideration transferred, assets acquired and liabilities assumed at the acquisition date: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1"/>
              </w:rPr>
              <w:t>August 10, 2023</w:t>
            </w:r>
          </w:p>
        </w:tc>
      </w:tr>
      <w:tr>
        <w:trPr>
          <w:trHeight w:val="210"/>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Arial" w:cs="Arial" w:eastAsia="Arial" w:hAnsi="Arial"/>
                <w:sz w:val="16"/>
                <w:szCs w:val="16"/>
                <w:i w:val="1"/>
                <w:iCs w:val="1"/>
                <w:color w:val="auto"/>
                <w:w w:val="98"/>
              </w:rPr>
              <w:t>(in thousands)</w:t>
            </w:r>
          </w:p>
        </w:tc>
      </w:tr>
      <w:tr>
        <w:trPr>
          <w:trHeight w:val="73"/>
        </w:trPr>
        <w:tc>
          <w:tcPr>
            <w:tcW w:w="9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4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consideration transferred: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9760" w:type="dxa"/>
            <w:vAlign w:val="bottom"/>
          </w:tcPr>
          <w:p>
            <w:pPr>
              <w:ind w:left="140"/>
              <w:spacing w:after="0"/>
              <w:rPr>
                <w:sz w:val="20"/>
                <w:szCs w:val="20"/>
                <w:color w:val="auto"/>
              </w:rPr>
            </w:pPr>
            <w:r>
              <w:rPr>
                <w:rFonts w:ascii="Arial" w:cs="Arial" w:eastAsia="Arial" w:hAnsi="Arial"/>
                <w:sz w:val="16"/>
                <w:szCs w:val="16"/>
                <w:color w:val="auto"/>
              </w:rPr>
              <w:t>Cash</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14,993</w:t>
            </w:r>
          </w:p>
        </w:tc>
      </w:tr>
      <w:tr>
        <w:trPr>
          <w:trHeight w:val="226"/>
        </w:trPr>
        <w:tc>
          <w:tcPr>
            <w:tcW w:w="9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3"/>
        </w:trPr>
        <w:tc>
          <w:tcPr>
            <w:tcW w:w="9760" w:type="dxa"/>
            <w:vAlign w:val="bottom"/>
          </w:tcPr>
          <w:p>
            <w:pPr>
              <w:ind w:left="140"/>
              <w:spacing w:after="0"/>
              <w:rPr>
                <w:sz w:val="20"/>
                <w:szCs w:val="20"/>
                <w:color w:val="auto"/>
              </w:rPr>
            </w:pPr>
            <w:r>
              <w:rPr>
                <w:rFonts w:ascii="Arial" w:cs="Arial" w:eastAsia="Arial" w:hAnsi="Arial"/>
                <w:sz w:val="16"/>
                <w:szCs w:val="16"/>
                <w:color w:val="auto"/>
              </w:rPr>
              <w:t>Intangibles—definite lived</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3,155</w:t>
            </w:r>
          </w:p>
        </w:tc>
      </w:tr>
      <w:tr>
        <w:trPr>
          <w:trHeight w:val="253"/>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12,516</w:t>
            </w:r>
          </w:p>
        </w:tc>
      </w:tr>
      <w:tr>
        <w:trPr>
          <w:trHeight w:val="233"/>
        </w:trPr>
        <w:tc>
          <w:tcPr>
            <w:tcW w:w="9760" w:type="dxa"/>
            <w:vAlign w:val="bottom"/>
          </w:tcPr>
          <w:p>
            <w:pPr>
              <w:ind w:left="140"/>
              <w:spacing w:after="0"/>
              <w:rPr>
                <w:sz w:val="20"/>
                <w:szCs w:val="20"/>
                <w:color w:val="auto"/>
              </w:rPr>
            </w:pPr>
            <w:r>
              <w:rPr>
                <w:rFonts w:ascii="Arial" w:cs="Arial" w:eastAsia="Arial" w:hAnsi="Arial"/>
                <w:sz w:val="16"/>
                <w:szCs w:val="16"/>
                <w:color w:val="auto"/>
              </w:rPr>
              <w:t>Accounts payable, accrued expenses and other</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3"/>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liability, net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60"/>
        </w:trPr>
        <w:tc>
          <w:tcPr>
            <w:tcW w:w="97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3"/>
        </w:trPr>
        <w:tc>
          <w:tcPr>
            <w:tcW w:w="9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9760" w:type="dxa"/>
            <w:vAlign w:val="bottom"/>
          </w:tcPr>
          <w:p>
            <w:pPr>
              <w:ind w:left="240"/>
              <w:spacing w:after="0"/>
              <w:rPr>
                <w:sz w:val="20"/>
                <w:szCs w:val="20"/>
                <w:color w:val="auto"/>
              </w:rPr>
            </w:pPr>
            <w:r>
              <w:rPr>
                <w:rFonts w:ascii="Arial" w:cs="Arial" w:eastAsia="Arial" w:hAnsi="Arial"/>
                <w:sz w:val="16"/>
                <w:szCs w:val="16"/>
                <w:color w:val="auto"/>
              </w:rPr>
              <w:t>Total net assets acquired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14,993</w:t>
            </w:r>
          </w:p>
        </w:tc>
      </w:tr>
      <w:tr>
        <w:trPr>
          <w:trHeight w:val="21"/>
        </w:trPr>
        <w:tc>
          <w:tcPr>
            <w:tcW w:w="9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2820" w:type="dxa"/>
            <w:vAlign w:val="bottom"/>
            <w:gridSpan w:val="4"/>
          </w:tcPr>
          <w:p>
            <w:pPr>
              <w:jc w:val="center"/>
              <w:ind w:right="132"/>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4"/>
          </w:tcPr>
          <w:p>
            <w:pPr>
              <w:jc w:val="center"/>
              <w:ind w:right="92"/>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pattern of recognition (timing of transfer of services):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17,984</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14,496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48,141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40,112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143,630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457,788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418,836</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174,741</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158,126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505,929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458,948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geographical market: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159,859</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146,492</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461,336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418,510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0" w:type="dxa"/>
            <w:vAlign w:val="bottom"/>
          </w:tcPr>
          <w:p>
            <w:pPr>
              <w:spacing w:after="0"/>
              <w:rPr>
                <w:sz w:val="1"/>
                <w:szCs w:val="1"/>
                <w:color w:val="auto"/>
              </w:rPr>
            </w:pPr>
          </w:p>
        </w:tc>
      </w:tr>
      <w:tr>
        <w:trPr>
          <w:trHeight w:val="263"/>
        </w:trPr>
        <w:tc>
          <w:tcPr>
            <w:tcW w:w="516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174,741</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158,126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505,929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458,948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Contract Balances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4"/>
          </w:tcPr>
          <w:p>
            <w:pPr>
              <w:spacing w:after="0"/>
              <w:rPr>
                <w:sz w:val="20"/>
                <w:szCs w:val="20"/>
                <w:color w:val="auto"/>
              </w:rPr>
            </w:pPr>
            <w:r>
              <w:rPr>
                <w:rFonts w:ascii="Arial" w:cs="Arial" w:eastAsia="Arial" w:hAnsi="Arial"/>
                <w:sz w:val="18"/>
                <w:szCs w:val="18"/>
                <w:color w:val="auto"/>
              </w:rPr>
              <w:t>Supplemental balance sheet information related to contracts from customers as of:</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56"/>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center"/>
              <w:ind w:right="92"/>
              <w:spacing w:after="0"/>
              <w:rPr>
                <w:sz w:val="20"/>
                <w:szCs w:val="20"/>
                <w:color w:val="auto"/>
              </w:rPr>
            </w:pPr>
            <w:r>
              <w:rPr>
                <w:rFonts w:ascii="Arial" w:cs="Arial" w:eastAsia="Arial" w:hAnsi="Arial"/>
                <w:sz w:val="16"/>
                <w:szCs w:val="16"/>
                <w:i w:val="1"/>
                <w:iCs w:val="1"/>
                <w:color w:val="auto"/>
                <w:w w:val="90"/>
              </w:rPr>
              <w:t>(in thousands)</w:t>
            </w:r>
          </w:p>
        </w:tc>
        <w:tc>
          <w:tcPr>
            <w:tcW w:w="0" w:type="dxa"/>
            <w:vAlign w:val="bottom"/>
          </w:tcPr>
          <w:p>
            <w:pPr>
              <w:spacing w:after="0"/>
              <w:rPr>
                <w:sz w:val="1"/>
                <w:szCs w:val="1"/>
                <w:color w:val="auto"/>
              </w:rPr>
            </w:pPr>
          </w:p>
        </w:tc>
      </w:tr>
      <w:tr>
        <w:trPr>
          <w:trHeight w:val="26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13,233</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12,188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Accounts receivable, net: </w:t>
      </w:r>
      <w:r>
        <w:rPr>
          <w:rFonts w:ascii="Arial" w:cs="Arial" w:eastAsia="Arial" w:hAnsi="Arial"/>
          <w:sz w:val="17"/>
          <w:szCs w:val="17"/>
          <w:color w:val="auto"/>
        </w:rPr>
        <w:t>Accounts receivable, net of allowance for expected credit losses, represent rights to consideration in exchange for products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that have been transferred by us, when payment is unconditional and only the passage of time is required before payment is due.</w:t>
      </w:r>
    </w:p>
    <w:p>
      <w:pPr>
        <w:spacing w:after="0" w:line="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Contract liabilities</w:t>
      </w:r>
      <w:r>
        <w:rPr>
          <w:rFonts w:ascii="Arial" w:cs="Arial" w:eastAsia="Arial" w:hAnsi="Arial"/>
          <w:sz w:val="18"/>
          <w:szCs w:val="18"/>
          <w:color w:val="auto"/>
        </w:rPr>
        <w:t>: Contract liabilities represent our obligation to transfer products or services to a customer for which consideration has been received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satisfaction of performance obligations. Short-term contract liabilities are included within deferred revenue on the condensed consolidated balance sheets. Long-term contract liabilities are included within long-term deferred revenue, which is classified within other non-current liabilities on the condensed consolidated balance sheets. Revenue recognized from the contract liability balance at December 31, 2022 was $21.0 million for the nine months ended September 30, 2023.</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September 30, 2023, was $21.4 million, which is comprised of contracts where the contract term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is in excess of one year. The Company expects to recognize approximately 61% of its remaining performance obligations as revenue within the next year, 28% of its remaining performance obligations as revenue the subsequent year, 8% of its remaining performance obligations as revenue in the third year, and the remainder during the two year period thereafter.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Assets resulting from costs to obtain contracts are included within prepaid expenses and other current assets for short-term balances and other non-current assets for long-term balances on the Company’s condensed consolidated balance sheets. The costs to obtain contracts are amortized over five years, which corresponds with the useful life of the related capitalized software. Short-term assets were $8.1 million and $6.6 million at September 30, 2023 and December 31, 2022, respectively, and long-term assets were $17.5 million and $15.1 million at September 30, 2023 and December 31, 2022, respectively. The Company recorded amortization expense within sales and marketing on the condensed consolidated statements of operations and comprehensive loss of $1.4 million and $1.1 million for the three months ended September 30, 2023 and 2022, respectively, and $4.2 million and $3.1 million for the nine months ended September 30, 2023 and 2022, respectively. The Company recorded amortization expense within cost of revenues on the condensed consolidated statements of operations and comprehensive loss of $0.6 million and $0.4 million for the three months ended September 30, 2023 and 2022, respectively, and $1.6 million and $1.2 million for the nine months ended September 30, 2023 and 2022, respectively.</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Arial" w:cs="Arial" w:eastAsia="Arial" w:hAnsi="Arial"/>
          <w:sz w:val="18"/>
          <w:szCs w:val="18"/>
          <w:i w:val="1"/>
          <w:iCs w:val="1"/>
          <w:color w:val="auto"/>
        </w:rPr>
        <w:t>Accounting for Other Assets and Deferred Costs</w:t>
      </w:r>
      <w:r>
        <w:rPr>
          <w:rFonts w:ascii="Arial" w:cs="Arial" w:eastAsia="Arial" w:hAnsi="Arial"/>
          <w:sz w:val="18"/>
          <w:szCs w:val="18"/>
          <w:color w:val="auto"/>
        </w:rPr>
        <w:t xml:space="preserve"> (“ASC 340-40”).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nine months ended September 30, 2023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914,082</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Acquired goodwill</w:t>
            </w: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15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63"/>
        </w:trPr>
        <w:tc>
          <w:tcPr>
            <w:tcW w:w="518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923,766</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Note 6. Intangible Assets</w:t>
            </w: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80" w:type="dxa"/>
            <w:vAlign w:val="bottom"/>
          </w:tcPr>
          <w:p>
            <w:pPr>
              <w:spacing w:after="0"/>
              <w:rPr>
                <w:sz w:val="20"/>
                <w:szCs w:val="20"/>
                <w:color w:val="auto"/>
              </w:rPr>
            </w:pPr>
            <w:r>
              <w:rPr>
                <w:rFonts w:ascii="Arial" w:cs="Arial" w:eastAsia="Arial" w:hAnsi="Arial"/>
                <w:sz w:val="18"/>
                <w:szCs w:val="18"/>
                <w:color w:val="auto"/>
              </w:rPr>
              <w:t>Intangible assets consisted of the following as of:</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1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89"/>
              </w:rPr>
              <w:t>September 30, 2023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Useful</w:t>
            </w: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200" w:type="dxa"/>
            <w:vAlign w:val="bottom"/>
          </w:tcPr>
          <w:p>
            <w:pPr>
              <w:jc w:val="center"/>
              <w:ind w:right="17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33"/>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Arial" w:cs="Arial" w:eastAsia="Arial" w:hAnsi="Arial"/>
                <w:sz w:val="16"/>
                <w:szCs w:val="16"/>
                <w:i w:val="1"/>
                <w:iCs w:val="1"/>
                <w:color w:val="auto"/>
                <w:w w:val="92"/>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608,024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318,175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289,849</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71,298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35,404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414,944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1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December 31, 2022</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Useful</w:t>
            </w: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200" w:type="dxa"/>
            <w:vAlign w:val="bottom"/>
          </w:tcPr>
          <w:p>
            <w:pPr>
              <w:jc w:val="center"/>
              <w:ind w:right="17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33"/>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Arial" w:cs="Arial" w:eastAsia="Arial" w:hAnsi="Arial"/>
                <w:sz w:val="16"/>
                <w:szCs w:val="16"/>
                <w:i w:val="1"/>
                <w:iCs w:val="1"/>
                <w:color w:val="auto"/>
                <w:w w:val="92"/>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605,753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265,342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340,411</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105,766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59,208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46,558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752,052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346,332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405,720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was $22.5 million and $25.2 million for the three months ended September 30, 2023 and 2022, respectively, and $68.6 million and $75.7 million for the nine months ended September 30, 2023 and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43"/>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4"/>
          </w:tcPr>
          <w:p>
            <w:pPr>
              <w:jc w:val="right"/>
              <w:ind w:right="892"/>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3,570</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r>
      <w:tr>
        <w:trPr>
          <w:trHeight w:val="236"/>
        </w:trPr>
        <w:tc>
          <w:tcPr>
            <w:tcW w:w="824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24,838</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(12,908)</w:t>
            </w:r>
          </w:p>
        </w:tc>
      </w:tr>
      <w:tr>
        <w:trPr>
          <w:trHeight w:val="264"/>
        </w:trPr>
        <w:tc>
          <w:tcPr>
            <w:tcW w:w="82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11,930</w:t>
            </w: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$1.3 million and $1.0 million for the three months ended September 30, 2023 and 2022, respectively, and $3.3 million and $3.1 million for the nine months ended September 30, 2023 and 2022, respectively.</w:t>
      </w:r>
    </w:p>
    <w:p>
      <w:pPr>
        <w:sectPr>
          <w:pgSz w:w="11900" w:h="16838" w:orient="portrait"/>
          <w:cols w:equalWidth="0" w:num="1">
            <w:col w:w="11240"/>
          </w:cols>
          <w:pgMar w:left="320" w:top="175" w:right="339" w:bottom="9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979"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Capitalized Software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consisted of the following as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Arial" w:cs="Arial" w:eastAsia="Arial" w:hAnsi="Arial"/>
                <w:sz w:val="16"/>
                <w:szCs w:val="16"/>
                <w:b w:val="1"/>
                <w:bCs w:val="1"/>
                <w:color w:val="auto"/>
                <w:w w:val="90"/>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r>
      <w:tr>
        <w:trPr>
          <w:trHeight w:val="233"/>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ind w:left="860"/>
              <w:spacing w:after="0"/>
              <w:rPr>
                <w:sz w:val="20"/>
                <w:szCs w:val="20"/>
                <w:color w:val="auto"/>
              </w:rPr>
            </w:pPr>
            <w:r>
              <w:rPr>
                <w:rFonts w:ascii="Arial" w:cs="Arial" w:eastAsia="Arial" w:hAnsi="Arial"/>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center"/>
              <w:ind w:left="555"/>
              <w:spacing w:after="0"/>
              <w:rPr>
                <w:sz w:val="20"/>
                <w:szCs w:val="20"/>
                <w:color w:val="auto"/>
              </w:rPr>
            </w:pPr>
            <w:r>
              <w:rPr>
                <w:rFonts w:ascii="Arial" w:cs="Arial" w:eastAsia="Arial" w:hAnsi="Arial"/>
                <w:sz w:val="18"/>
                <w:szCs w:val="18"/>
                <w:color w:val="auto"/>
                <w:w w:val="87"/>
              </w:rPr>
              <w:t>59,872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center"/>
              <w:ind w:left="554"/>
              <w:spacing w:after="0"/>
              <w:rPr>
                <w:sz w:val="20"/>
                <w:szCs w:val="20"/>
                <w:color w:val="auto"/>
              </w:rPr>
            </w:pPr>
            <w:r>
              <w:rPr>
                <w:rFonts w:ascii="Arial" w:cs="Arial" w:eastAsia="Arial" w:hAnsi="Arial"/>
                <w:sz w:val="18"/>
                <w:szCs w:val="18"/>
                <w:color w:val="auto"/>
                <w:w w:val="87"/>
              </w:rPr>
              <w:t>45,872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280" w:type="dxa"/>
            <w:vAlign w:val="bottom"/>
          </w:tcPr>
          <w:p>
            <w:pPr>
              <w:jc w:val="center"/>
              <w:ind w:left="535"/>
              <w:spacing w:after="0"/>
              <w:rPr>
                <w:sz w:val="20"/>
                <w:szCs w:val="20"/>
                <w:color w:val="auto"/>
              </w:rPr>
            </w:pPr>
            <w:r>
              <w:rPr>
                <w:rFonts w:ascii="Arial" w:cs="Arial" w:eastAsia="Arial" w:hAnsi="Arial"/>
                <w:sz w:val="18"/>
                <w:szCs w:val="18"/>
                <w:color w:val="auto"/>
                <w:w w:val="92"/>
              </w:rPr>
              <w:t>(19,265)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center"/>
              <w:ind w:left="534"/>
              <w:spacing w:after="0"/>
              <w:rPr>
                <w:sz w:val="20"/>
                <w:szCs w:val="20"/>
                <w:color w:val="auto"/>
              </w:rPr>
            </w:pPr>
            <w:r>
              <w:rPr>
                <w:rFonts w:ascii="Arial" w:cs="Arial" w:eastAsia="Arial" w:hAnsi="Arial"/>
                <w:sz w:val="18"/>
                <w:szCs w:val="18"/>
                <w:color w:val="auto"/>
                <w:w w:val="92"/>
              </w:rPr>
              <w:t>(13,318)</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Capitalized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87"/>
              </w:rPr>
              <w:t>40,607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87"/>
              </w:rPr>
              <w:t>32,554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Amortization expense was $2.3 million and $1.4 million for the three months ended September 30, 2023 and 2022, respectively, and $6.1 million and $3.7 million for the nine months ended September 30, 2023 and 2022, respectively. During the ordinary course of business, the Company may determine that certain capitalized features of its software will no longer be used either internally or to deliver value to its customers. The Company recorded a charge to general and administrative on the accompanying condensed consolidated statements of operations and comprehensive loss of $0.1 million and $0.1 million for the three months ended September 30, 2023 and 2022, respectively, and $0.6 million and $0.6 million for the nine months ended September 30, 2023 and 2022, respectively, related to capitalized features no longer expected to be used.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real estate from unrelated parties under operating lease agreements that have initial terms ranging from one year to 11 years. Some leases include one or more options to renew, generally at our sole discretion, of five additional years each.</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60" w:type="dxa"/>
            <w:vAlign w:val="bottom"/>
            <w:gridSpan w:val="4"/>
          </w:tcPr>
          <w:p>
            <w:pPr>
              <w:jc w:val="center"/>
              <w:ind w:left="395"/>
              <w:spacing w:after="0"/>
              <w:rPr>
                <w:sz w:val="20"/>
                <w:szCs w:val="20"/>
                <w:color w:val="auto"/>
              </w:rPr>
            </w:pPr>
            <w:r>
              <w:rPr>
                <w:rFonts w:ascii="Arial" w:cs="Arial" w:eastAsia="Arial" w:hAnsi="Arial"/>
                <w:sz w:val="16"/>
                <w:szCs w:val="16"/>
                <w:b w:val="1"/>
                <w:bCs w:val="1"/>
                <w:color w:val="auto"/>
                <w:w w:val="90"/>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00" w:type="dxa"/>
            <w:vAlign w:val="bottom"/>
            <w:gridSpan w:val="4"/>
          </w:tcPr>
          <w:p>
            <w:pPr>
              <w:jc w:val="center"/>
              <w:ind w:right="452"/>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3"/>
          </w:tcPr>
          <w:p>
            <w:pPr>
              <w:jc w:val="center"/>
              <w:ind w:right="313"/>
              <w:spacing w:after="0"/>
              <w:rPr>
                <w:sz w:val="20"/>
                <w:szCs w:val="20"/>
                <w:color w:val="auto"/>
              </w:rPr>
            </w:pPr>
            <w:r>
              <w:rPr>
                <w:rFonts w:ascii="Arial" w:cs="Arial" w:eastAsia="Arial" w:hAnsi="Arial"/>
                <w:sz w:val="16"/>
                <w:szCs w:val="16"/>
                <w:b w:val="1"/>
                <w:bCs w:val="1"/>
                <w:color w:val="auto"/>
                <w:w w:val="89"/>
              </w:rPr>
              <w:t>September 30,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3"/>
          </w:tcPr>
          <w:p>
            <w:pPr>
              <w:jc w:val="center"/>
              <w:ind w:left="355"/>
              <w:spacing w:after="0"/>
              <w:rPr>
                <w:sz w:val="20"/>
                <w:szCs w:val="20"/>
                <w:color w:val="auto"/>
              </w:rPr>
            </w:pPr>
            <w:r>
              <w:rPr>
                <w:rFonts w:ascii="Arial" w:cs="Arial" w:eastAsia="Arial" w:hAnsi="Arial"/>
                <w:sz w:val="16"/>
                <w:szCs w:val="16"/>
                <w:b w:val="1"/>
                <w:bCs w:val="1"/>
                <w:color w:val="auto"/>
                <w:w w:val="91"/>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3"/>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1,578</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1,851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3"/>
        </w:trPr>
        <w:tc>
          <w:tcPr>
            <w:tcW w:w="518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2,165</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2,305</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w w:val="97"/>
              </w:rPr>
              <w:t>Supplemental cash flow information related to leases is as follows:</w:t>
            </w: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180" w:type="dxa"/>
            <w:vAlign w:val="bottom"/>
          </w:tcPr>
          <w:p>
            <w:pPr>
              <w:spacing w:after="0"/>
              <w:rPr>
                <w:sz w:val="24"/>
                <w:szCs w:val="24"/>
                <w:color w:val="auto"/>
              </w:rPr>
            </w:pPr>
          </w:p>
        </w:tc>
        <w:tc>
          <w:tcPr>
            <w:tcW w:w="2460" w:type="dxa"/>
            <w:vAlign w:val="bottom"/>
            <w:gridSpan w:val="4"/>
          </w:tcPr>
          <w:p>
            <w:pPr>
              <w:jc w:val="center"/>
              <w:ind w:left="395"/>
              <w:spacing w:after="0"/>
              <w:rPr>
                <w:sz w:val="20"/>
                <w:szCs w:val="20"/>
                <w:color w:val="auto"/>
              </w:rPr>
            </w:pPr>
            <w:r>
              <w:rPr>
                <w:rFonts w:ascii="Arial" w:cs="Arial" w:eastAsia="Arial" w:hAnsi="Arial"/>
                <w:sz w:val="16"/>
                <w:szCs w:val="16"/>
                <w:b w:val="1"/>
                <w:bCs w:val="1"/>
                <w:color w:val="auto"/>
                <w:w w:val="90"/>
              </w:rPr>
              <w:t>Three months ended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gridSpan w:val="4"/>
          </w:tcPr>
          <w:p>
            <w:pPr>
              <w:jc w:val="center"/>
              <w:ind w:right="452"/>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3"/>
          </w:tcPr>
          <w:p>
            <w:pPr>
              <w:jc w:val="center"/>
              <w:ind w:right="313"/>
              <w:spacing w:after="0"/>
              <w:rPr>
                <w:sz w:val="20"/>
                <w:szCs w:val="20"/>
                <w:color w:val="auto"/>
              </w:rPr>
            </w:pPr>
            <w:r>
              <w:rPr>
                <w:rFonts w:ascii="Arial" w:cs="Arial" w:eastAsia="Arial" w:hAnsi="Arial"/>
                <w:sz w:val="16"/>
                <w:szCs w:val="16"/>
                <w:b w:val="1"/>
                <w:bCs w:val="1"/>
                <w:color w:val="auto"/>
                <w:w w:val="89"/>
              </w:rPr>
              <w:t>September 30,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3"/>
          </w:tcPr>
          <w:p>
            <w:pPr>
              <w:jc w:val="center"/>
              <w:ind w:left="355"/>
              <w:spacing w:after="0"/>
              <w:rPr>
                <w:sz w:val="20"/>
                <w:szCs w:val="20"/>
                <w:color w:val="auto"/>
              </w:rPr>
            </w:pPr>
            <w:r>
              <w:rPr>
                <w:rFonts w:ascii="Arial" w:cs="Arial" w:eastAsia="Arial" w:hAnsi="Arial"/>
                <w:sz w:val="16"/>
                <w:szCs w:val="16"/>
                <w:b w:val="1"/>
                <w:bCs w:val="1"/>
                <w:color w:val="auto"/>
                <w:w w:val="91"/>
              </w:rPr>
              <w:t>September 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3"/>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1,127</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w w:val="99"/>
              </w:rPr>
              <w:t>Operating lease assets obtained in exchange for operating lease</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Supplemental balance sheet information, included in other non-current assets, accrued expenses and other and other non-current liabilities on the condensed consolidated balance sheets, related to leases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33"/>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right"/>
              <w:ind w:right="953"/>
              <w:spacing w:after="0"/>
              <w:rPr>
                <w:sz w:val="20"/>
                <w:szCs w:val="20"/>
                <w:color w:val="auto"/>
              </w:rPr>
            </w:pPr>
            <w:r>
              <w:rPr>
                <w:rFonts w:ascii="Arial" w:cs="Arial" w:eastAsia="Arial" w:hAnsi="Arial"/>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21,756</w:t>
            </w: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At September 30, 2023 and December 31, 2022, the weighted average remaining lease term for operating leases was 6.03 years and 6.34 years, respectively, and the weighted average discount rate was 4.9%.</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Future undiscounted cash flows for each of the next five years and thereafter and reconciliation to the lease liabilities recognized on the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140"/>
              <w:spacing w:after="0"/>
              <w:rPr>
                <w:sz w:val="20"/>
                <w:szCs w:val="20"/>
                <w:color w:val="auto"/>
              </w:rPr>
            </w:pPr>
            <w:r>
              <w:rPr>
                <w:rFonts w:ascii="Arial" w:cs="Arial" w:eastAsia="Arial" w:hAnsi="Arial"/>
                <w:sz w:val="18"/>
                <w:szCs w:val="18"/>
                <w:color w:val="auto"/>
              </w:rPr>
              <w:t>2023 (remainder of year)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4,421</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3,775</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r>
      <w:tr>
        <w:trPr>
          <w:trHeight w:val="237"/>
        </w:trPr>
        <w:tc>
          <w:tcPr>
            <w:tcW w:w="9780" w:type="dxa"/>
            <w:vAlign w:val="bottom"/>
          </w:tcPr>
          <w:p>
            <w:pPr>
              <w:ind w:left="240"/>
              <w:spacing w:after="0"/>
              <w:rPr>
                <w:sz w:val="20"/>
                <w:szCs w:val="20"/>
                <w:color w:val="auto"/>
              </w:rPr>
            </w:pPr>
            <w:r>
              <w:rPr>
                <w:rFonts w:ascii="Arial" w:cs="Arial" w:eastAsia="Arial" w:hAnsi="Arial"/>
                <w:sz w:val="18"/>
                <w:szCs w:val="18"/>
                <w:color w:val="auto"/>
              </w:rPr>
              <w:t>Total lease payments</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27,134</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r>
      <w:tr>
        <w:trPr>
          <w:trHeight w:val="263"/>
        </w:trPr>
        <w:tc>
          <w:tcPr>
            <w:tcW w:w="9780" w:type="dxa"/>
            <w:vAlign w:val="bottom"/>
          </w:tcPr>
          <w:p>
            <w:pPr>
              <w:ind w:left="360"/>
              <w:spacing w:after="0"/>
              <w:rPr>
                <w:sz w:val="20"/>
                <w:szCs w:val="20"/>
                <w:color w:val="auto"/>
              </w:rPr>
            </w:pPr>
            <w:r>
              <w:rPr>
                <w:rFonts w:ascii="Arial" w:cs="Arial" w:eastAsia="Arial" w:hAnsi="Arial"/>
                <w:sz w:val="18"/>
                <w:szCs w:val="18"/>
                <w:color w:val="auto"/>
              </w:rPr>
              <w:t>Total present value of lease liabilities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22,948</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what is included in the table above, as of September 30, 2023, we have entered into an office lease that has not yet commenced with aggregate future lease payments of approximately $1.6 million. This lease is expected to commence in the fourth quarter 2023, and will have a lease term of approximately three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as of:</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December 31,</w:t>
            </w:r>
          </w:p>
        </w:tc>
      </w:tr>
      <w:tr>
        <w:trPr>
          <w:trHeight w:val="256"/>
        </w:trPr>
        <w:tc>
          <w:tcPr>
            <w:tcW w:w="2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33"/>
        </w:trPr>
        <w:tc>
          <w:tcPr>
            <w:tcW w:w="2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right"/>
              <w:ind w:right="952"/>
              <w:spacing w:after="0"/>
              <w:rPr>
                <w:sz w:val="20"/>
                <w:szCs w:val="20"/>
                <w:color w:val="auto"/>
              </w:rPr>
            </w:pPr>
            <w:r>
              <w:rPr>
                <w:rFonts w:ascii="Arial" w:cs="Arial" w:eastAsia="Arial" w:hAnsi="Arial"/>
                <w:sz w:val="16"/>
                <w:szCs w:val="16"/>
                <w:i w:val="1"/>
                <w:iCs w:val="1"/>
                <w:color w:val="auto"/>
              </w:rPr>
              <w:t>(in thousands)</w:t>
            </w:r>
          </w:p>
        </w:tc>
      </w:tr>
      <w:tr>
        <w:trPr>
          <w:trHeight w:val="253"/>
        </w:trPr>
        <w:tc>
          <w:tcPr>
            <w:tcW w:w="82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5"/>
              </w:rPr>
              <w:t>Term notes with interest payable monthly, interest rate at Adjusted SOFR or Alternative Base Rate (“ABR”),</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3"/>
        </w:trPr>
        <w:tc>
          <w:tcPr>
            <w:tcW w:w="27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 xml:space="preserve">plus an applicable margin </w:t>
            </w:r>
            <w:r>
              <w:rPr>
                <w:rFonts w:ascii="Arial" w:cs="Arial" w:eastAsia="Arial" w:hAnsi="Arial"/>
                <w:sz w:val="18"/>
                <w:szCs w:val="18"/>
                <w:color w:val="auto"/>
                <w:w w:val="92"/>
                <w:shd w:val="clear" w:color="auto" w:fill="CCEEFF"/>
              </w:rPr>
              <w:t>of 3.25%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(8.69554%</w:t>
            </w:r>
          </w:p>
        </w:tc>
        <w:tc>
          <w:tcPr>
            <w:tcW w:w="2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at</w:t>
            </w: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2"/>
              </w:rPr>
              <w:t>September 30, 2023) quarterly principal payments of 0.25%</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7"/>
        </w:trPr>
        <w:tc>
          <w:tcPr>
            <w:tcW w:w="824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of original principal balance with balloon payment due July 2028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543,125</w:t>
            </w:r>
          </w:p>
        </w:tc>
      </w:tr>
      <w:tr>
        <w:trPr>
          <w:trHeight w:val="229"/>
        </w:trPr>
        <w:tc>
          <w:tcPr>
            <w:tcW w:w="8240" w:type="dxa"/>
            <w:vAlign w:val="bottom"/>
            <w:gridSpan w:val="4"/>
          </w:tcPr>
          <w:p>
            <w:pPr>
              <w:ind w:left="20"/>
              <w:spacing w:after="0"/>
              <w:rPr>
                <w:sz w:val="20"/>
                <w:szCs w:val="20"/>
                <w:color w:val="auto"/>
              </w:rPr>
            </w:pPr>
            <w:r>
              <w:rPr>
                <w:rFonts w:ascii="Arial" w:cs="Arial" w:eastAsia="Arial" w:hAnsi="Arial"/>
                <w:sz w:val="18"/>
                <w:szCs w:val="18"/>
                <w:color w:val="auto"/>
                <w:w w:val="95"/>
              </w:rPr>
              <w:t>Revolver with interest payable monthly, interest rate at Adjusted SOFR or ABR, plus an applicable margin of</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40" w:type="dxa"/>
            <w:vAlign w:val="bottom"/>
            <w:gridSpan w:val="4"/>
          </w:tcPr>
          <w:p>
            <w:pPr>
              <w:ind w:left="180"/>
              <w:spacing w:after="0"/>
              <w:rPr>
                <w:sz w:val="20"/>
                <w:szCs w:val="20"/>
                <w:color w:val="auto"/>
              </w:rPr>
            </w:pPr>
            <w:r>
              <w:rPr>
                <w:rFonts w:ascii="Arial" w:cs="Arial" w:eastAsia="Arial" w:hAnsi="Arial"/>
                <w:sz w:val="18"/>
                <w:szCs w:val="18"/>
                <w:color w:val="auto"/>
              </w:rPr>
              <w:t>3.25% (8.68056% at September 30, 2023), and outstanding balance due July 2026</w:t>
            </w: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Principal debt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539,000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543,125</w:t>
            </w:r>
          </w:p>
        </w:tc>
      </w:tr>
      <w:tr>
        <w:trPr>
          <w:trHeight w:val="243"/>
        </w:trPr>
        <w:tc>
          <w:tcPr>
            <w:tcW w:w="8240" w:type="dxa"/>
            <w:vAlign w:val="bottom"/>
            <w:gridSpan w:val="4"/>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(4,900)</w:t>
            </w:r>
          </w:p>
        </w:tc>
      </w:tr>
      <w:tr>
        <w:trPr>
          <w:trHeight w:val="27"/>
        </w:trPr>
        <w:tc>
          <w:tcPr>
            <w:tcW w:w="2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Discount on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36"/>
        </w:trPr>
        <w:tc>
          <w:tcPr>
            <w:tcW w:w="8240" w:type="dxa"/>
            <w:vAlign w:val="bottom"/>
            <w:gridSpan w:val="4"/>
          </w:tcPr>
          <w:p>
            <w:pPr>
              <w:ind w:left="56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533,262</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536,446</w:t>
            </w:r>
          </w:p>
        </w:tc>
      </w:tr>
      <w:tr>
        <w:trPr>
          <w:trHeight w:val="27"/>
        </w:trPr>
        <w:tc>
          <w:tcPr>
            <w:tcW w:w="2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63"/>
        </w:trPr>
        <w:tc>
          <w:tcPr>
            <w:tcW w:w="8240" w:type="dxa"/>
            <w:vAlign w:val="bottom"/>
            <w:gridSpan w:val="4"/>
          </w:tcPr>
          <w:p>
            <w:pPr>
              <w:ind w:left="560"/>
              <w:spacing w:after="0"/>
              <w:rPr>
                <w:sz w:val="20"/>
                <w:szCs w:val="20"/>
                <w:color w:val="auto"/>
              </w:rPr>
            </w:pPr>
            <w:r>
              <w:rPr>
                <w:rFonts w:ascii="Arial" w:cs="Arial" w:eastAsia="Arial" w:hAnsi="Arial"/>
                <w:sz w:val="18"/>
                <w:szCs w:val="18"/>
                <w:color w:val="auto"/>
              </w:rPr>
              <w:t>Long-term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527,762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530,946</w:t>
            </w:r>
          </w:p>
        </w:tc>
      </w:tr>
      <w:tr>
        <w:trPr>
          <w:trHeight w:val="21"/>
        </w:trPr>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Company agreed to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Prior to July 1, 2023, borrowings under the Credit Facilities are available as ABR or Eurocurrency borrowings. ABR borrowings under the Credit Facilities accrued interest at an alternate base rate plus an applicable rate, and Eurocurrency borrowings accrued interest at an adjusted LIBOR rate plus an applicable rate. The ABR rate represented the greater of the prime rate, Federal Reserve Bank of New York rate plus ½ of 1%, and an adjusted LIBOR rate for a one month interest period plus 1%. The applicable rate for the Term Loans and the Revolver is 3% for Eurocurrency borrowings and 2% for ABR Borrowings, in each case subject to change based on our first lien net leverage ratio.</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26, 2023, the Credit Facilities were amended to replace the reference rate of LIBOR with the Adjusted SOFR rate (see definition below). The interest rate on any loans outstanding under the Credit Facilities continued to be determined by reference to LIBOR until June 30, 2023, after which time the interest rates on such loans began bearing interest by reference to SOFR. The Company continues to monitor the impact of the transition from LIBOR to SOFR on its business but does not expect a significant impact to the consolidated financial statements.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as of July 1, 2023, borrowings under the Credit Facilities bear interest at the Company’s option at ABR plus an applicable rate, or at a forward-looking term rate based upon the secured overnight financing rate,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long-term debt based on trading prices for its debt if available. As of September 30, 2023,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approximately $539.7 million and $531.6 million as of September 30, 2023 and December 31, 2022, respectively.</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October 31, 2022, the Company entered into an interest rate swap agreement (the “Initial Swap”) in connection with the Company’s Credit Facilities for a notional amount of $200.0 million to convert a portion of the floating rate component of the Term Loans from a floating rate to a fixed rate. The Initial Swap agreement has a term of five years with a fixed rate in the agreement of 4.212%, as amended in June 2023. Additionally, effective March 31, 2023, the Company entered into a second interest rate swap agreement (the “Second Swap” and together with the Initial Swap, the “Swap Agreements”) in connection with the Company’s Credit Facilities for a notional amount of $100.0 million to convert a portion of the floating rate component of the Term Loans from a floating rate to a fixed rate. The Second Swap agreement has a term of approximately 4.5 years with a fixed rate in the agreement of 3.951%, as amended in June 2023.</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Swap Agreements are accounted for as derivatives whereby the fair value of each contract is reported within the condensed consolidated balance sheets, and associated gains or losses resulting from changes in the fair value are reported in interest and other expense, net, in the statement of operations and comprehensive loss. As of September 30, 2023 the fair value of the Swap Agreements was an asset of $3.7 million that is reported in other non-current assets on the condensed consolidated balance sheets.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Credit Facilities are subject to certain financial and nonfinancial covenants and are secured by substantially all assets of the Company. As of September 30, 2023, the Company was in compliance with all of its covenants.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debt for the years ending December 31 are as follows as of September 30, 2023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 (remainder of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515,625</w:t>
            </w:r>
          </w:p>
        </w:tc>
      </w:tr>
      <w:tr>
        <w:trPr>
          <w:trHeight w:val="27"/>
        </w:trPr>
        <w:tc>
          <w:tcPr>
            <w:tcW w:w="9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aggregate maturities of the Company’s debt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539,000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14, 2022, our Board of Directors approved a stock repurchase program (the “Repurchase Program”) with authorization to purchase up to $50.0 million in shares of the Company’s common stock through the expiration of the program on December 21, 2022.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The Company expects to fund repurchases with existing cash on hand.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repurchased and retired 0.2 million and 4.2 million shares of common stock pursuant to the Repurchase Program for $1.6 million and $41.2 million including transaction fees, during the three and nine months ended September 30, 2023, respectively. As of September 30, 2023, $16.0 million remained available under the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Initial Public Offering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 Based on the Company’s outstanding shares of common stock as of December 31, 2022, as of January 1, 2023 the number of shares reserved for issuance under the 2021 Plan increased by 5.7 million.</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IPO, the Company’s board of directors adopted the 2021 Employee Stock Purchase Plan (the “ESPP”). For more information on the ESPP, refer to Note 12. Stock-Based Compensation in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stock unit (“RSU”) and stock option activity for the nine months ended September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w w:val="93"/>
              </w:rPr>
              <w:t>RSUs</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Stock Options</w:t>
            </w:r>
          </w:p>
        </w:tc>
      </w:tr>
      <w:tr>
        <w:trPr>
          <w:trHeight w:val="233"/>
        </w:trPr>
        <w:tc>
          <w:tcPr>
            <w:tcW w:w="8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gridSpan w:val="3"/>
          </w:tcPr>
          <w:p>
            <w:pPr>
              <w:jc w:val="right"/>
              <w:ind w:right="951"/>
              <w:spacing w:after="0"/>
              <w:rPr>
                <w:sz w:val="20"/>
                <w:szCs w:val="20"/>
                <w:color w:val="auto"/>
              </w:rPr>
            </w:pPr>
            <w:r>
              <w:rPr>
                <w:rFonts w:ascii="Arial" w:cs="Arial" w:eastAsia="Arial" w:hAnsi="Arial"/>
                <w:sz w:val="16"/>
                <w:szCs w:val="16"/>
                <w:i w:val="1"/>
                <w:iCs w:val="1"/>
                <w:color w:val="auto"/>
                <w:w w:val="96"/>
              </w:rPr>
              <w:t>(in thousands)</w:t>
            </w:r>
          </w:p>
        </w:tc>
      </w:tr>
      <w:tr>
        <w:trPr>
          <w:trHeight w:val="26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16,937</w:t>
            </w:r>
          </w:p>
        </w:tc>
      </w:tr>
      <w:tr>
        <w:trPr>
          <w:trHeight w:val="243"/>
        </w:trPr>
        <w:tc>
          <w:tcPr>
            <w:tcW w:w="92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2,839</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920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4,490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16,756</w:t>
            </w:r>
          </w:p>
        </w:tc>
      </w:tr>
      <w:tr>
        <w:trPr>
          <w:trHeight w:val="243"/>
        </w:trPr>
        <w:tc>
          <w:tcPr>
            <w:tcW w:w="92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20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2023</w:t>
            </w:r>
          </w:p>
        </w:tc>
        <w:tc>
          <w:tcPr>
            <w:tcW w:w="9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4,047</w:t>
            </w:r>
          </w:p>
        </w:tc>
        <w:tc>
          <w:tcPr>
            <w:tcW w:w="8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92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 or 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9200" w:type="dxa"/>
            <w:vAlign w:val="bottom"/>
            <w:gridSpan w:val="2"/>
          </w:tcPr>
          <w:p>
            <w:pPr>
              <w:ind w:left="140"/>
              <w:spacing w:after="0"/>
              <w:rPr>
                <w:sz w:val="20"/>
                <w:szCs w:val="20"/>
                <w:color w:val="auto"/>
              </w:rPr>
            </w:pPr>
            <w:r>
              <w:rPr>
                <w:rFonts w:ascii="Arial" w:cs="Arial" w:eastAsia="Arial" w:hAnsi="Arial"/>
                <w:sz w:val="18"/>
                <w:szCs w:val="18"/>
                <w:color w:val="auto"/>
              </w:rPr>
              <w:t>Cancelled or 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3"/>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3,720</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total unrecognized compensation expense was $34.1 million and $12.4 million related to outstanding restricted stock units and outstanding stock options,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classified in the unaudited condensed consolidated statements of operations and comprehensive loss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44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0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5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w w:val="95"/>
              </w:rPr>
              <w:t>September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37"/>
        </w:trPr>
        <w:tc>
          <w:tcPr>
            <w:tcW w:w="5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33"/>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4,684</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6,143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16,982</w:t>
            </w: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5,855</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7,133</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 as of:</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1"/>
              </w:rPr>
              <w:t>Numerator for basic and diluted EPS – net loss attributable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140" w:type="dxa"/>
            <w:vAlign w:val="bottom"/>
          </w:tcPr>
          <w:p>
            <w:pPr>
              <w:ind w:left="60"/>
              <w:spacing w:after="0"/>
              <w:rPr>
                <w:sz w:val="20"/>
                <w:szCs w:val="20"/>
                <w:color w:val="auto"/>
              </w:rPr>
            </w:pPr>
            <w:r>
              <w:rPr>
                <w:rFonts w:ascii="Arial" w:cs="Arial" w:eastAsia="Arial" w:hAnsi="Arial"/>
                <w:sz w:val="18"/>
                <w:szCs w:val="18"/>
                <w:color w:val="auto"/>
                <w:w w:val="91"/>
              </w:rPr>
              <w:t>Denominator for basic and diluted EPS – weighted-average shares of</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w w:val="95"/>
              </w:rPr>
              <w:t>common stock outstanding used in computing net loss per share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0"/>
                <w:szCs w:val="20"/>
                <w:color w:val="auto"/>
              </w:rPr>
            </w:pPr>
            <w:r>
              <w:rPr>
                <w:rFonts w:ascii="Arial" w:cs="Arial" w:eastAsia="Arial" w:hAnsi="Arial"/>
                <w:sz w:val="18"/>
                <w:szCs w:val="18"/>
                <w:color w:val="auto"/>
              </w:rPr>
              <w:t>Basic and diluted net loss per share attributable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0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0"/>
              </w:rPr>
              <w:t>Three months ended</w:t>
            </w:r>
          </w:p>
        </w:tc>
        <w:tc>
          <w:tcPr>
            <w:tcW w:w="340" w:type="dxa"/>
            <w:vAlign w:val="bottom"/>
          </w:tcPr>
          <w:p>
            <w:pPr>
              <w:spacing w:after="0"/>
              <w:rPr>
                <w:sz w:val="17"/>
                <w:szCs w:val="17"/>
                <w:color w:val="auto"/>
              </w:rPr>
            </w:pPr>
          </w:p>
        </w:tc>
        <w:tc>
          <w:tcPr>
            <w:tcW w:w="26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2500" w:type="dxa"/>
            <w:vAlign w:val="bottom"/>
            <w:gridSpan w:val="4"/>
          </w:tcPr>
          <w:p>
            <w:pPr>
              <w:jc w:val="center"/>
              <w:ind w:right="640"/>
              <w:spacing w:after="0"/>
              <w:rPr>
                <w:sz w:val="20"/>
                <w:szCs w:val="20"/>
                <w:color w:val="auto"/>
              </w:rPr>
            </w:pPr>
            <w:r>
              <w:rPr>
                <w:rFonts w:ascii="Arial" w:cs="Arial" w:eastAsia="Arial" w:hAnsi="Arial"/>
                <w:sz w:val="16"/>
                <w:szCs w:val="16"/>
                <w:b w:val="1"/>
                <w:bCs w:val="1"/>
                <w:color w:val="auto"/>
                <w:w w:val="89"/>
              </w:rPr>
              <w:t>September 30,</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23"/>
        </w:trPr>
        <w:tc>
          <w:tcPr>
            <w:tcW w:w="960" w:type="dxa"/>
            <w:vAlign w:val="bottom"/>
          </w:tcPr>
          <w:p>
            <w:pPr>
              <w:jc w:val="right"/>
              <w:ind w:right="555"/>
              <w:spacing w:after="0"/>
              <w:rPr>
                <w:sz w:val="20"/>
                <w:szCs w:val="20"/>
                <w:color w:val="auto"/>
              </w:rPr>
            </w:pPr>
            <w:r>
              <w:rPr>
                <w:rFonts w:ascii="Arial" w:cs="Arial" w:eastAsia="Arial" w:hAnsi="Arial"/>
                <w:sz w:val="16"/>
                <w:szCs w:val="16"/>
                <w:b w:val="1"/>
                <w:bCs w:val="1"/>
                <w:color w:val="auto"/>
                <w:w w:val="84"/>
              </w:rPr>
              <w:t>2023</w:t>
            </w:r>
          </w:p>
        </w:tc>
        <w:tc>
          <w:tcPr>
            <w:tcW w:w="160" w:type="dxa"/>
            <w:vAlign w:val="bottom"/>
          </w:tcPr>
          <w:p>
            <w:pPr>
              <w:spacing w:after="0"/>
              <w:rPr>
                <w:sz w:val="19"/>
                <w:szCs w:val="19"/>
                <w:color w:val="auto"/>
              </w:rPr>
            </w:pPr>
          </w:p>
        </w:tc>
        <w:tc>
          <w:tcPr>
            <w:tcW w:w="1300" w:type="dxa"/>
            <w:vAlign w:val="bottom"/>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57"/>
        </w:trPr>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20" w:type="dxa"/>
            <w:vAlign w:val="bottom"/>
            <w:gridSpan w:val="5"/>
          </w:tcPr>
          <w:p>
            <w:pPr>
              <w:ind w:left="40"/>
              <w:spacing w:after="0"/>
              <w:rPr>
                <w:sz w:val="20"/>
                <w:szCs w:val="20"/>
                <w:color w:val="auto"/>
              </w:rPr>
            </w:pPr>
            <w:r>
              <w:rPr>
                <w:rFonts w:ascii="Arial" w:cs="Arial" w:eastAsia="Arial" w:hAnsi="Arial"/>
                <w:sz w:val="16"/>
                <w:szCs w:val="16"/>
                <w:i w:val="1"/>
                <w:iCs w:val="1"/>
                <w:color w:val="auto"/>
                <w:w w:val="98"/>
              </w:rPr>
              <w:t>(in thousands except per share amounts)</w:t>
            </w: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451"/>
        </w:trPr>
        <w:tc>
          <w:tcPr>
            <w:tcW w:w="960" w:type="dxa"/>
            <w:vAlign w:val="bottom"/>
          </w:tcPr>
          <w:p>
            <w:pPr>
              <w:jc w:val="right"/>
              <w:ind w:right="15"/>
              <w:spacing w:after="0"/>
              <w:rPr>
                <w:sz w:val="20"/>
                <w:szCs w:val="20"/>
                <w:color w:val="auto"/>
              </w:rPr>
            </w:pPr>
            <w:r>
              <w:rPr>
                <w:rFonts w:ascii="Arial" w:cs="Arial" w:eastAsia="Arial" w:hAnsi="Arial"/>
                <w:sz w:val="18"/>
                <w:szCs w:val="18"/>
                <w:color w:val="auto"/>
              </w:rPr>
              <w:t>(614)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(15,853)</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(22,285)</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(42,043)</w:t>
            </w:r>
          </w:p>
        </w:tc>
      </w:tr>
      <w:tr>
        <w:trPr>
          <w:trHeight w:val="27"/>
        </w:trPr>
        <w:tc>
          <w:tcPr>
            <w:tcW w:w="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9"/>
        </w:trPr>
        <w:tc>
          <w:tcPr>
            <w:tcW w:w="960" w:type="dxa"/>
            <w:vAlign w:val="bottom"/>
          </w:tcPr>
          <w:p>
            <w:pPr>
              <w:jc w:val="right"/>
              <w:ind w:right="55"/>
              <w:spacing w:after="0"/>
              <w:rPr>
                <w:sz w:val="20"/>
                <w:szCs w:val="20"/>
                <w:color w:val="auto"/>
              </w:rPr>
            </w:pPr>
            <w:r>
              <w:rPr>
                <w:rFonts w:ascii="Arial" w:cs="Arial" w:eastAsia="Arial" w:hAnsi="Arial"/>
                <w:sz w:val="18"/>
                <w:szCs w:val="18"/>
                <w:color w:val="auto"/>
              </w:rPr>
              <w:t>188,805</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194,543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189,040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195,205</w:t>
            </w:r>
          </w:p>
        </w:tc>
      </w:tr>
      <w:tr>
        <w:trPr>
          <w:trHeight w:val="27"/>
        </w:trPr>
        <w:tc>
          <w:tcPr>
            <w:tcW w:w="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98"/>
        </w:trPr>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7"/>
        </w:trPr>
        <w:tc>
          <w:tcPr>
            <w:tcW w:w="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-33655</wp:posOffset>
            </wp:positionV>
            <wp:extent cx="917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-7620</wp:posOffset>
            </wp:positionV>
            <wp:extent cx="917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-633730</wp:posOffset>
            </wp:positionV>
            <wp:extent cx="713232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-1113790</wp:posOffset>
            </wp:positionV>
            <wp:extent cx="713232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-1276350</wp:posOffset>
            </wp:positionV>
            <wp:extent cx="38487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-1439545</wp:posOffset>
            </wp:positionV>
            <wp:extent cx="18942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460"/>
            <w:col w:w="550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2022</w:t>
            </w:r>
          </w:p>
        </w:tc>
      </w:tr>
      <w:tr>
        <w:trPr>
          <w:trHeight w:val="27"/>
        </w:trPr>
        <w:tc>
          <w:tcPr>
            <w:tcW w:w="824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2080" w:type="dxa"/>
            <w:vAlign w:val="bottom"/>
            <w:gridSpan w:val="3"/>
          </w:tcPr>
          <w:p>
            <w:pPr>
              <w:jc w:val="center"/>
              <w:ind w:left="830"/>
              <w:spacing w:after="0"/>
              <w:rPr>
                <w:sz w:val="20"/>
                <w:szCs w:val="20"/>
                <w:color w:val="auto"/>
              </w:rPr>
            </w:pPr>
            <w:r>
              <w:rPr>
                <w:rFonts w:ascii="Arial" w:cs="Arial" w:eastAsia="Arial" w:hAnsi="Arial"/>
                <w:sz w:val="18"/>
                <w:szCs w:val="18"/>
                <w:i w:val="1"/>
                <w:iCs w:val="1"/>
                <w:color w:val="auto"/>
                <w:w w:val="91"/>
              </w:rPr>
              <w:t>(in thousands)</w:t>
            </w:r>
          </w:p>
        </w:tc>
        <w:tc>
          <w:tcPr>
            <w:tcW w:w="9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common stock and unvested RSUs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17,359</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19,118</w:t>
            </w:r>
          </w:p>
        </w:tc>
      </w:tr>
      <w:tr>
        <w:trPr>
          <w:trHeight w:val="263"/>
        </w:trPr>
        <w:tc>
          <w:tcPr>
            <w:tcW w:w="8240" w:type="dxa"/>
            <w:vAlign w:val="bottom"/>
          </w:tcPr>
          <w:p>
            <w:pPr>
              <w:ind w:left="240"/>
              <w:spacing w:after="0"/>
              <w:rPr>
                <w:sz w:val="20"/>
                <w:szCs w:val="20"/>
                <w:color w:val="auto"/>
              </w:rPr>
            </w:pPr>
            <w:r>
              <w:rPr>
                <w:rFonts w:ascii="Arial" w:cs="Arial" w:eastAsia="Arial" w:hAnsi="Arial"/>
                <w:sz w:val="18"/>
                <w:szCs w:val="18"/>
                <w:color w:val="auto"/>
              </w:rPr>
              <w:t>Total anti-dilutive outstanding potential common stock</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19,118</w:t>
            </w:r>
          </w:p>
        </w:tc>
      </w:tr>
      <w:tr>
        <w:trPr>
          <w:trHeight w:val="21"/>
        </w:trPr>
        <w:tc>
          <w:tcPr>
            <w:tcW w:w="8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347"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Valuations based on quoted prices for similar assets or liabilities, quoted prices for identical assets or liabilities in markets that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active, or other inputs that are observable or can be corroborated by observable data for substantially the full term of the assets or liabilities.</w:t>
      </w:r>
    </w:p>
    <w:p>
      <w:pPr>
        <w:spacing w:after="0" w:line="115"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2023 and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6"/>
                <w:szCs w:val="16"/>
                <w:b w:val="1"/>
                <w:bCs w:val="1"/>
                <w:color w:val="auto"/>
                <w:w w:val="90"/>
              </w:rPr>
              <w:t>September 30, 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7"/>
        </w:trPr>
        <w:tc>
          <w:tcPr>
            <w:tcW w:w="3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Balance Sheet Classification</w:t>
            </w:r>
          </w:p>
        </w:tc>
      </w:tr>
      <w:tr>
        <w:trPr>
          <w:trHeight w:val="233"/>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3"/>
          </w:tcPr>
          <w:p>
            <w:pPr>
              <w:jc w:val="center"/>
              <w:ind w:right="153"/>
              <w:spacing w:after="0"/>
              <w:rPr>
                <w:sz w:val="20"/>
                <w:szCs w:val="20"/>
                <w:color w:val="auto"/>
              </w:rPr>
            </w:pPr>
            <w:r>
              <w:rPr>
                <w:rFonts w:ascii="Arial" w:cs="Arial" w:eastAsia="Arial" w:hAnsi="Arial"/>
                <w:sz w:val="16"/>
                <w:szCs w:val="16"/>
                <w:i w:val="1"/>
                <w:iCs w:val="1"/>
                <w:color w:val="auto"/>
                <w:w w:val="90"/>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11,365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11,365</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Cash equivalents</w:t>
            </w:r>
          </w:p>
        </w:tc>
      </w:tr>
      <w:tr>
        <w:trPr>
          <w:trHeight w:val="27"/>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r>
      <w:tr>
        <w:trPr>
          <w:trHeight w:val="547"/>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6"/>
                <w:szCs w:val="16"/>
                <w:b w:val="1"/>
                <w:bCs w:val="1"/>
                <w:color w:val="auto"/>
                <w:w w:val="90"/>
              </w:rPr>
              <w:t>December 31, 2022</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6"/>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Balance Sheet Classification</w:t>
            </w:r>
          </w:p>
        </w:tc>
      </w:tr>
      <w:tr>
        <w:trPr>
          <w:trHeight w:val="233"/>
        </w:trPr>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3"/>
          </w:tcPr>
          <w:p>
            <w:pPr>
              <w:jc w:val="center"/>
              <w:ind w:right="133"/>
              <w:spacing w:after="0"/>
              <w:rPr>
                <w:sz w:val="20"/>
                <w:szCs w:val="20"/>
                <w:color w:val="auto"/>
              </w:rPr>
            </w:pPr>
            <w:r>
              <w:rPr>
                <w:rFonts w:ascii="Arial" w:cs="Arial" w:eastAsia="Arial" w:hAnsi="Arial"/>
                <w:sz w:val="16"/>
                <w:szCs w:val="16"/>
                <w:i w:val="1"/>
                <w:iCs w:val="1"/>
                <w:color w:val="auto"/>
                <w:w w:val="92"/>
              </w:rPr>
              <w:t>(in thousands)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6,568</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Cash equivalents</w:t>
            </w:r>
          </w:p>
        </w:tc>
      </w:tr>
      <w:tr>
        <w:trPr>
          <w:trHeight w:val="27"/>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2,893</w:t>
            </w:r>
          </w:p>
        </w:tc>
        <w:tc>
          <w:tcPr>
            <w:tcW w:w="8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provision for income taxes in interim periods has historically been based on our estimated annual effective tax rate. We record cumulative adjustments in the quarter in which a change in the estimated annual effective rate is determined. In the third quarter of 2023, it is the Company's judgement that the estimated annual effective tax rate did not result in a reliable estimate, so an estimate was determined using year to date results.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income tax (expense) benefit was expense of $0.2 million and a benefit of $0.3 million for the three months ended September 30, 2023 and 2022, respectively, and a benefit of $1.5 million and $6.0 million for the nine months ended September 30, 2023 and 2022, respectively. Our effective income tax rate was (64.6)% and 1.8% for the three months ended September 30, 2023 and 2022, respectively, and 6.5% and 12.4% for the nine months ended September 30, 2023 and 2022, respectively. The difference in income tax (expense) benefit for the three and nine months ended September 30, 2023 as compared to the corresponding period in 2022, with such changes driven primarily by discrete items. The nine months ended September 30, 2023 includes the release of a valuation allowance in the second quarter 2023. The nine months ended September 30, 2022 included a California law change, an intercompany intellectual property sale, and the establishment of a valuation allowance for our New Zealand subsidiaries in the first quarter of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 party fulfillment costs and software hosting. Unrecognized future minimum payments due under these agreements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 (remainder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13,040</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43"/>
        </w:trPr>
        <w:tc>
          <w:tcPr>
            <w:tcW w:w="978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minimum payments due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applicability of nexus in jurisdictions in which the Company sells products and services. As of September 30, 2023 and December 31, 2022, the Company recorded a liability in the amount of $10.8 million and $11.2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Areas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long-lived assets by geographic area as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5"/>
              <w:spacing w:after="0"/>
              <w:rPr>
                <w:sz w:val="20"/>
                <w:szCs w:val="20"/>
                <w:color w:val="auto"/>
              </w:rPr>
            </w:pPr>
            <w:r>
              <w:rPr>
                <w:rFonts w:ascii="Arial" w:cs="Arial" w:eastAsia="Arial" w:hAnsi="Arial"/>
                <w:sz w:val="16"/>
                <w:szCs w:val="16"/>
                <w:b w:val="1"/>
                <w:bCs w:val="1"/>
                <w:color w:val="auto"/>
                <w:w w:val="93"/>
              </w:rPr>
              <w:t>September 30,</w:t>
            </w:r>
          </w:p>
        </w:tc>
        <w:tc>
          <w:tcPr>
            <w:tcW w:w="24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Arial" w:cs="Arial" w:eastAsia="Arial" w:hAnsi="Arial"/>
                <w:sz w:val="16"/>
                <w:szCs w:val="16"/>
                <w:b w:val="1"/>
                <w:bCs w:val="1"/>
                <w:color w:val="auto"/>
                <w:w w:val="96"/>
              </w:rPr>
              <w:t>December 31,</w:t>
            </w:r>
          </w:p>
        </w:tc>
      </w:tr>
      <w:tr>
        <w:trPr>
          <w:trHeight w:val="256"/>
        </w:trPr>
        <w:tc>
          <w:tcPr>
            <w:tcW w:w="8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r>
      <w:tr>
        <w:trPr>
          <w:trHeight w:val="233"/>
        </w:trPr>
        <w:tc>
          <w:tcPr>
            <w:tcW w:w="8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3"/>
          </w:tcPr>
          <w:p>
            <w:pPr>
              <w:jc w:val="right"/>
              <w:ind w:right="955"/>
              <w:spacing w:after="0"/>
              <w:rPr>
                <w:sz w:val="20"/>
                <w:szCs w:val="20"/>
                <w:color w:val="auto"/>
              </w:rPr>
            </w:pPr>
            <w:r>
              <w:rPr>
                <w:rFonts w:ascii="Arial" w:cs="Arial" w:eastAsia="Arial" w:hAnsi="Arial"/>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10,623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5, 2023, our Board of Directors approved an expansion of the Repurchase Program with authorization to purchase up to an additional $50.0 million in shares of the Company’s common stock (from $100.0 million to $150.0 million in total) and an extension to the expiration of the Repurchase Program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2022 (the “Annual Report on Form 10-K”) filed with the Securities and Exchange Commission (“SEC”) on March 16, 2023. Additionally, our historical results are not necessarily indicative of the results that may be expected for any period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685,000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79" w:lineRule="exact"/>
        <w:rPr>
          <w:sz w:val="20"/>
          <w:szCs w:val="20"/>
          <w:color w:val="auto"/>
        </w:rPr>
      </w:pPr>
    </w:p>
    <w:p>
      <w:pPr>
        <w:jc w:val="both"/>
        <w:ind w:left="500" w:hanging="168"/>
        <w:spacing w:after="0" w:line="301" w:lineRule="auto"/>
        <w:tabs>
          <w:tab w:leader="none" w:pos="49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49" w:lineRule="exact"/>
        <w:rPr>
          <w:rFonts w:ascii="Arial" w:cs="Arial" w:eastAsia="Arial" w:hAnsi="Arial"/>
          <w:sz w:val="16"/>
          <w:szCs w:val="16"/>
          <w:color w:val="auto"/>
        </w:rPr>
      </w:pPr>
    </w:p>
    <w:p>
      <w:pPr>
        <w:jc w:val="both"/>
        <w:ind w:left="500" w:hanging="168"/>
        <w:spacing w:after="0" w:line="255" w:lineRule="auto"/>
        <w:tabs>
          <w:tab w:leader="none" w:pos="49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Billing &amp; Payment Solutions: </w:t>
      </w:r>
      <w:r>
        <w:rPr>
          <w:rFonts w:ascii="Arial" w:cs="Arial" w:eastAsia="Arial" w:hAnsi="Arial"/>
          <w:sz w:val="18"/>
          <w:szCs w:val="18"/>
          <w:color w:val="auto"/>
        </w:rPr>
        <w:t>Our Billing &amp; Payment Solutions provide integrated payments, billing and invoicing automation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84" w:lineRule="exact"/>
        <w:rPr>
          <w:rFonts w:ascii="Arial" w:cs="Arial" w:eastAsia="Arial" w:hAnsi="Arial"/>
          <w:sz w:val="18"/>
          <w:szCs w:val="18"/>
          <w:b w:val="1"/>
          <w:bCs w:val="1"/>
          <w:color w:val="auto"/>
        </w:rPr>
      </w:pPr>
    </w:p>
    <w:p>
      <w:pPr>
        <w:jc w:val="both"/>
        <w:ind w:left="500" w:hanging="168"/>
        <w:spacing w:after="0" w:line="272"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Experience Solutions: </w:t>
      </w:r>
      <w:r>
        <w:rPr>
          <w:rFonts w:ascii="Arial" w:cs="Arial" w:eastAsia="Arial" w:hAnsi="Arial"/>
          <w:sz w:val="17"/>
          <w:szCs w:val="17"/>
          <w:color w:val="auto"/>
        </w:rPr>
        <w:t>Our Customer Experience Solutions modernize how businesses engage and interact with customers by leveraging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69" w:lineRule="exact"/>
        <w:rPr>
          <w:rFonts w:ascii="Arial" w:cs="Arial" w:eastAsia="Arial" w:hAnsi="Arial"/>
          <w:sz w:val="17"/>
          <w:szCs w:val="17"/>
          <w:color w:val="auto"/>
        </w:rPr>
      </w:pPr>
    </w:p>
    <w:p>
      <w:pPr>
        <w:jc w:val="both"/>
        <w:ind w:left="500" w:hanging="168"/>
        <w:spacing w:after="0" w:line="273" w:lineRule="auto"/>
        <w:tabs>
          <w:tab w:leader="none" w:pos="49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Experience Solutions to help customers build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benefits from attractive unit economics. Approximately 95% of our revenue in the nine months ended September 30, 2023 and 2022 was recurring or re-occurring, and we maintained an annualized net revenue retention rate of approximately 97% for the quarter ended September 30, 2023. Excluding our marketing technology solutions, our annualized net revenue retention rate for our core software and payments solutions was greater than 100% for the three months ended September 30, 2023.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calculate our monthly net pro forma revenue retention rate for a particular month as the recurring or re-occurring revenue gained/lost from existing customers, less the recurring or re-occurring revenue lost from cancelled customers, as a percentage of total recurring or re-occurring revenue 12 months prior, divided by 12.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2022 is the difference between the recurring or re-occurring revenue generated in November 2022 and the same such revenue generated in November 2021, for customers with a start date prior to December 1, 2021 and no end date or cancelled relationship on or after November 1, 2022.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2022 is the difference between the recurring or re-occurring revenue generated in November 2022 and the same such revenue generated in November 2021, for customers that cancelled on or after November 1, 2021 and before November 1, 2022. Net pro forma revenue retention is calculated as if acquisitions that were closed during the prior period presented were closed on the first day of such period presented. Our calculation of net pro forma revenue retention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 companies to deepen our competitive moats in existing verticals and enter new verticals and geographies. We have acquired 53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Impact of Macroeconomic Climate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macroeconomic climate continues to see pressure from global developments such as international geopolitical conflict, terrorism, COVID-19, rising inflation, the strengthened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more information regarding the potential impact of COVID-19 on our business, refer to Part I. Item 1A.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COVID-19 pandemic has impacted, and a future pandemic, epidemic or outbreak of an infectious disease could impact, our business, financial condition and results of operations, as well as the business or operations of third parties with whom we conduct business” </w:t>
      </w:r>
      <w:r>
        <w:rPr>
          <w:rFonts w:ascii="Arial" w:cs="Arial" w:eastAsia="Arial" w:hAnsi="Arial"/>
          <w:sz w:val="18"/>
          <w:szCs w:val="18"/>
          <w:color w:val="auto"/>
        </w:rPr>
        <w:t>in our Annual Report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believe that our performance and future success depends on a number of factors that present significant opportunities for us but also pose risks and challenges. For discussion of these factors, please see “Key Factors Affecting Our Performance” in the Management’s Discussion and Analysis section of our Annual Report on Form 10-K. For a discussion about why we consider our Non-GAAP measures useful and a discussion of the material risks and limitations of such measures, please see Part II, Item 7. </w:t>
      </w:r>
      <w:r>
        <w:rPr>
          <w:rFonts w:ascii="Arial" w:cs="Arial" w:eastAsia="Arial" w:hAnsi="Arial"/>
          <w:sz w:val="16"/>
          <w:szCs w:val="16"/>
          <w:i w:val="1"/>
          <w:iCs w:val="1"/>
          <w:color w:val="auto"/>
        </w:rPr>
        <w:t>“Management’s Discussion and Analysis of Financial Condition and Results of Operations – Key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and Financial Metrics – Non-GAAP Financial Measures” </w:t>
      </w:r>
      <w:r>
        <w:rPr>
          <w:rFonts w:ascii="Arial" w:cs="Arial" w:eastAsia="Arial" w:hAnsi="Arial"/>
          <w:sz w:val="16"/>
          <w:szCs w:val="16"/>
          <w:color w:val="auto"/>
        </w:rPr>
        <w:t>included in our Annual Report on Form 10-K filed on March 15,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results and measures of performance determined in accordance with Generally Accepted Accounting Principles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 Forma Revenue Growth rate was 10.3% and 10.2% for the three and nine months ended September 30, 2023, respectively, reflective of the underlying growth in our business including new customers and providing more solutions to existing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profit, the most directly comparable financial measure calculated in accordance with GAAP, to Adjusted Gross Profit on a consolidated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8"/>
              </w:rPr>
              <w:t>Nine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9"/>
                <w:szCs w:val="19"/>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4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r>
      <w:tr>
        <w:trPr>
          <w:trHeight w:val="247"/>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5"/>
          </w:tcPr>
          <w:p>
            <w:pPr>
              <w:ind w:left="48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46,981</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163,503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12,099</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Amortization of capitalized software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2,365</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allocated to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42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311,939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33,092</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63"/>
        </w:trPr>
        <w:tc>
          <w:tcPr>
            <w:tcW w:w="424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34,882</w:t>
            </w:r>
          </w:p>
        </w:tc>
      </w:tr>
      <w:tr>
        <w:trPr>
          <w:trHeight w:val="21"/>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calculate Adjusted EBITDA as net loss adjusted to exclude interest and other expense, net, income tax expense (benefit), depreciation and amortization, other amortization, acquisition related costs, stock-based compensation, and other non-recurring costs. Other amortization includes amortization for capitalized contract acquisition costs. Acquisition-related and non-recurring costs are specific deal-related costs such as legal fees, financial and tax due diligence, consulting and escrow fees as well as expenses such as system implementation costs and severance related to planned restructuring activities. Acquisition-related and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financial measure calculated in accordance with GAAP, to Adjusted EBITDA on a consolidated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88"/>
              </w:rPr>
              <w:t>Nine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9"/>
                <w:szCs w:val="19"/>
                <w:color w:val="auto"/>
              </w:rPr>
            </w:pPr>
          </w:p>
        </w:tc>
        <w:tc>
          <w:tcPr>
            <w:tcW w:w="20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84"/>
              </w:rPr>
              <w:t>2023</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w:t>
            </w:r>
          </w:p>
        </w:tc>
      </w:tr>
      <w:tr>
        <w:trPr>
          <w:trHeight w:val="218"/>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
        </w:trPr>
        <w:tc>
          <w:tcPr>
            <w:tcW w:w="4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19,758</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r>
      <w:tr>
        <w:trPr>
          <w:trHeight w:val="243"/>
        </w:trPr>
        <w:tc>
          <w:tcPr>
            <w:tcW w:w="4260" w:type="dxa"/>
            <w:vAlign w:val="bottom"/>
          </w:tcPr>
          <w:p>
            <w:pPr>
              <w:ind w:left="10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43"/>
        </w:trPr>
        <w:tc>
          <w:tcPr>
            <w:tcW w:w="4260" w:type="dxa"/>
            <w:vAlign w:val="bottom"/>
          </w:tcPr>
          <w:p>
            <w:pPr>
              <w:ind w:left="100"/>
              <w:spacing w:after="0"/>
              <w:rPr>
                <w:sz w:val="20"/>
                <w:szCs w:val="20"/>
                <w:color w:val="auto"/>
              </w:rPr>
            </w:pPr>
            <w:r>
              <w:rPr>
                <w:rFonts w:ascii="Arial" w:cs="Arial" w:eastAsia="Arial" w:hAnsi="Arial"/>
                <w:sz w:val="18"/>
                <w:szCs w:val="18"/>
                <w:color w:val="auto"/>
              </w:rPr>
              <w:t>Other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4260" w:type="dxa"/>
            <w:vAlign w:val="bottom"/>
          </w:tcPr>
          <w:p>
            <w:pPr>
              <w:ind w:left="100"/>
              <w:spacing w:after="0"/>
              <w:rPr>
                <w:sz w:val="20"/>
                <w:szCs w:val="20"/>
                <w:color w:val="auto"/>
              </w:rPr>
            </w:pPr>
            <w:r>
              <w:rPr>
                <w:rFonts w:ascii="Arial" w:cs="Arial" w:eastAsia="Arial" w:hAnsi="Arial"/>
                <w:sz w:val="18"/>
                <w:szCs w:val="18"/>
                <w:color w:val="auto"/>
              </w:rPr>
              <w:t>Acquisition-related and non-recurring costs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112,541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Significant Judgments and Estimates.”</w:t>
      </w:r>
    </w:p>
    <w:p>
      <w:pPr>
        <w:sectPr>
          <w:pgSz w:w="11900" w:h="16838" w:orient="portrait"/>
          <w:cols w:equalWidth="0" w:num="1">
            <w:col w:w="11240"/>
          </w:cols>
          <w:pgMar w:left="320" w:top="12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type w:val="continuous"/>
        </w:sectPr>
      </w:pPr>
    </w:p>
    <w:bookmarkStart w:id="25" w:name="page26"/>
    <w:bookmarkEnd w:id="25"/>
    <w:p>
      <w:pPr>
        <w:jc w:val="both"/>
        <w:spacing w:after="0" w:line="273" w:lineRule="auto"/>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Experience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and nine months ended September 30, 2023, revenue from Subscription and Transaction Fees increased 10.5% and 12.5%, respectively, and revenue from Marketing Technology Solutions increased 1.5% and 1.7%, respectively, compared to the prior year periods.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Summary of Significant Accounting Policies to our consolidated financial statements included in our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Nine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19"/>
                <w:szCs w:val="19"/>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9"/>
                <w:szCs w:val="19"/>
                <w:color w:val="auto"/>
              </w:rPr>
            </w:pPr>
          </w:p>
        </w:tc>
        <w:tc>
          <w:tcPr>
            <w:tcW w:w="880" w:type="dxa"/>
            <w:vAlign w:val="bottom"/>
          </w:tcPr>
          <w:p>
            <w:pPr>
              <w:jc w:val="right"/>
              <w:ind w:right="171"/>
              <w:spacing w:after="0"/>
              <w:rPr>
                <w:sz w:val="20"/>
                <w:szCs w:val="20"/>
                <w:color w:val="auto"/>
              </w:rPr>
            </w:pPr>
            <w:r>
              <w:rPr>
                <w:rFonts w:ascii="Arial" w:cs="Arial" w:eastAsia="Arial" w:hAnsi="Arial"/>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5"/>
          </w:tcPr>
          <w:p>
            <w:pPr>
              <w:ind w:left="46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426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132,640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120,085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12,555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386,765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343,734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43,031</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43"/>
        </w:trPr>
        <w:tc>
          <w:tcPr>
            <w:tcW w:w="426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46,981</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260" w:type="dxa"/>
            <w:vAlign w:val="bottom"/>
            <w:shd w:val="clear" w:color="auto" w:fill="CCEEFF"/>
          </w:tcPr>
          <w:p>
            <w:pPr>
              <w:ind w:left="140"/>
              <w:spacing w:after="0" w:line="229"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(exclusive of depreciation and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presented separately below)</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12,099</w:t>
            </w:r>
          </w:p>
        </w:tc>
      </w:tr>
      <w:tr>
        <w:trPr>
          <w:trHeight w:val="270"/>
        </w:trPr>
        <w:tc>
          <w:tcPr>
            <w:tcW w:w="4260" w:type="dxa"/>
            <w:vAlign w:val="bottom"/>
          </w:tcPr>
          <w:p>
            <w:pPr>
              <w:ind w:left="1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91,660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2,129</w:t>
            </w:r>
          </w:p>
        </w:tc>
      </w:tr>
      <w:tr>
        <w:trPr>
          <w:trHeight w:val="270"/>
        </w:trPr>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r>
      <w:tr>
        <w:trPr>
          <w:trHeight w:val="270"/>
        </w:trPr>
        <w:tc>
          <w:tcPr>
            <w:tcW w:w="4260" w:type="dxa"/>
            <w:vAlign w:val="bottom"/>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101,553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4,805</w:t>
            </w:r>
          </w:p>
        </w:tc>
      </w:tr>
      <w:tr>
        <w:trPr>
          <w:trHeight w:val="270"/>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37"/>
        </w:trPr>
        <w:tc>
          <w:tcPr>
            <w:tcW w:w="42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485,874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17,268</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29,713</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(5,545)</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2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Net loss attributable to common stockholders before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4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24,168</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2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18"/>
          <w:szCs w:val="18"/>
          <w:color w:val="auto"/>
        </w:rPr>
        <w:t>(1) Includes stock-based compensation expense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9"/>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Nine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9"/>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9"/>
                <w:szCs w:val="19"/>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9"/>
                <w:szCs w:val="19"/>
                <w:color w:val="auto"/>
              </w:rPr>
            </w:pPr>
          </w:p>
        </w:tc>
        <w:tc>
          <w:tcPr>
            <w:tcW w:w="20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9"/>
                <w:szCs w:val="19"/>
                <w:color w:val="auto"/>
              </w:rPr>
            </w:pPr>
          </w:p>
        </w:tc>
        <w:tc>
          <w:tcPr>
            <w:tcW w:w="880" w:type="dxa"/>
            <w:vAlign w:val="bottom"/>
          </w:tcPr>
          <w:p>
            <w:pPr>
              <w:jc w:val="center"/>
              <w:ind w:right="113"/>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6"/>
          </w:tcPr>
          <w:p>
            <w:pPr>
              <w:ind w:left="5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9"/>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w w:val="88"/>
              </w:rPr>
              <w:t>Nine months ended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9"/>
          </w:tcPr>
          <w:p>
            <w:pPr>
              <w:jc w:val="center"/>
              <w:ind w:right="4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20"/>
                <w:szCs w:val="20"/>
                <w:color w:val="auto"/>
              </w:rPr>
            </w:pPr>
          </w:p>
        </w:tc>
        <w:tc>
          <w:tcPr>
            <w:tcW w:w="20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20"/>
                <w:szCs w:val="20"/>
                <w:color w:val="auto"/>
              </w:rPr>
            </w:pPr>
          </w:p>
        </w:tc>
        <w:tc>
          <w:tcPr>
            <w:tcW w:w="880" w:type="dxa"/>
            <w:vAlign w:val="bottom"/>
          </w:tcPr>
          <w:p>
            <w:pPr>
              <w:jc w:val="center"/>
              <w:ind w:right="113"/>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94"/>
              <w:spacing w:after="0"/>
              <w:rPr>
                <w:sz w:val="20"/>
                <w:szCs w:val="20"/>
                <w:color w:val="auto"/>
              </w:rPr>
            </w:pPr>
            <w:r>
              <w:rPr>
                <w:rFonts w:ascii="Arial" w:cs="Arial" w:eastAsia="Arial" w:hAnsi="Arial"/>
                <w:sz w:val="16"/>
                <w:szCs w:val="16"/>
                <w:b w:val="1"/>
                <w:bCs w:val="1"/>
                <w:color w:val="auto"/>
                <w:w w:val="84"/>
              </w:rPr>
              <w:t>2023</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132,640</w:t>
            </w:r>
          </w:p>
        </w:tc>
        <w:tc>
          <w:tcPr>
            <w:tcW w:w="4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120,085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386,765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343,734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103,081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4240" w:type="dxa"/>
            <w:vAlign w:val="bottom"/>
          </w:tcPr>
          <w:p>
            <w:pPr>
              <w:ind w:left="1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174,741</w:t>
            </w:r>
          </w:p>
        </w:tc>
        <w:tc>
          <w:tcPr>
            <w:tcW w:w="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505,929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increased $16.6 million, or 10.5%, and $47.0 million, or 10.2%, for the three and nine months ended September 30, 2023, respectively, as compared to the corresponding periods in 2022. These increases were driven primarily by a $6.1 million and $22.3 million increase, respectively, from software &amp; subscription revenues due to an expansion in our number of customers and certain price increases across our portfolio. Additionally, there was a $6.5 million and $20.7 million increase, respectively, due to higher transaction volumes processed through our payment platforms.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90"/>
              </w:rPr>
              <w:t>Three months ended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90"/>
              </w:rPr>
              <w:t>Nine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7"/>
        </w:trPr>
        <w:tc>
          <w:tcPr>
            <w:tcW w:w="3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260" w:type="dxa"/>
            <w:vAlign w:val="bottom"/>
          </w:tcPr>
          <w:p>
            <w:pPr>
              <w:spacing w:after="0"/>
              <w:rPr>
                <w:sz w:val="20"/>
                <w:szCs w:val="20"/>
                <w:color w:val="auto"/>
              </w:rPr>
            </w:pPr>
          </w:p>
        </w:tc>
        <w:tc>
          <w:tcPr>
            <w:tcW w:w="1520" w:type="dxa"/>
            <w:vAlign w:val="bottom"/>
            <w:gridSpan w:val="2"/>
          </w:tcPr>
          <w:p>
            <w:pPr>
              <w:jc w:val="center"/>
              <w:ind w:left="415"/>
              <w:spacing w:after="0"/>
              <w:rPr>
                <w:sz w:val="20"/>
                <w:szCs w:val="20"/>
                <w:color w:val="auto"/>
              </w:rPr>
            </w:pPr>
            <w:r>
              <w:rPr>
                <w:rFonts w:ascii="Arial" w:cs="Arial" w:eastAsia="Arial" w:hAnsi="Arial"/>
                <w:sz w:val="16"/>
                <w:szCs w:val="16"/>
                <w:b w:val="1"/>
                <w:bCs w:val="1"/>
                <w:color w:val="auto"/>
                <w:w w:val="89"/>
              </w:rPr>
              <w:t>September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Change</w:t>
            </w:r>
          </w:p>
        </w:tc>
      </w:tr>
      <w:tr>
        <w:trPr>
          <w:trHeight w:val="237"/>
        </w:trPr>
        <w:tc>
          <w:tcPr>
            <w:tcW w:w="38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4"/>
              </w:rPr>
              <w:t>2022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w:t>
            </w:r>
          </w:p>
        </w:tc>
      </w:tr>
      <w:tr>
        <w:trPr>
          <w:trHeight w:val="280"/>
        </w:trPr>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4"/>
          </w:tcPr>
          <w:p>
            <w:pPr>
              <w:jc w:val="right"/>
              <w:ind w:right="475"/>
              <w:spacing w:after="0"/>
              <w:rPr>
                <w:sz w:val="20"/>
                <w:szCs w:val="20"/>
                <w:color w:val="auto"/>
              </w:rPr>
            </w:pPr>
            <w:r>
              <w:rPr>
                <w:rFonts w:ascii="Arial" w:cs="Arial" w:eastAsia="Arial" w:hAnsi="Arial"/>
                <w:sz w:val="16"/>
                <w:szCs w:val="16"/>
                <w:i w:val="1"/>
                <w:iCs w:val="1"/>
                <w:color w:val="auto"/>
              </w:rPr>
              <w:t>(dollars in thousands)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7"/>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presented separately below)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61,471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175,602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163,503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12,099</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35.2 %</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34.7 %</w:t>
            </w: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 of revenues increased by $3.8 million, or 6.6%, and $12.1 million, or 7.4%, for the three and nine months ended September 30, 2023, respectively, as compared to the corresponding periods in 2022. The increase for the three month period was primarily comprised of an additional $2.5 million of lead generation and ad spend subject to resale to customers, $0.9 million of email and SMS expense, and $0.8 million of campaign mail expense. The increase for the nine month period was primarily comprised of an additional $4.3 million of lead generation and ad expense subject to resale to customers, $2.3 million of email and SMS expense, $2.3 million of campaign mail expense, and $1.4 million of personnel and compensation expense. As a percentage of revenue, cost of revenues was 35.2% and 36.5% for the three months ended September 30, 2023 and 2022, respectively, and 34.7% and 35.6%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ind w:left="28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7"/>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20"/>
                <w:szCs w:val="20"/>
                <w:color w:val="auto"/>
              </w:rPr>
            </w:pPr>
          </w:p>
        </w:tc>
        <w:tc>
          <w:tcPr>
            <w:tcW w:w="230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84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Change</w:t>
            </w:r>
          </w:p>
        </w:tc>
      </w:tr>
      <w:tr>
        <w:trPr>
          <w:trHeight w:val="250"/>
        </w:trPr>
        <w:tc>
          <w:tcPr>
            <w:tcW w:w="39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w:t>
            </w:r>
          </w:p>
        </w:tc>
      </w:tr>
      <w:tr>
        <w:trPr>
          <w:trHeight w:val="247"/>
        </w:trPr>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4"/>
          </w:tcPr>
          <w:p>
            <w:pPr>
              <w:jc w:val="right"/>
              <w:ind w:right="515"/>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30,086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91,660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89,531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and marketing expenses increased by $0.6 million, or 2.2%, and $2.1 million, or 2.4%, for the three and nine months ended September 30, 2023, respectively, as compared to the corresponding periods in 2022. The increase for the three month period was driven primarily by an additional $0.8 million of advertising expense, partially offset by a $0.1 million decrease in personnel and compensation expense. The increase in the nine month period was driven primarily by an additional $1.1 million of personnel and compensation expense and $0.9 million of software and tools expense. As a percentage of revenue, sales and marketing expenses were 17.2% and 18.6% for the three months ended September 30, 2023 and 2022, respectively, and 18.1% and 19.5% for the nine months ended September 30, 2023 and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88"/>
              </w:rPr>
              <w:t>Nine months ended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Change</w:t>
            </w:r>
          </w:p>
        </w:tc>
        <w:tc>
          <w:tcPr>
            <w:tcW w:w="260" w:type="dxa"/>
            <w:vAlign w:val="bottom"/>
          </w:tcPr>
          <w:p>
            <w:pPr>
              <w:spacing w:after="0"/>
              <w:rPr>
                <w:sz w:val="20"/>
                <w:szCs w:val="20"/>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20"/>
                <w:szCs w:val="20"/>
                <w:color w:val="auto"/>
              </w:rPr>
            </w:pPr>
          </w:p>
        </w:tc>
        <w:tc>
          <w:tcPr>
            <w:tcW w:w="86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Change</w:t>
            </w:r>
          </w:p>
        </w:tc>
      </w:tr>
      <w:tr>
        <w:trPr>
          <w:trHeight w:val="237"/>
        </w:trPr>
        <w:tc>
          <w:tcPr>
            <w:tcW w:w="39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47"/>
        </w:trPr>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4"/>
          </w:tcPr>
          <w:p>
            <w:pPr>
              <w:jc w:val="right"/>
              <w:ind w:right="479"/>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8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19,318</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56,352</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53,568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r>
      <w:tr>
        <w:trPr>
          <w:trHeight w:val="251"/>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development expenses increased by $0.8 million, or 4.4%, and $2.8 million, or 5.2%, for the three and nine months ended September 30, 2023, respectively, as compared to the corresponding periods in 2022. These increases were a result of continued investment in our technology and teams to support our various solutions as well as centralized security operations, information technology and cloud engineering, driven by an additional $0.6 million and $1.2 million of personnel and compensation expense, respectively, and $0.3 million and $1.1 million of software and tools expense, respectively. As a percentage of revenue, product development expenses were 11.1% and 11.7% for the three and nine months ended September 30, 2023 and 2022,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88"/>
              </w:rPr>
              <w:t>Nine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3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Change</w:t>
            </w:r>
          </w:p>
        </w:tc>
        <w:tc>
          <w:tcPr>
            <w:tcW w:w="260" w:type="dxa"/>
            <w:vAlign w:val="bottom"/>
          </w:tcPr>
          <w:p>
            <w:pPr>
              <w:spacing w:after="0"/>
              <w:rPr>
                <w:sz w:val="19"/>
                <w:szCs w:val="19"/>
                <w:color w:val="auto"/>
              </w:rPr>
            </w:pPr>
          </w:p>
        </w:tc>
        <w:tc>
          <w:tcPr>
            <w:tcW w:w="1500" w:type="dxa"/>
            <w:vAlign w:val="bottom"/>
            <w:gridSpan w:val="2"/>
          </w:tcPr>
          <w:p>
            <w:pPr>
              <w:jc w:val="center"/>
              <w:ind w:left="415"/>
              <w:spacing w:after="0"/>
              <w:rPr>
                <w:sz w:val="20"/>
                <w:szCs w:val="20"/>
                <w:color w:val="auto"/>
              </w:rPr>
            </w:pPr>
            <w:r>
              <w:rPr>
                <w:rFonts w:ascii="Arial" w:cs="Arial" w:eastAsia="Arial" w:hAnsi="Arial"/>
                <w:sz w:val="16"/>
                <w:szCs w:val="16"/>
                <w:b w:val="1"/>
                <w:bCs w:val="1"/>
                <w:color w:val="auto"/>
                <w:w w:val="91"/>
              </w:rPr>
              <w:t>September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Change</w:t>
            </w:r>
          </w:p>
        </w:tc>
      </w:tr>
      <w:tr>
        <w:trPr>
          <w:trHeight w:val="250"/>
        </w:trPr>
        <w:tc>
          <w:tcPr>
            <w:tcW w:w="38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w:t>
            </w:r>
          </w:p>
        </w:tc>
      </w:tr>
      <w:tr>
        <w:trPr>
          <w:trHeight w:val="247"/>
        </w:trPr>
        <w:tc>
          <w:tcPr>
            <w:tcW w:w="3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gridSpan w:val="4"/>
          </w:tcPr>
          <w:p>
            <w:pPr>
              <w:jc w:val="right"/>
              <w:ind w:right="515"/>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31,538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101,553</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4,805</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20.1 %</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expenses decreased by $0.6 million, or 1.9%, and increased $4.8 million, or 5.0%, for the three and nine months ended September 30, 2023, respectively, as compared to the corresponding periods in 2022. The decrease for the three month period was driven primarily by a $1.5 million reduction in stock-based compensation expense, partially offset by a $1.2 million increase in personnel and compensation expense. The increase for the nine month period was driven primarily by an additional $3.2 million of personnel and compensation expense and $2.9 million of bad debt expense, partially offset by a $0.8 million decrease in stock-based compensation expense. As a percentage of revenue, general and administrative expenses were 18.0% and 20.3% for the three months ended September 30, 2023 and 2022, respectively, and 20.1% and 21.1%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28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7"/>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80" w:type="dxa"/>
            <w:vAlign w:val="bottom"/>
          </w:tcPr>
          <w:p>
            <w:pPr>
              <w:spacing w:after="0"/>
              <w:rPr>
                <w:sz w:val="20"/>
                <w:szCs w:val="20"/>
                <w:color w:val="auto"/>
              </w:rPr>
            </w:pPr>
          </w:p>
        </w:tc>
        <w:tc>
          <w:tcPr>
            <w:tcW w:w="2320" w:type="dxa"/>
            <w:vAlign w:val="bottom"/>
            <w:gridSpan w:val="4"/>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Change</w:t>
            </w:r>
          </w:p>
        </w:tc>
      </w:tr>
      <w:tr>
        <w:trPr>
          <w:trHeight w:val="237"/>
        </w:trPr>
        <w:tc>
          <w:tcPr>
            <w:tcW w:w="3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w:t>
            </w:r>
          </w:p>
        </w:tc>
      </w:tr>
      <w:tr>
        <w:trPr>
          <w:trHeight w:val="233"/>
        </w:trPr>
        <w:tc>
          <w:tcPr>
            <w:tcW w:w="3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ind w:left="20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26,035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(1,578)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77,975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(4,549)</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decreased by $1.6 million, or 5.7%, and $4.5 million, or 5.5%, for the three and nine months ended September 30, 2023, respectively, as compared to the corresponding periods in 2022. The reduction in depreciation and amortization was driven primarily by the reduced rate of replacement assets resulting from a slowdown in business acquisitions. Specifically, these decreases were driven primarily by $2.7 million and $7.2 million in intangible assets’ amortization, respectively, partially offset by $0.9 million and $2.4 million of additional capitalized software amortization, respectively. As a percentage of revenue, depreciation and amortization expenses were 14.9% and 17.5% for the three months ended September 30, 2023 and 2022, respectively, and 15.4% and 18.0% for the nine months ended September 30, 2023 and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28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7"/>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4"/>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80" w:type="dxa"/>
            <w:vAlign w:val="bottom"/>
          </w:tcPr>
          <w:p>
            <w:pPr>
              <w:spacing w:after="0"/>
              <w:rPr>
                <w:sz w:val="20"/>
                <w:szCs w:val="20"/>
                <w:color w:val="auto"/>
              </w:rPr>
            </w:pPr>
          </w:p>
        </w:tc>
        <w:tc>
          <w:tcPr>
            <w:tcW w:w="2320" w:type="dxa"/>
            <w:vAlign w:val="bottom"/>
            <w:gridSpan w:val="4"/>
          </w:tcPr>
          <w:p>
            <w:pPr>
              <w:ind w:left="4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84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Change</w:t>
            </w:r>
          </w:p>
        </w:tc>
      </w:tr>
      <w:tr>
        <w:trPr>
          <w:trHeight w:val="250"/>
        </w:trPr>
        <w:tc>
          <w:tcPr>
            <w:tcW w:w="39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w:t>
            </w:r>
          </w:p>
        </w:tc>
      </w:tr>
      <w:tr>
        <w:trPr>
          <w:trHeight w:val="247"/>
        </w:trPr>
        <w:tc>
          <w:tcPr>
            <w:tcW w:w="3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4"/>
          </w:tcPr>
          <w:p>
            <w:pPr>
              <w:ind w:left="22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6,666</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8,890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(2,224)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26,615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80" w:type="dxa"/>
            <w:vAlign w:val="bottom"/>
          </w:tcPr>
          <w:p>
            <w:pPr>
              <w:spacing w:after="0"/>
              <w:rPr>
                <w:sz w:val="21"/>
                <w:szCs w:val="21"/>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3.8 %</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5.3 %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and other expense, net, decreased by $2.2 million or 25.0% and increased by $5.5 million, or 26.3%, for the three and nine months ended September 30, 2023, respectively, as compared to the corresponding periods in 2022. For the three month period, the decrease was driven primarily by an unrealized gain of $4.5 million on the interest rate swaps recorded during the three months ended September 30, 2023 offset by higher interest expense on the Company’s Credit Facilities (as defined below) of $3.3 million. For the nine month period, the increase was driven primarily by higher interest expense on the Company’s Credit Facilities of $13.8 million offset by an unrealized gain of $6.6 million on the interest rate swaps recorded during the nine months ended September 30, 2023. As a percentage of revenue, interest and other expense were 3.8% and 5.6% for the three months ended September 30, 2023 and 2022, respectively, and 5.3% and 4.6% for the nine months ended September 30, 2023 and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ind w:left="28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280" w:type="dxa"/>
            <w:vAlign w:val="bottom"/>
          </w:tcPr>
          <w:p>
            <w:pPr>
              <w:spacing w:after="0"/>
              <w:rPr>
                <w:sz w:val="19"/>
                <w:szCs w:val="19"/>
                <w:color w:val="auto"/>
              </w:rPr>
            </w:pPr>
          </w:p>
        </w:tc>
        <w:tc>
          <w:tcPr>
            <w:tcW w:w="2320" w:type="dxa"/>
            <w:vAlign w:val="bottom"/>
            <w:gridSpan w:val="4"/>
          </w:tcPr>
          <w:p>
            <w:pPr>
              <w:ind w:left="4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Arial" w:cs="Arial" w:eastAsia="Arial" w:hAnsi="Arial"/>
                <w:sz w:val="16"/>
                <w:szCs w:val="16"/>
                <w:b w:val="1"/>
                <w:bCs w:val="1"/>
                <w:color w:val="auto"/>
              </w:rPr>
              <w:t>Change</w:t>
            </w:r>
          </w:p>
        </w:tc>
      </w:tr>
      <w:tr>
        <w:trPr>
          <w:trHeight w:val="250"/>
        </w:trPr>
        <w:tc>
          <w:tcPr>
            <w:tcW w:w="39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b w:val="1"/>
                <w:bCs w:val="1"/>
                <w:color w:val="auto"/>
              </w:rPr>
              <w:t>$</w:t>
            </w:r>
          </w:p>
        </w:tc>
      </w:tr>
      <w:tr>
        <w:trPr>
          <w:trHeight w:val="218"/>
        </w:trPr>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ind w:left="28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
        </w:trPr>
        <w:tc>
          <w:tcPr>
            <w:tcW w:w="3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(241)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1,543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(4,410)</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260" w:type="dxa"/>
            <w:vAlign w:val="bottom"/>
          </w:tcPr>
          <w:p>
            <w:pPr>
              <w:spacing w:after="0"/>
              <w:rPr>
                <w:sz w:val="21"/>
                <w:szCs w:val="21"/>
                <w:color w:val="auto"/>
              </w:rPr>
            </w:pPr>
          </w:p>
        </w:tc>
        <w:tc>
          <w:tcPr>
            <w:tcW w:w="980" w:type="dxa"/>
            <w:vAlign w:val="bottom"/>
          </w:tcPr>
          <w:p>
            <w:pPr>
              <w:ind w:left="4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0.3 %</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(expense) benefit changed by $(0.5) million and $(4.4) million for the three and nine months ended September 30, 2023, respectively, as compared to the corresponding periods in 2022, with such changes driven primarily by discrete items. The nine months ended September 30, 2023 includes the release of a valuation allowance in the second quarter 2023. The nine months ended September 30, 2022 included a California law change, an intercompany intellectual property sale, and the establishment of a valuation allowance for our New Zealand subsidiaries in the first quarter of 2022. As a percentage of revenue, income tax (expense) benefit was (0.1)% and 0.2% for the three months ended September 30, 2023 and 2022, respectively, and 0.3% and 1.3% for the nine months ended September 30, 2023 and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our primary sources of liquidity have been net cash provided by operating activities, proceeds from equity issuances and proceeds from long-term 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use of liquidity through 2021 was primarily associated with acquisitions of businesses. Subsequent to 2021, we have utilized liquidity for items such as strategic investment in the ongoing transformation of our business and infrastructure, our recent</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color w:val="auto"/>
        </w:rPr>
        <w:t>business acquisition of Kickserv and share repurchases authorized through our Repurchase Program. For a description of our recent acquisitions, see Note</w:t>
      </w:r>
    </w:p>
    <w:p>
      <w:pPr>
        <w:spacing w:after="0" w:line="46" w:lineRule="exact"/>
        <w:rPr>
          <w:sz w:val="20"/>
          <w:szCs w:val="20"/>
          <w:color w:val="auto"/>
        </w:rPr>
      </w:pPr>
    </w:p>
    <w:p>
      <w:pPr>
        <w:jc w:val="both"/>
        <w:ind w:firstLine="8"/>
        <w:spacing w:after="0" w:line="255"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in our Annual Report on Form 10-K and Note 3. Kickserv Acquisition in this Quarterly Report on Form 10-Q. Absent significant deterioration of market conditions, we expect that working capital requirements, capital expenditures, acquisitions, the Company’s Repurchase Program (defined below), debt servicing and lease obligations will be our principal needs for liquidity going forward.</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September 30, 2023, we had cash, cash equivalents and restricted cash of $90.8 million, $190.0 million of available borrowing capacity under our Revolver (as defined below) and $539.0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Market and macroeconomic conditions may, from time to time, impact our ability to raise capital. If we are unable to raise additional funds when desired, our business, financial condition and results of operations could be adversely affected. See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cash flow data for the periods indicated therein:</w:t>
      </w:r>
    </w:p>
    <w:p>
      <w:pPr>
        <w:spacing w:after="0" w:line="239"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24130</wp:posOffset>
            </wp:positionV>
            <wp:extent cx="1903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47"/>
        </w:trPr>
        <w:tc>
          <w:tcPr>
            <w:tcW w:w="8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60" w:type="dxa"/>
            <w:vAlign w:val="bottom"/>
          </w:tcPr>
          <w:p>
            <w:pPr>
              <w:spacing w:after="0"/>
              <w:rPr>
                <w:sz w:val="21"/>
                <w:szCs w:val="21"/>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68,587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(31,826)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(13,595)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$68.6 million for the nine months ended September 30, 2023, compared to $37.6 million for the nine months ended September 30, 2022. Changes in net cash provided by operating activities result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cash provided by operating activities for the nine months ended September 30, 2023 compared to the nine months ended September 30, 2022 was primarily due to higher cash collections from our subscription and transaction fees and marketing technology solutions of approximately $51.0 million and the timing of payments offset by higher interest payments of $14.1 million, higher investments made to support the growth of our business including personnel expenses of $6.9 million and payments directly related to the delivery of our services and products of $10.5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net cash used in investing activities of $31.8 million related primarily to the acquisition of Kickserv, net of cash acquired, for approximately $15.0 million, costs to develop software of $14.7 million and the remainder was used primarily for purchases of property and equipment.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net cash used in investing activities of $13.6 million related primarily to costs to develop software of $11.4 million and the remainder was used primarily for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net cash used in financing activities of $41.6 million related primarily to the repurchase and retirement of shares of our common stock of $41.3 million.</w:t>
      </w:r>
    </w:p>
    <w:p>
      <w:pPr>
        <w:sectPr>
          <w:pgSz w:w="11900" w:h="16838" w:orient="portrait"/>
          <w:cols w:equalWidth="0" w:num="1">
            <w:col w:w="11240"/>
          </w:cols>
          <w:pgMar w:left="320" w:top="12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type w:val="continuous"/>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During the nine months ended September 30, 2022, net cash used in financing activities of $24.6 million related primarily to the repurchase and retirement of shares of our common stock of $21.9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repurchase and retirement of shares of our common stock, refer to Note 11. Equity in the notes to the unaudited condensed consolidated financial statements included in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Company entered into a credit agreement providing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July 1, 2023, borrowings under the Credit Facilities are available as ABR or Eurocurrency borrowings. ABR borrowings under the Credit Facilities accrued interest at an alternate base rate plus an applicable rate, and Eurocurrency borrowings accrued interest at an LIBOR rate plus an applicable rate. The ABR rate represented the greater of the prime rate, Federal Reserve Bank of New York rate plus ½ of 1%, and an adjusted LIBOR rate for a one month interest period plus 1%. The applicable rate for the Term Loans and the Revolver is 3% for Eurocurrency borrowings and 2% for ABR Borrowings, in each case subject to change based on our first lien net leverage ratio.</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26, 2023, the Credit Facilities were amended to replace the reference rate of LIBOR with the Adjusted SOFR rate (see definition below). The interest rate on any loans outstanding under the Credit Facilities continued to be determined by reference to LIBOR until June 30, 2023, after which time the interest rates on such loans began bearing interest by reference to SOFR. The Company continues to monitor the impact of the transition from LIBOR to SOFR on its business but does not expect a significant impact to the consolidated financial statements.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as of July 1, 2023, borrowings under the Credit Facilities bear interest at the Company’s option at ABR plus an applicable rate, or at a forward-looking term rate based upon the secured overnight financing rate,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October 31, 2022, the Company entered into an interest rate swap agreement in connection with the Company’s Credit Facilities for a notional amount of $200.0 million to convert a portion of the floating rate component of the Term Loans from a floating rate to a fixed rate (the “Initial Swap”). The Initial Swap has a term of five years with a fixed rate in the agreement of 4.212%, as amended in June 2023. Additionally, effective March 31, 2023, the Company entered into a second interest rate swap agreement in connection with the Company’s Credit Facilities for a notional amount of $100.0 million to convert a portion of the floating rate component of the Term Loans from a floating rate to a fixed rate (the “Second Swap”). The Second Swap has a term of approximately 4.5 years with a fixed rate in the agreement of 3.951%, as amended in June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September 30, 2023, there was $539.0 million outstanding under our Credit Facilities, all of which was related to the Term Loans as no amounts were outstanding under the Revolver. The effective interest rate on the Term Loans was approximately 8.7% for the three months ended September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were in compliance with the covenants under the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repurchased and retired 159,943 shares and 4,187,715 shares of common stock for approximately $1.6 million and $41.2 million including transaction fees during the three and nine months ended September 30, 2023, respectively. As of September 30, 2023, $16.0 million remained available under the Repurchase Program.</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5, 2023, our Board of Directors approved an expansion of the Repurchase Program with authorization to purchase up to an additional $50.0 million in shares of the Company’s common stock (from $100.0 million to $150.0 million in total) and an extension to the expiration of the Repurchase Program through December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contractual obligations as of September 30, 2023 from those disclosed in our Annual Report on Form 10-K.</w:t>
      </w:r>
    </w:p>
    <w:p>
      <w:pPr>
        <w:spacing w:after="0" w:line="14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Refer to Notes 9. Leases, 10. Long-Term Debt and 16. Commitments and Contingencies in the unaudited condensed consolidated financial statements included in this Quarterly Report on Form 10-Q and notes thereto for a discussion of our operating leases, debt and contractual obligations,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are described in Part II Item 7, “Management’s Discussion and Analysis of Financial Condition and Results of Operations —Critical Accounting Policies” in our Annual Report on Form 10-K. During the nine months ended September 30, 2023, there were no material changes to our critical accounting policies from those discussed in our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There have been no material changes to our disclosures regarding market risk as described in our Annual Report on Form 10-K under the heading Part II. Item 7A. </w:t>
      </w:r>
      <w:r>
        <w:rPr>
          <w:rFonts w:ascii="Arial" w:cs="Arial" w:eastAsia="Arial" w:hAnsi="Arial"/>
          <w:sz w:val="18"/>
          <w:szCs w:val="18"/>
          <w:i w:val="1"/>
          <w:iCs w:val="1"/>
          <w:color w:val="auto"/>
        </w:rPr>
        <w:t>“Quantitative and Qualitative Disclosures about Market Risk.”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2023, our disclosure controls and procedures were not effective at the reasonable assurance level, due to the material weakness in our internal control over financial reporting as described in Part II, Item 9A</w:t>
      </w:r>
      <w:r>
        <w:rPr>
          <w:rFonts w:ascii="Arial" w:cs="Arial" w:eastAsia="Arial" w:hAnsi="Arial"/>
          <w:sz w:val="16"/>
          <w:szCs w:val="16"/>
          <w:i w:val="1"/>
          <w:iCs w:val="1"/>
          <w:color w:val="auto"/>
        </w:rPr>
        <w:t>. “Controls and Procedures”</w:t>
      </w:r>
      <w:r>
        <w:rPr>
          <w:rFonts w:ascii="Arial" w:cs="Arial" w:eastAsia="Arial" w:hAnsi="Arial"/>
          <w:sz w:val="16"/>
          <w:szCs w:val="16"/>
          <w:color w:val="auto"/>
        </w:rPr>
        <w:t xml:space="preserve"> in our Annual Report on Form 10-K for the year ended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continue to work to remediate our material weakness in our internal control over financial reporting as described in Part II, Item 9A</w:t>
      </w:r>
      <w:r>
        <w:rPr>
          <w:rFonts w:ascii="Arial" w:cs="Arial" w:eastAsia="Arial" w:hAnsi="Arial"/>
          <w:sz w:val="18"/>
          <w:szCs w:val="18"/>
          <w:i w:val="1"/>
          <w:iCs w:val="1"/>
          <w:color w:val="auto"/>
        </w:rPr>
        <w:t>. “Controls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in our Annual Report on Form 10-K for the year ended December 31, 2022. There were no changes in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and 15d-15(f) under the Exchange Act)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information set forth in this Quarterly Report on Form 10-Q, you should carefully consider the risk factors disclosed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There have been no material changes to our risk factors from those included in our Annual Report on Form 10-K.</w:t>
      </w:r>
    </w:p>
    <w:p>
      <w:pPr>
        <w:spacing w:after="0" w:line="126" w:lineRule="exact"/>
        <w:rPr>
          <w:sz w:val="20"/>
          <w:szCs w:val="20"/>
          <w:color w:val="auto"/>
        </w:rPr>
      </w:pPr>
    </w:p>
    <w:p>
      <w:pPr>
        <w:ind w:right="2940"/>
        <w:spacing w:after="0" w:line="460" w:lineRule="auto"/>
        <w:rPr>
          <w:sz w:val="20"/>
          <w:szCs w:val="20"/>
          <w:color w:val="auto"/>
        </w:rPr>
      </w:pPr>
      <w:r>
        <w:rPr>
          <w:rFonts w:ascii="Arial" w:cs="Arial" w:eastAsia="Arial" w:hAnsi="Arial"/>
          <w:sz w:val="16"/>
          <w:szCs w:val="16"/>
          <w:b w:val="1"/>
          <w:bCs w:val="1"/>
          <w:color w:val="auto"/>
        </w:rPr>
        <w:t>Item 2. Unregistered Sales of Equity Securities, Use of Proceeds, and Issuer Purchases of Equity Securities Recent Sales of Unregistered Securities; Purchases of Equity Securities by the Issuer or Affiliated Purchaser</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we repurchased approximately $1.6 million in shares of our common stock under our stock repurchase program, including transaction fees. The stock repurchase activity under our stock repurchase program during the three months ended September 30, 2023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Total number of shares</w:t>
            </w:r>
          </w:p>
        </w:tc>
        <w:tc>
          <w:tcPr>
            <w:tcW w:w="160" w:type="dxa"/>
            <w:vAlign w:val="bottom"/>
          </w:tcPr>
          <w:p>
            <w:pPr>
              <w:spacing w:after="0"/>
              <w:rPr>
                <w:sz w:val="17"/>
                <w:szCs w:val="17"/>
                <w:color w:val="auto"/>
              </w:rPr>
            </w:pPr>
          </w:p>
        </w:tc>
        <w:tc>
          <w:tcPr>
            <w:tcW w:w="1940" w:type="dxa"/>
            <w:vAlign w:val="bottom"/>
          </w:tcPr>
          <w:p>
            <w:pPr>
              <w:jc w:val="center"/>
              <w:ind w:right="18"/>
              <w:spacing w:after="0"/>
              <w:rPr>
                <w:sz w:val="20"/>
                <w:szCs w:val="20"/>
                <w:color w:val="auto"/>
              </w:rPr>
            </w:pPr>
            <w:r>
              <w:rPr>
                <w:rFonts w:ascii="Arial" w:cs="Arial" w:eastAsia="Arial" w:hAnsi="Arial"/>
                <w:sz w:val="16"/>
                <w:szCs w:val="16"/>
                <w:color w:val="auto"/>
                <w:w w:val="94"/>
              </w:rPr>
              <w:t>Approximate dollar value of</w:t>
            </w:r>
          </w:p>
        </w:tc>
      </w:tr>
      <w:tr>
        <w:trPr>
          <w:trHeight w:val="189"/>
        </w:trPr>
        <w:tc>
          <w:tcPr>
            <w:tcW w:w="4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38"/>
              <w:spacing w:after="0"/>
              <w:rPr>
                <w:sz w:val="20"/>
                <w:szCs w:val="20"/>
                <w:color w:val="auto"/>
              </w:rPr>
            </w:pPr>
            <w:r>
              <w:rPr>
                <w:rFonts w:ascii="Arial" w:cs="Arial" w:eastAsia="Arial" w:hAnsi="Arial"/>
                <w:sz w:val="16"/>
                <w:szCs w:val="16"/>
                <w:color w:val="auto"/>
                <w:w w:val="90"/>
              </w:rPr>
              <w:t>Average</w:t>
            </w:r>
          </w:p>
        </w:tc>
        <w:tc>
          <w:tcPr>
            <w:tcW w:w="2020" w:type="dxa"/>
            <w:vAlign w:val="bottom"/>
          </w:tcPr>
          <w:p>
            <w:pPr>
              <w:jc w:val="center"/>
              <w:spacing w:after="0"/>
              <w:rPr>
                <w:sz w:val="20"/>
                <w:szCs w:val="20"/>
                <w:color w:val="auto"/>
              </w:rPr>
            </w:pPr>
            <w:r>
              <w:rPr>
                <w:rFonts w:ascii="Arial" w:cs="Arial" w:eastAsia="Arial" w:hAnsi="Arial"/>
                <w:sz w:val="16"/>
                <w:szCs w:val="16"/>
                <w:color w:val="auto"/>
                <w:w w:val="92"/>
              </w:rPr>
              <w:t>purchased as part of publicly</w:t>
            </w:r>
          </w:p>
        </w:tc>
        <w:tc>
          <w:tcPr>
            <w:tcW w:w="160" w:type="dxa"/>
            <w:vAlign w:val="bottom"/>
          </w:tcPr>
          <w:p>
            <w:pPr>
              <w:spacing w:after="0"/>
              <w:rPr>
                <w:sz w:val="16"/>
                <w:szCs w:val="16"/>
                <w:color w:val="auto"/>
              </w:rPr>
            </w:pPr>
          </w:p>
        </w:tc>
        <w:tc>
          <w:tcPr>
            <w:tcW w:w="1940" w:type="dxa"/>
            <w:vAlign w:val="bottom"/>
          </w:tcPr>
          <w:p>
            <w:pPr>
              <w:jc w:val="center"/>
              <w:ind w:right="18"/>
              <w:spacing w:after="0"/>
              <w:rPr>
                <w:sz w:val="20"/>
                <w:szCs w:val="20"/>
                <w:color w:val="auto"/>
              </w:rPr>
            </w:pPr>
            <w:r>
              <w:rPr>
                <w:rFonts w:ascii="Arial" w:cs="Arial" w:eastAsia="Arial" w:hAnsi="Arial"/>
                <w:sz w:val="16"/>
                <w:szCs w:val="16"/>
                <w:color w:val="auto"/>
                <w:w w:val="88"/>
              </w:rPr>
              <w:t>shares that may yet be</w:t>
            </w:r>
          </w:p>
        </w:tc>
      </w:tr>
      <w:tr>
        <w:trPr>
          <w:trHeight w:val="189"/>
        </w:trPr>
        <w:tc>
          <w:tcPr>
            <w:tcW w:w="46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240" w:type="dxa"/>
            <w:vAlign w:val="bottom"/>
          </w:tcPr>
          <w:p>
            <w:pPr>
              <w:spacing w:after="0"/>
              <w:rPr>
                <w:sz w:val="16"/>
                <w:szCs w:val="16"/>
                <w:color w:val="auto"/>
              </w:rPr>
            </w:pPr>
          </w:p>
        </w:tc>
        <w:tc>
          <w:tcPr>
            <w:tcW w:w="1040" w:type="dxa"/>
            <w:vAlign w:val="bottom"/>
          </w:tcPr>
          <w:p>
            <w:pPr>
              <w:jc w:val="center"/>
              <w:ind w:right="118"/>
              <w:spacing w:after="0"/>
              <w:rPr>
                <w:sz w:val="20"/>
                <w:szCs w:val="20"/>
                <w:color w:val="auto"/>
              </w:rPr>
            </w:pPr>
            <w:r>
              <w:rPr>
                <w:rFonts w:ascii="Arial" w:cs="Arial" w:eastAsia="Arial" w:hAnsi="Arial"/>
                <w:sz w:val="16"/>
                <w:szCs w:val="16"/>
                <w:color w:val="auto"/>
                <w:w w:val="92"/>
              </w:rPr>
              <w:t>price paid</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announced plans or</w:t>
            </w:r>
          </w:p>
        </w:tc>
        <w:tc>
          <w:tcPr>
            <w:tcW w:w="2100" w:type="dxa"/>
            <w:vAlign w:val="bottom"/>
            <w:gridSpan w:val="2"/>
          </w:tcPr>
          <w:p>
            <w:pPr>
              <w:jc w:val="center"/>
              <w:spacing w:after="0"/>
              <w:rPr>
                <w:sz w:val="20"/>
                <w:szCs w:val="20"/>
                <w:color w:val="auto"/>
              </w:rPr>
            </w:pPr>
            <w:r>
              <w:rPr>
                <w:rFonts w:ascii="Arial" w:cs="Arial" w:eastAsia="Arial" w:hAnsi="Arial"/>
                <w:sz w:val="16"/>
                <w:szCs w:val="16"/>
                <w:color w:val="auto"/>
                <w:w w:val="89"/>
              </w:rPr>
              <w:t>purchased under the plans or</w:t>
            </w:r>
          </w:p>
        </w:tc>
      </w:tr>
      <w:tr>
        <w:trPr>
          <w:trHeight w:val="239"/>
        </w:trPr>
        <w:tc>
          <w:tcPr>
            <w:tcW w:w="46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color w:val="auto"/>
                <w:w w:val="85"/>
              </w:rPr>
              <w:t>per share</w:t>
            </w:r>
          </w:p>
        </w:tc>
        <w:tc>
          <w:tcPr>
            <w:tcW w:w="202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5"/>
              </w:rPr>
              <w:t xml:space="preserve">programs </w:t>
            </w:r>
            <w:r>
              <w:rPr>
                <w:rFonts w:ascii="Arial" w:cs="Arial" w:eastAsia="Arial" w:hAnsi="Arial"/>
                <w:sz w:val="21"/>
                <w:szCs w:val="21"/>
                <w:color w:val="auto"/>
                <w:w w:val="85"/>
                <w:vertAlign w:val="superscript"/>
              </w:rPr>
              <w:t>(1)</w:t>
            </w: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8"/>
              <w:spacing w:after="0" w:line="239" w:lineRule="exact"/>
              <w:rPr>
                <w:sz w:val="20"/>
                <w:szCs w:val="20"/>
                <w:color w:val="auto"/>
              </w:rPr>
            </w:pPr>
            <w:r>
              <w:rPr>
                <w:rFonts w:ascii="Arial" w:cs="Arial" w:eastAsia="Arial" w:hAnsi="Arial"/>
                <w:sz w:val="16"/>
                <w:szCs w:val="16"/>
                <w:color w:val="auto"/>
                <w:w w:val="87"/>
              </w:rPr>
              <w:t xml:space="preserve">programs </w:t>
            </w:r>
            <w:r>
              <w:rPr>
                <w:rFonts w:ascii="Arial" w:cs="Arial" w:eastAsia="Arial" w:hAnsi="Arial"/>
                <w:sz w:val="21"/>
                <w:szCs w:val="21"/>
                <w:color w:val="auto"/>
                <w:w w:val="87"/>
                <w:vertAlign w:val="superscript"/>
              </w:rPr>
              <w:t>(1)</w:t>
            </w:r>
          </w:p>
        </w:tc>
      </w:tr>
      <w:tr>
        <w:trPr>
          <w:trHeight w:val="217"/>
        </w:trPr>
        <w:tc>
          <w:tcPr>
            <w:tcW w:w="4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4"/>
          </w:tcPr>
          <w:p>
            <w:pPr>
              <w:jc w:val="right"/>
              <w:ind w:right="1558"/>
              <w:spacing w:after="0"/>
              <w:rPr>
                <w:sz w:val="20"/>
                <w:szCs w:val="20"/>
                <w:color w:val="auto"/>
              </w:rPr>
            </w:pPr>
            <w:r>
              <w:rPr>
                <w:rFonts w:ascii="Arial" w:cs="Arial" w:eastAsia="Arial" w:hAnsi="Arial"/>
                <w:sz w:val="16"/>
                <w:szCs w:val="16"/>
                <w:i w:val="1"/>
                <w:iCs w:val="1"/>
                <w:color w:val="auto"/>
                <w:w w:val="94"/>
              </w:rPr>
              <w:t>(in thousands, except per share and share amounts)</w:t>
            </w:r>
          </w:p>
        </w:tc>
      </w:tr>
      <w:tr>
        <w:trPr>
          <w:trHeight w:val="73"/>
        </w:trPr>
        <w:tc>
          <w:tcPr>
            <w:tcW w:w="4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940" w:type="dxa"/>
            <w:vAlign w:val="bottom"/>
          </w:tcPr>
          <w:p>
            <w:pPr>
              <w:spacing w:after="0"/>
              <w:rPr>
                <w:sz w:val="6"/>
                <w:szCs w:val="6"/>
                <w:color w:val="auto"/>
              </w:rPr>
            </w:pPr>
          </w:p>
        </w:tc>
      </w:tr>
      <w:tr>
        <w:trPr>
          <w:trHeight w:val="226"/>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1, 2023 - September 30, 2023</w:t>
            </w:r>
          </w:p>
        </w:tc>
        <w:tc>
          <w:tcPr>
            <w:tcW w:w="12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159,943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9.83</w:t>
            </w:r>
          </w:p>
        </w:tc>
        <w:tc>
          <w:tcPr>
            <w:tcW w:w="20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159,943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15,962</w:t>
            </w:r>
          </w:p>
        </w:tc>
      </w:tr>
      <w:tr>
        <w:trPr>
          <w:trHeight w:val="31"/>
        </w:trPr>
        <w:tc>
          <w:tcPr>
            <w:tcW w:w="46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left="660" w:hanging="328"/>
        <w:spacing w:after="0" w:line="288" w:lineRule="auto"/>
        <w:tabs>
          <w:tab w:leader="none" w:pos="654"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On June 14, 2022, the Board of Directors of the Company approved the Repurchase Program with authorization to purchase up to $50.0 million in shares of the Company’s common stock through the expiration of the program on December 21, 2022.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This program does not obligate the Company to acquire any particular amount of common stock and may be modified, suspended or terminated at any time at the discretion of its board of directors. The Company expects to fund repurchases with existing cash on hand.</w:t>
      </w:r>
    </w:p>
    <w:p>
      <w:pPr>
        <w:spacing w:after="0" w:line="60" w:lineRule="exact"/>
        <w:rPr>
          <w:rFonts w:ascii="Arial" w:cs="Arial" w:eastAsia="Arial" w:hAnsi="Arial"/>
          <w:sz w:val="16"/>
          <w:szCs w:val="16"/>
          <w:b w:val="1"/>
          <w:bCs w:val="1"/>
          <w:color w:val="auto"/>
        </w:rPr>
      </w:pPr>
    </w:p>
    <w:p>
      <w:pPr>
        <w:jc w:val="both"/>
        <w:ind w:left="660" w:hanging="328"/>
        <w:spacing w:after="0" w:line="263" w:lineRule="auto"/>
        <w:tabs>
          <w:tab w:leader="none" w:pos="65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 November 5, 2023, our Board of Directors approved an expansion of the Repurchase Program with authorization to purchase up to an additional $50.0 million in shares of the Company’s common stock (from $100.0 million to $150.0 million in total) and an extension to the expiration of the Repurchase Program through December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4"/>
              </w:rPr>
              <w:t>Incorporated by Reference</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Filed/</w:t>
            </w:r>
          </w:p>
        </w:tc>
      </w:tr>
      <w:tr>
        <w:trPr>
          <w:trHeight w:val="202"/>
        </w:trPr>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Filing</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0"/>
              </w:rPr>
              <w:t>Furnished</w:t>
            </w:r>
          </w:p>
        </w:tc>
      </w:tr>
      <w:tr>
        <w:trPr>
          <w:trHeight w:val="237"/>
        </w:trPr>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5640" w:type="dxa"/>
            <w:vAlign w:val="bottom"/>
            <w:gridSpan w:val="9"/>
          </w:tcPr>
          <w:p>
            <w:pPr>
              <w:ind w:left="20"/>
              <w:spacing w:after="0"/>
              <w:rPr>
                <w:sz w:val="20"/>
                <w:szCs w:val="20"/>
                <w:color w:val="auto"/>
              </w:rPr>
            </w:pPr>
            <w:r>
              <w:rPr>
                <w:rFonts w:ascii="Arial" w:cs="Arial" w:eastAsia="Arial" w:hAnsi="Arial"/>
                <w:sz w:val="16"/>
                <w:szCs w:val="16"/>
                <w:b w:val="1"/>
                <w:bCs w:val="1"/>
                <w:color w:val="auto"/>
              </w:rPr>
              <w:t>Exhibit Description</w:t>
            </w:r>
          </w:p>
        </w:tc>
        <w:tc>
          <w:tcPr>
            <w:tcW w:w="920" w:type="dxa"/>
            <w:vAlign w:val="bottom"/>
            <w:gridSpan w:val="2"/>
          </w:tcPr>
          <w:p>
            <w:pPr>
              <w:ind w:left="220"/>
              <w:spacing w:after="0"/>
              <w:rPr>
                <w:sz w:val="20"/>
                <w:szCs w:val="20"/>
                <w:color w:val="auto"/>
              </w:rPr>
            </w:pPr>
            <w:r>
              <w:rPr>
                <w:rFonts w:ascii="Arial" w:cs="Arial" w:eastAsia="Arial" w:hAnsi="Arial"/>
                <w:sz w:val="16"/>
                <w:szCs w:val="16"/>
                <w:b w:val="1"/>
                <w:bCs w:val="1"/>
                <w:color w:val="auto"/>
              </w:rPr>
              <w:t>Form</w:t>
            </w: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File No.</w:t>
            </w: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Exhibit</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r>
      <w:tr>
        <w:trPr>
          <w:trHeight w:val="257"/>
        </w:trPr>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5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spacing w:after="0"/>
              <w:rPr>
                <w:rFonts w:ascii="Arial" w:cs="Arial" w:eastAsia="Arial" w:hAnsi="Arial"/>
                <w:sz w:val="16"/>
                <w:szCs w:val="16"/>
                <w:color w:val="0000FF"/>
              </w:rPr>
            </w:pPr>
            <w:hyperlink r:id="rId53">
              <w:r>
                <w:rPr>
                  <w:rFonts w:ascii="Arial" w:cs="Arial" w:eastAsia="Arial" w:hAnsi="Arial"/>
                  <w:sz w:val="16"/>
                  <w:szCs w:val="16"/>
                  <w:color w:val="0000FF"/>
                </w:rPr>
                <w:t>Amended and Restated Certificate of Incorporation of EverCommerce Inc</w:t>
              </w:r>
            </w:hyperlink>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3.1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3"/>
              </w:rPr>
              <w:t>7/9/2021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8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0" w:type="dxa"/>
            <w:vAlign w:val="bottom"/>
            <w:tcBorders>
              <w:top w:val="single" w:sz="8" w:color="0000FF"/>
            </w:tcBorders>
            <w:gridSpan w:val="2"/>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Amended and Restated Bylaws of EverCommerce Inc</w:t>
              </w:r>
            </w:hyperlink>
          </w:p>
        </w:tc>
        <w:tc>
          <w:tcPr>
            <w:tcW w:w="820" w:type="dxa"/>
            <w:vAlign w:val="bottom"/>
            <w:tcBorders>
              <w:top w:val="single" w:sz="8" w:color="CCEEFF"/>
            </w:tcBorders>
            <w:gridSpan w:val="6"/>
          </w:tcPr>
          <w:p>
            <w:pPr>
              <w:spacing w:after="0"/>
              <w:rPr>
                <w:sz w:val="16"/>
                <w:szCs w:val="16"/>
                <w:color w:val="auto"/>
              </w:rPr>
            </w:pPr>
          </w:p>
        </w:tc>
        <w:tc>
          <w:tcPr>
            <w:tcW w:w="9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color w:val="auto"/>
              </w:rPr>
              <w:t>8-K</w:t>
            </w:r>
          </w:p>
        </w:tc>
        <w:tc>
          <w:tcPr>
            <w:tcW w:w="9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001-40575</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539"/>
              <w:spacing w:after="0"/>
              <w:rPr>
                <w:sz w:val="20"/>
                <w:szCs w:val="20"/>
                <w:color w:val="auto"/>
              </w:rPr>
            </w:pPr>
            <w:r>
              <w:rPr>
                <w:rFonts w:ascii="Arial" w:cs="Arial" w:eastAsia="Arial" w:hAnsi="Arial"/>
                <w:sz w:val="16"/>
                <w:szCs w:val="16"/>
                <w:color w:val="auto"/>
                <w:w w:val="89"/>
              </w:rPr>
              <w:t>3.2</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159"/>
              <w:spacing w:after="0"/>
              <w:rPr>
                <w:sz w:val="20"/>
                <w:szCs w:val="20"/>
                <w:color w:val="auto"/>
              </w:rPr>
            </w:pPr>
            <w:r>
              <w:rPr>
                <w:rFonts w:ascii="Arial" w:cs="Arial" w:eastAsia="Arial" w:hAnsi="Arial"/>
                <w:sz w:val="16"/>
                <w:szCs w:val="16"/>
                <w:color w:val="auto"/>
                <w:w w:val="93"/>
              </w:rPr>
              <w:t>7/9/2021</w:t>
            </w: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60" w:type="dxa"/>
            <w:vAlign w:val="bottom"/>
            <w:tcBorders>
              <w:bottom w:val="single" w:sz="8" w:color="0000FF"/>
            </w:tcBorders>
            <w:gridSpan w:val="6"/>
            <w:shd w:val="clear" w:color="auto" w:fill="CCEEFF"/>
          </w:tcPr>
          <w:p>
            <w:pPr>
              <w:spacing w:after="0"/>
              <w:rPr>
                <w:sz w:val="20"/>
                <w:szCs w:val="20"/>
                <w:color w:val="auto"/>
              </w:rPr>
            </w:pPr>
            <w:r>
              <w:rPr>
                <w:rFonts w:ascii="Arial" w:cs="Arial" w:eastAsia="Arial" w:hAnsi="Arial"/>
                <w:sz w:val="16"/>
                <w:szCs w:val="16"/>
                <w:color w:val="0000FF"/>
                <w:w w:val="93"/>
              </w:rPr>
              <w:t>Certification of Chief Executive Officer pursuant to Rule 13a-14(a)/15d-14(a)</w:t>
            </w:r>
          </w:p>
        </w:tc>
        <w:tc>
          <w:tcPr>
            <w:tcW w:w="560" w:type="dxa"/>
            <w:vAlign w:val="bottom"/>
            <w:tcBorders>
              <w:bottom w:val="single" w:sz="8" w:color="CCEEFF"/>
            </w:tcBorders>
            <w:gridSpan w:val="2"/>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Pr>
          <w:p>
            <w:pPr>
              <w:ind w:left="2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6"/>
                <w:szCs w:val="16"/>
                <w:color w:val="auto"/>
              </w:rPr>
            </w:pPr>
          </w:p>
        </w:tc>
        <w:tc>
          <w:tcPr>
            <w:tcW w:w="5640" w:type="dxa"/>
            <w:vAlign w:val="bottom"/>
            <w:gridSpan w:val="9"/>
          </w:tcPr>
          <w:p>
            <w:pPr>
              <w:ind w:left="20"/>
              <w:spacing w:after="0"/>
              <w:rPr>
                <w:sz w:val="20"/>
                <w:szCs w:val="20"/>
                <w:color w:val="auto"/>
              </w:rPr>
            </w:pPr>
            <w:r>
              <w:rPr>
                <w:rFonts w:ascii="Arial" w:cs="Arial" w:eastAsia="Arial" w:hAnsi="Arial"/>
                <w:sz w:val="16"/>
                <w:szCs w:val="16"/>
                <w:color w:val="0000FF"/>
              </w:rPr>
              <w:t>Certification of Chief Financial Officer pursuant to Rule 13a-14(a)/15d-14(a)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spacing w:after="0"/>
              <w:rPr>
                <w:sz w:val="20"/>
                <w:szCs w:val="20"/>
                <w:color w:val="auto"/>
              </w:rPr>
            </w:pPr>
            <w:r>
              <w:rPr>
                <w:rFonts w:ascii="Arial" w:cs="Arial" w:eastAsia="Arial" w:hAnsi="Arial"/>
                <w:sz w:val="16"/>
                <w:szCs w:val="16"/>
                <w:color w:val="0000FF"/>
              </w:rPr>
              <w:t>Certification of Chief Executive Officer pursuant to 18 U.S.C. Section 1350</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8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32.2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2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94"/>
              </w:rPr>
              <w:t>Certification of Chief Financial Officer pursuant to 18 U.S.C. Section 1350</w:t>
            </w:r>
          </w:p>
        </w:tc>
        <w:tc>
          <w:tcPr>
            <w:tcW w:w="700" w:type="dxa"/>
            <w:vAlign w:val="bottom"/>
            <w:tcBorders>
              <w:top w:val="single" w:sz="8" w:color="CCEEFF"/>
            </w:tcBorders>
            <w:gridSpan w:val="4"/>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6"/>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4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w w:val="98"/>
              </w:rPr>
              <w:t>Inline XBRL Instance Document – the instance document does not appear in the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20" w:type="dxa"/>
            <w:vAlign w:val="bottom"/>
            <w:gridSpan w:val="8"/>
            <w:shd w:val="clear" w:color="auto" w:fill="CCEEFF"/>
          </w:tcPr>
          <w:p>
            <w:pPr>
              <w:ind w:left="160"/>
              <w:spacing w:after="0"/>
              <w:rPr>
                <w:sz w:val="20"/>
                <w:szCs w:val="20"/>
                <w:color w:val="auto"/>
              </w:rPr>
            </w:pPr>
            <w:r>
              <w:rPr>
                <w:rFonts w:ascii="Arial" w:cs="Arial" w:eastAsia="Arial" w:hAnsi="Arial"/>
                <w:sz w:val="16"/>
                <w:szCs w:val="16"/>
                <w:color w:val="auto"/>
              </w:rPr>
              <w:t>Interactive Data File because its XBRL tags are embedded within the Inline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6"/>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101.INS</w:t>
            </w: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ind w:left="160"/>
              <w:spacing w:after="0"/>
              <w:rPr>
                <w:sz w:val="20"/>
                <w:szCs w:val="20"/>
                <w:color w:val="auto"/>
              </w:rPr>
            </w:pPr>
            <w:r>
              <w:rPr>
                <w:rFonts w:ascii="Arial" w:cs="Arial" w:eastAsia="Arial" w:hAnsi="Arial"/>
                <w:sz w:val="16"/>
                <w:szCs w:val="16"/>
                <w:color w:val="auto"/>
              </w:rPr>
              <w:t>XBRL document.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33"/>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64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564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33"/>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64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564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r>
        <w:trPr>
          <w:trHeight w:val="233"/>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640" w:type="dxa"/>
            <w:vAlign w:val="bottom"/>
            <w:gridSpan w:val="9"/>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6"/>
        </w:trPr>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4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Cover Page Interactive Data File (formatted as Inline XBRL and contained in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9"/>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20" w:type="dxa"/>
            <w:vAlign w:val="bottom"/>
            <w:gridSpan w:val="8"/>
            <w:shd w:val="clear" w:color="auto" w:fill="CCEEFF"/>
          </w:tcPr>
          <w:p>
            <w:pPr>
              <w:ind w:left="160"/>
              <w:spacing w:after="0"/>
              <w:rPr>
                <w:sz w:val="20"/>
                <w:szCs w:val="20"/>
                <w:color w:val="auto"/>
              </w:rPr>
            </w:pPr>
            <w:r>
              <w:rPr>
                <w:rFonts w:ascii="Arial" w:cs="Arial" w:eastAsia="Arial" w:hAnsi="Arial"/>
                <w:sz w:val="16"/>
                <w:szCs w:val="16"/>
                <w:color w:val="auto"/>
              </w:rPr>
              <w:t>Exhibit 101)</w:t>
            </w: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r>
    </w:tbl>
    <w:p>
      <w:pPr>
        <w:spacing w:after="0" w:line="3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EVERCOMMERCE INC.</w:t>
      </w:r>
    </w:p>
    <w:p>
      <w:pPr>
        <w:spacing w:after="0" w:line="329" w:lineRule="exact"/>
        <w:rPr>
          <w:sz w:val="20"/>
          <w:szCs w:val="20"/>
          <w:color w:val="auto"/>
        </w:rPr>
      </w:pPr>
    </w:p>
    <w:p>
      <w:pPr>
        <w:ind w:left="20"/>
        <w:spacing w:after="0"/>
        <w:tabs>
          <w:tab w:leader="none" w:pos="6400" w:val="left"/>
          <w:tab w:leader="none" w:pos="8540" w:val="left"/>
        </w:tabs>
        <w:rPr>
          <w:sz w:val="20"/>
          <w:szCs w:val="20"/>
          <w:color w:val="auto"/>
        </w:rPr>
      </w:pPr>
      <w:r>
        <w:rPr>
          <w:rFonts w:ascii="Arial" w:cs="Arial" w:eastAsia="Arial" w:hAnsi="Arial"/>
          <w:sz w:val="18"/>
          <w:szCs w:val="18"/>
          <w:b w:val="1"/>
          <w:bCs w:val="1"/>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34290</wp:posOffset>
            </wp:positionV>
            <wp:extent cx="2743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Chief Executive Officer</w:t>
      </w:r>
    </w:p>
    <w:p>
      <w:pPr>
        <w:spacing w:after="0" w:line="67" w:lineRule="exact"/>
        <w:rPr>
          <w:sz w:val="20"/>
          <w:szCs w:val="20"/>
          <w:color w:val="auto"/>
        </w:rPr>
      </w:pPr>
    </w:p>
    <w:p>
      <w:pPr>
        <w:jc w:val="cente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6400" w:val="left"/>
          <w:tab w:leader="none" w:pos="8360" w:val="left"/>
        </w:tabs>
        <w:rPr>
          <w:sz w:val="20"/>
          <w:szCs w:val="20"/>
          <w:color w:val="auto"/>
        </w:rPr>
      </w:pPr>
      <w:r>
        <w:rPr>
          <w:rFonts w:ascii="Arial" w:cs="Arial" w:eastAsia="Arial" w:hAnsi="Arial"/>
          <w:sz w:val="18"/>
          <w:szCs w:val="18"/>
          <w:b w:val="1"/>
          <w:bCs w:val="1"/>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34290</wp:posOffset>
            </wp:positionV>
            <wp:extent cx="2743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Chief Financial Officer</w:t>
      </w:r>
    </w:p>
    <w:p>
      <w:pPr>
        <w:spacing w:after="0" w:line="67" w:lineRule="exact"/>
        <w:rPr>
          <w:sz w:val="20"/>
          <w:szCs w:val="20"/>
          <w:color w:val="auto"/>
        </w:rPr>
      </w:pPr>
    </w:p>
    <w:p>
      <w:pPr>
        <w:jc w:val="center"/>
        <w:ind w:left="69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6400" w:val="left"/>
          <w:tab w:leader="none" w:pos="8400" w:val="left"/>
        </w:tabs>
        <w:rPr>
          <w:sz w:val="20"/>
          <w:szCs w:val="20"/>
          <w:color w:val="auto"/>
        </w:rPr>
      </w:pPr>
      <w:r>
        <w:rPr>
          <w:rFonts w:ascii="Arial" w:cs="Arial" w:eastAsia="Arial" w:hAnsi="Arial"/>
          <w:sz w:val="18"/>
          <w:szCs w:val="18"/>
          <w:b w:val="1"/>
          <w:bCs w:val="1"/>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34290</wp:posOffset>
            </wp:positionV>
            <wp:extent cx="2743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Ryan H. Siurek</w:t>
      </w:r>
    </w:p>
    <w:p>
      <w:pPr>
        <w:spacing w:after="0" w:line="63"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Chief Accounting Officer</w:t>
      </w:r>
    </w:p>
    <w:p>
      <w:pPr>
        <w:spacing w:after="0" w:line="67" w:lineRule="exact"/>
        <w:rPr>
          <w:sz w:val="20"/>
          <w:szCs w:val="20"/>
          <w:color w:val="auto"/>
        </w:rPr>
      </w:pPr>
    </w:p>
    <w:p>
      <w:pPr>
        <w:jc w:val="center"/>
        <w:ind w:left="690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74"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hanging="432"/>
        <w:spacing w:after="0" w:line="235" w:lineRule="auto"/>
        <w:tabs>
          <w:tab w:leader="none" w:pos="43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9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hanging="432"/>
        <w:spacing w:after="0" w:line="274" w:lineRule="auto"/>
        <w:tabs>
          <w:tab w:leader="none" w:pos="43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November 7, 2023</w:t>
            </w:r>
          </w:p>
        </w:tc>
        <w:tc>
          <w:tcPr>
            <w:tcW w:w="2660" w:type="dxa"/>
            <w:vAlign w:val="bottom"/>
            <w:vMerge w:val="restart"/>
          </w:tcPr>
          <w:p>
            <w:pPr>
              <w:ind w:left="1780"/>
              <w:spacing w:after="0"/>
              <w:rPr>
                <w:sz w:val="20"/>
                <w:szCs w:val="20"/>
                <w:color w:val="auto"/>
              </w:rPr>
            </w:pPr>
            <w:r>
              <w:rPr>
                <w:rFonts w:ascii="Arial" w:cs="Arial" w:eastAsia="Arial" w:hAnsi="Arial"/>
                <w:sz w:val="18"/>
                <w:szCs w:val="18"/>
                <w:color w:val="auto"/>
              </w:rPr>
              <w:t>By:</w:t>
            </w: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1"/>
              </w:rPr>
              <w:t>/s/ Eric Remer</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4"/>
              </w:rPr>
              <w:t>Eric Remer</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Director</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19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EverCommerce Inc.;</w:t>
      </w:r>
    </w:p>
    <w:p>
      <w:pPr>
        <w:spacing w:after="0" w:line="184" w:lineRule="exact"/>
        <w:rPr>
          <w:rFonts w:ascii="Arial" w:cs="Arial" w:eastAsia="Arial" w:hAnsi="Arial"/>
          <w:sz w:val="18"/>
          <w:szCs w:val="18"/>
          <w:color w:val="auto"/>
        </w:rPr>
      </w:pPr>
    </w:p>
    <w:p>
      <w:pPr>
        <w:jc w:val="both"/>
        <w:ind w:left="420" w:hanging="412"/>
        <w:spacing w:after="0" w:line="229"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95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20" w:hanging="412"/>
        <w:spacing w:after="0" w:line="274"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5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November 7, 2023</w:t>
            </w:r>
          </w:p>
        </w:tc>
        <w:tc>
          <w:tcPr>
            <w:tcW w:w="2660" w:type="dxa"/>
            <w:vAlign w:val="bottom"/>
            <w:vMerge w:val="restart"/>
          </w:tcPr>
          <w:p>
            <w:pPr>
              <w:ind w:left="1780"/>
              <w:spacing w:after="0"/>
              <w:rPr>
                <w:sz w:val="20"/>
                <w:szCs w:val="20"/>
                <w:color w:val="auto"/>
              </w:rPr>
            </w:pPr>
            <w:r>
              <w:rPr>
                <w:rFonts w:ascii="Arial" w:cs="Arial" w:eastAsia="Arial" w:hAnsi="Arial"/>
                <w:sz w:val="18"/>
                <w:szCs w:val="18"/>
                <w:color w:val="auto"/>
              </w:rPr>
              <w:t>By:</w:t>
            </w:r>
          </w:p>
        </w:tc>
        <w:tc>
          <w:tcPr>
            <w:tcW w:w="5020" w:type="dxa"/>
            <w:vAlign w:val="bottom"/>
            <w:vMerge w:val="restart"/>
          </w:tcPr>
          <w:p>
            <w:pPr>
              <w:jc w:val="center"/>
              <w:spacing w:after="0"/>
              <w:rPr>
                <w:sz w:val="20"/>
                <w:szCs w:val="20"/>
                <w:color w:val="auto"/>
              </w:rPr>
            </w:pPr>
            <w:r>
              <w:rPr>
                <w:rFonts w:ascii="Arial" w:cs="Arial" w:eastAsia="Arial" w:hAnsi="Arial"/>
                <w:sz w:val="18"/>
                <w:szCs w:val="18"/>
                <w:color w:val="auto"/>
                <w:w w:val="92"/>
              </w:rPr>
              <w:t>/s/ Marc Thompson</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2"/>
              </w:rPr>
              <w:t>Marc Thompson</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Quarterly Report on Form 10-Q of EverCommerce Inc. (the “Company”) for the period ended September 30, 2023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20" w:type="dxa"/>
            <w:vAlign w:val="bottom"/>
            <w:vMerge w:val="restart"/>
          </w:tcPr>
          <w:p>
            <w:pPr>
              <w:spacing w:after="0"/>
              <w:rPr>
                <w:sz w:val="20"/>
                <w:szCs w:val="20"/>
                <w:color w:val="auto"/>
              </w:rPr>
            </w:pPr>
            <w:r>
              <w:rPr>
                <w:rFonts w:ascii="Arial" w:cs="Arial" w:eastAsia="Arial" w:hAnsi="Arial"/>
                <w:sz w:val="18"/>
                <w:szCs w:val="18"/>
                <w:color w:val="auto"/>
              </w:rPr>
              <w:t>Date: November 7, 2023</w:t>
            </w:r>
          </w:p>
        </w:tc>
        <w:tc>
          <w:tcPr>
            <w:tcW w:w="75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232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Arial" w:cs="Arial" w:eastAsia="Arial" w:hAnsi="Arial"/>
                <w:sz w:val="18"/>
                <w:szCs w:val="18"/>
                <w:color w:val="auto"/>
                <w:w w:val="91"/>
              </w:rPr>
              <w:t>/s/ Eric Remer</w:t>
            </w:r>
          </w:p>
        </w:tc>
        <w:tc>
          <w:tcPr>
            <w:tcW w:w="0" w:type="dxa"/>
            <w:vAlign w:val="bottom"/>
          </w:tcPr>
          <w:p>
            <w:pPr>
              <w:spacing w:after="0"/>
              <w:rPr>
                <w:sz w:val="1"/>
                <w:szCs w:val="1"/>
                <w:color w:val="auto"/>
              </w:rPr>
            </w:pPr>
          </w:p>
        </w:tc>
      </w:tr>
      <w:tr>
        <w:trPr>
          <w:trHeight w:val="86"/>
        </w:trPr>
        <w:tc>
          <w:tcPr>
            <w:tcW w:w="37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4"/>
              </w:rPr>
              <w:t>Eric Remer</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Director</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Quarterly Report on Form 10-Q of EverCommerce Inc. (the “Company”) for the period ended September 30, 2023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20" w:type="dxa"/>
            <w:vAlign w:val="bottom"/>
            <w:vMerge w:val="restart"/>
          </w:tcPr>
          <w:p>
            <w:pPr>
              <w:spacing w:after="0"/>
              <w:rPr>
                <w:sz w:val="20"/>
                <w:szCs w:val="20"/>
                <w:color w:val="auto"/>
              </w:rPr>
            </w:pPr>
            <w:r>
              <w:rPr>
                <w:rFonts w:ascii="Arial" w:cs="Arial" w:eastAsia="Arial" w:hAnsi="Arial"/>
                <w:sz w:val="18"/>
                <w:szCs w:val="18"/>
                <w:color w:val="auto"/>
              </w:rPr>
              <w:t>Date: November 7, 2023</w:t>
            </w:r>
          </w:p>
        </w:tc>
        <w:tc>
          <w:tcPr>
            <w:tcW w:w="75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35"/>
        </w:trPr>
        <w:tc>
          <w:tcPr>
            <w:tcW w:w="3720" w:type="dxa"/>
            <w:vAlign w:val="bottom"/>
            <w:vMerge w:val="continue"/>
          </w:tcPr>
          <w:p>
            <w:pPr>
              <w:spacing w:after="0"/>
              <w:rPr>
                <w:sz w:val="11"/>
                <w:szCs w:val="11"/>
                <w:color w:val="auto"/>
              </w:rPr>
            </w:pPr>
          </w:p>
        </w:tc>
        <w:tc>
          <w:tcPr>
            <w:tcW w:w="232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Arial" w:cs="Arial" w:eastAsia="Arial" w:hAnsi="Arial"/>
                <w:sz w:val="18"/>
                <w:szCs w:val="18"/>
                <w:color w:val="auto"/>
                <w:w w:val="92"/>
              </w:rPr>
              <w:t>/s/ Marc Thompson</w:t>
            </w:r>
          </w:p>
        </w:tc>
        <w:tc>
          <w:tcPr>
            <w:tcW w:w="0" w:type="dxa"/>
            <w:vAlign w:val="bottom"/>
          </w:tcPr>
          <w:p>
            <w:pPr>
              <w:spacing w:after="0"/>
              <w:rPr>
                <w:sz w:val="1"/>
                <w:szCs w:val="1"/>
                <w:color w:val="auto"/>
              </w:rPr>
            </w:pPr>
          </w:p>
        </w:tc>
      </w:tr>
      <w:tr>
        <w:trPr>
          <w:trHeight w:val="86"/>
        </w:trPr>
        <w:tc>
          <w:tcPr>
            <w:tcW w:w="37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2"/>
              </w:rPr>
              <w:t>Marc Thompson</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3" Type="http://schemas.openxmlformats.org/officeDocument/2006/relationships/hyperlink" Target="http://www.sec.gov/Archives/edgar/data/0001853145/000114036121023912/nt10022251x16_ex3-1.htm" TargetMode="External"/><Relationship Id="rId54" Type="http://schemas.openxmlformats.org/officeDocument/2006/relationships/hyperlink" Target="http://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2023-11-07T08:33:23Z</dcterms:created>
  <dcterms:modified xsi:type="dcterms:W3CDTF">2023-11-07T08:33:23Z</dcterms:modified>
</cp:coreProperties>
</file>