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6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___________________ to ___________________</w:t>
      </w:r>
    </w:p>
    <w:p>
      <w:pPr>
        <w:pStyle w:val="TextBody"/>
        <w:bidi w:val="0"/>
        <w:spacing w:lineRule="auto" w:line="288" w:before="120" w:after="283"/>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18"/>
          <w:shd w:fill="FFFFFF" w:val="clear"/>
        </w:rPr>
        <w:t>001-40575</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EverCommerce Inc.</w:t>
      </w:r>
    </w:p>
    <w:p>
      <w:pPr>
        <w:pStyle w:val="TextBody"/>
        <w:bidi w:val="0"/>
        <w:spacing w:lineRule="auto" w:line="288" w:before="120" w:after="18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321" w:type="dxa"/>
        <w:jc w:val="center"/>
        <w:tblInd w:w="0" w:type="dxa"/>
        <w:tblLayout w:type="fixed"/>
        <w:tblCellMar>
          <w:top w:w="28" w:type="dxa"/>
          <w:left w:w="28" w:type="dxa"/>
          <w:bottom w:w="28" w:type="dxa"/>
          <w:right w:w="28" w:type="dxa"/>
        </w:tblCellMar>
      </w:tblPr>
      <w:tblGrid>
        <w:gridCol w:w="864"/>
        <w:gridCol w:w="757"/>
        <w:gridCol w:w="763"/>
        <w:gridCol w:w="109"/>
        <w:gridCol w:w="109"/>
        <w:gridCol w:w="109"/>
        <w:gridCol w:w="708"/>
        <w:gridCol w:w="708"/>
        <w:gridCol w:w="713"/>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81-4063248</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(I.R.S. Employer Identification No.)</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3601 Walnut Street, Suite 400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Denver, 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80205</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4"/>
              </w:rPr>
            </w:pPr>
            <w:r>
              <w:rPr>
                <w:rFonts w:ascii="Times New Roman;serif" w:hAnsi="Times New Roman;serif"/>
                <w:b w:val="false"/>
                <w:color w:val="000000"/>
                <w:sz w:val="14"/>
              </w:rPr>
              <w:t>(Zip Code)</w:t>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(720) 647-4948</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6554" w:type="dxa"/>
        <w:jc w:val="left"/>
        <w:tblInd w:w="0" w:type="dxa"/>
        <w:tblLayout w:type="fixed"/>
        <w:tblCellMar>
          <w:top w:w="28" w:type="dxa"/>
          <w:left w:w="28" w:type="dxa"/>
          <w:bottom w:w="28" w:type="dxa"/>
          <w:right w:w="28" w:type="dxa"/>
        </w:tblCellMar>
      </w:tblPr>
      <w:tblGrid>
        <w:gridCol w:w="948"/>
        <w:gridCol w:w="835"/>
        <w:gridCol w:w="842"/>
        <w:gridCol w:w="409"/>
        <w:gridCol w:w="409"/>
        <w:gridCol w:w="411"/>
        <w:gridCol w:w="791"/>
        <w:gridCol w:w="791"/>
        <w:gridCol w:w="1118"/>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270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$0.00001 par value</w:t>
            </w:r>
          </w:p>
        </w:tc>
        <w:tc>
          <w:tcPr>
            <w:tcW w:w="12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EVCM</w:t>
            </w:r>
          </w:p>
        </w:tc>
        <w:tc>
          <w:tcPr>
            <w:tcW w:w="270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Yes ☒ No ☐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Yes ☒ No ☐</w:t>
      </w:r>
    </w:p>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180" w:after="283"/>
        <w:jc w:val="both"/>
        <w:rPr/>
      </w:pPr>
      <w:r>
        <w:rPr>
          <w:rFonts w:ascii="Times New Roman;serif" w:hAnsi="Times New Roman;serif"/>
          <w:b w:val="false"/>
          <w:color w:val="000000"/>
          <w:sz w:val="18"/>
        </w:rPr>
        <w:t>As of October 31, 2025, there were 179,367,379 shares of the registrant’s common stock, par value $0.00001, outstanding.</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68"/>
        <w:gridCol w:w="324"/>
        <w:gridCol w:w="284"/>
        <w:gridCol w:w="2894"/>
        <w:gridCol w:w="2894"/>
        <w:gridCol w:w="2899"/>
        <w:gridCol w:w="158"/>
        <w:gridCol w:w="158"/>
        <w:gridCol w:w="226"/>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6">
              <w:r>
                <w:rPr>
                  <w:rStyle w:val="InternetLink"/>
                  <w:rFonts w:ascii="Times New Roman;serif" w:hAnsi="Times New Roman;serif"/>
                  <w:b w:val="false"/>
                  <w:strike w:val="false"/>
                  <w:dstrike w:val="false"/>
                  <w:color w:val="000000"/>
                  <w:sz w:val="20"/>
                  <w:u w:val="none"/>
                  <w:effect w:val="none"/>
                </w:rPr>
                <w:t>Item 1.</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22">
              <w:r>
                <w:rPr>
                  <w:rStyle w:val="InternetLink"/>
                  <w:rFonts w:ascii="Times New Roman;serif" w:hAnsi="Times New Roman;serif"/>
                  <w:b w:val="false"/>
                  <w:strike w:val="false"/>
                  <w:dstrike w:val="false"/>
                  <w:color w:val="000000"/>
                  <w:sz w:val="20"/>
                  <w:u w:val="none"/>
                  <w:effect w:val="none"/>
                </w:rPr>
                <w:t xml:space="preserve">Condensed Consolidated Balance Sheets as of </w:t>
              </w:r>
            </w:hyperlink>
            <w:r>
              <w:rPr>
                <w:rFonts w:ascii="Times New Roman;serif" w:hAnsi="Times New Roman;serif"/>
                <w:b w:val="false"/>
                <w:color w:val="000000"/>
                <w:sz w:val="20"/>
              </w:rPr>
              <w:t>September 30, 2025</w:t>
            </w:r>
            <w:hyperlink w:anchor="i95c65acaf41d4660be4762b4c748412e_22">
              <w:r>
                <w:rPr>
                  <w:rStyle w:val="InternetLink"/>
                  <w:rFonts w:ascii="Times New Roman;serif" w:hAnsi="Times New Roman;serif"/>
                  <w:b w:val="false"/>
                  <w:strike w:val="false"/>
                  <w:dstrike w:val="false"/>
                  <w:color w:val="000000"/>
                  <w:sz w:val="20"/>
                  <w:u w:val="none"/>
                  <w:effect w:val="none"/>
                </w:rPr>
                <w:t xml:space="preserve"> (unaudited) and </w:t>
              </w:r>
            </w:hyperlink>
            <w:r>
              <w:rPr>
                <w:rFonts w:ascii="Times New Roman;serif" w:hAnsi="Times New Roman;serif"/>
                <w:b w:val="false"/>
                <w:color w:val="000000"/>
                <w:sz w:val="20"/>
              </w:rPr>
              <w:t>December 31, 2024</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22">
              <w:r>
                <w:rPr>
                  <w:rStyle w:val="InternetLink"/>
                  <w:rFonts w:ascii="Times New Roman;serif" w:hAnsi="Times New Roman;serif"/>
                  <w:b w:val="false"/>
                  <w:strike w:val="false"/>
                  <w:dstrike w:val="false"/>
                  <w:color w:val="0000FF"/>
                  <w:sz w:val="20"/>
                  <w:u w:val="none"/>
                  <w:effect w:val="none"/>
                </w:rPr>
                <w:t>1</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25">
              <w:r>
                <w:rPr>
                  <w:rStyle w:val="InternetLink"/>
                  <w:rFonts w:ascii="Times New Roman;serif" w:hAnsi="Times New Roman;serif"/>
                  <w:b w:val="false"/>
                  <w:strike w:val="false"/>
                  <w:dstrike w:val="false"/>
                  <w:color w:val="000000"/>
                  <w:sz w:val="20"/>
                  <w:u w:val="none"/>
                  <w:effect w:val="none"/>
                </w:rPr>
                <w:t xml:space="preserve">Condensed Consolidated Statements of Operations and Comprehensive Income (Loss) (unaudited) for the </w:t>
              </w:r>
            </w:hyperlink>
            <w:r>
              <w:rPr>
                <w:rFonts w:ascii="Times New Roman;serif" w:hAnsi="Times New Roman;serif"/>
                <w:b w:val="false"/>
                <w:color w:val="000000"/>
                <w:sz w:val="20"/>
              </w:rPr>
              <w:t>three and nine months ended September 30, 2025</w:t>
            </w:r>
            <w:hyperlink w:anchor="i95c65acaf41d4660be4762b4c748412e_25">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25">
              <w:r>
                <w:rPr>
                  <w:rStyle w:val="InternetLink"/>
                  <w:rFonts w:ascii="Times New Roman;serif" w:hAnsi="Times New Roman;serif"/>
                  <w:b w:val="false"/>
                  <w:strike w:val="false"/>
                  <w:dstrike w:val="false"/>
                  <w:color w:val="0000FF"/>
                  <w:sz w:val="20"/>
                  <w:u w:val="none"/>
                  <w:effect w:val="none"/>
                </w:rPr>
                <w:t>2</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Stockholders’ Equity (unaudited) for the three and nine months ended September 30, 2025 and 2024</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28">
              <w:r>
                <w:rPr>
                  <w:rStyle w:val="InternetLink"/>
                  <w:rFonts w:ascii="Times New Roman;serif" w:hAnsi="Times New Roman;serif"/>
                  <w:b w:val="false"/>
                  <w:strike w:val="false"/>
                  <w:dstrike w:val="false"/>
                  <w:color w:val="0000FF"/>
                  <w:sz w:val="20"/>
                  <w:u w:val="none"/>
                  <w:effect w:val="none"/>
                </w:rPr>
                <w:t>3</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31">
              <w:r>
                <w:rPr>
                  <w:rStyle w:val="InternetLink"/>
                  <w:rFonts w:ascii="Times New Roman;serif" w:hAnsi="Times New Roman;serif"/>
                  <w:b w:val="false"/>
                  <w:strike w:val="false"/>
                  <w:dstrike w:val="false"/>
                  <w:color w:val="000000"/>
                  <w:sz w:val="20"/>
                  <w:u w:val="none"/>
                  <w:effect w:val="none"/>
                </w:rPr>
                <w:t xml:space="preserve">Condensed Consolidated Statements of Cash Flows (unaudited) for the </w:t>
              </w:r>
            </w:hyperlink>
            <w:r>
              <w:rPr>
                <w:rFonts w:ascii="Times New Roman;serif" w:hAnsi="Times New Roman;serif"/>
                <w:b w:val="false"/>
                <w:color w:val="000000"/>
                <w:sz w:val="20"/>
              </w:rPr>
              <w:t>nine months ended September 30, 2025</w:t>
            </w:r>
            <w:hyperlink w:anchor="i95c65acaf41d4660be4762b4c748412e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2024</w:t>
            </w:r>
            <w:hyperlink w:anchor="i95c65acaf41d4660be4762b4c748412e_31">
              <w:r>
                <w:rPr>
                  <w:rStyle w:val="InternetLink"/>
                  <w:rFonts w:ascii="Times New Roman;serif" w:hAnsi="Times New Roman;serif"/>
                  <w:b w:val="false"/>
                  <w:strike w:val="false"/>
                  <w:dstrike w:val="false"/>
                  <w:color w:val="000000"/>
                  <w:sz w:val="20"/>
                  <w:u w:val="none"/>
                  <w:effect w:val="none"/>
                </w:rPr>
                <w:t xml:space="preserve"> </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31">
              <w:r>
                <w:rPr>
                  <w:rStyle w:val="InternetLink"/>
                  <w:rFonts w:ascii="Times New Roman;serif" w:hAnsi="Times New Roman;serif"/>
                  <w:b w:val="false"/>
                  <w:strike w:val="false"/>
                  <w:dstrike w:val="false"/>
                  <w:color w:val="0000FF"/>
                  <w:sz w:val="20"/>
                  <w:u w:val="none"/>
                  <w:effect w:val="none"/>
                </w:rPr>
                <w:t>5</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34">
              <w:r>
                <w:rPr>
                  <w:rStyle w:val="InternetLink"/>
                  <w:rFonts w:ascii="Times New Roman;serif" w:hAnsi="Times New Roman;serif"/>
                  <w:b w:val="false"/>
                  <w:strike w:val="false"/>
                  <w:dstrike w:val="false"/>
                  <w:color w:val="000000"/>
                  <w:sz w:val="20"/>
                  <w:u w:val="none"/>
                  <w:effect w:val="none"/>
                </w:rPr>
                <w:t>Notes to Condensed Consolidated Financial Statements (unaudited)</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34">
              <w:r>
                <w:rPr>
                  <w:rStyle w:val="InternetLink"/>
                  <w:rFonts w:ascii="Times New Roman;serif" w:hAnsi="Times New Roman;serif"/>
                  <w:b w:val="false"/>
                  <w:strike w:val="false"/>
                  <w:dstrike w:val="false"/>
                  <w:color w:val="0000FF"/>
                  <w:sz w:val="20"/>
                  <w:u w:val="none"/>
                  <w:effect w:val="none"/>
                </w:rPr>
                <w:t>6</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06">
              <w:r>
                <w:rPr>
                  <w:rStyle w:val="InternetLink"/>
                  <w:rFonts w:ascii="Times New Roman;serif" w:hAnsi="Times New Roman;serif"/>
                  <w:b w:val="false"/>
                  <w:strike w:val="false"/>
                  <w:dstrike w:val="false"/>
                  <w:color w:val="000000"/>
                  <w:sz w:val="20"/>
                  <w:u w:val="none"/>
                  <w:effect w:val="none"/>
                </w:rPr>
                <w:t>Item 2.</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06">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06">
              <w:r>
                <w:rPr>
                  <w:rStyle w:val="InternetLink"/>
                  <w:rFonts w:ascii="Times New Roman;serif" w:hAnsi="Times New Roman;serif"/>
                  <w:b w:val="false"/>
                  <w:strike w:val="false"/>
                  <w:dstrike w:val="false"/>
                  <w:color w:val="0000FF"/>
                  <w:sz w:val="20"/>
                  <w:u w:val="none"/>
                  <w:effect w:val="none"/>
                </w:rPr>
                <w:t>24</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09">
              <w:r>
                <w:rPr>
                  <w:rStyle w:val="InternetLink"/>
                  <w:rFonts w:ascii="Times New Roman;serif" w:hAnsi="Times New Roman;serif"/>
                  <w:b w:val="false"/>
                  <w:strike w:val="false"/>
                  <w:dstrike w:val="false"/>
                  <w:color w:val="000000"/>
                  <w:sz w:val="20"/>
                  <w:u w:val="none"/>
                  <w:effect w:val="none"/>
                </w:rPr>
                <w:t>Item 3.</w:t>
              </w:r>
            </w:hyperlink>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09">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09">
              <w:r>
                <w:rPr>
                  <w:rStyle w:val="InternetLink"/>
                  <w:rFonts w:ascii="Times New Roman;serif" w:hAnsi="Times New Roman;serif"/>
                  <w:b w:val="false"/>
                  <w:strike w:val="false"/>
                  <w:dstrike w:val="false"/>
                  <w:color w:val="0000FF"/>
                  <w:sz w:val="20"/>
                  <w:u w:val="none"/>
                  <w:effect w:val="none"/>
                </w:rPr>
                <w:t>38</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12">
              <w:r>
                <w:rPr>
                  <w:rStyle w:val="InternetLink"/>
                  <w:rFonts w:ascii="Times New Roman;serif" w:hAnsi="Times New Roman;serif"/>
                  <w:b w:val="false"/>
                  <w:strike w:val="false"/>
                  <w:dstrike w:val="false"/>
                  <w:color w:val="000000"/>
                  <w:sz w:val="20"/>
                  <w:u w:val="none"/>
                  <w:effect w:val="none"/>
                </w:rPr>
                <w:t>Item 4.</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12">
              <w:r>
                <w:rPr>
                  <w:rStyle w:val="InternetLink"/>
                  <w:rFonts w:ascii="Times New Roman;serif" w:hAnsi="Times New Roman;serif"/>
                  <w:b w:val="false"/>
                  <w:strike w:val="false"/>
                  <w:dstrike w:val="false"/>
                  <w:color w:val="000000"/>
                  <w:sz w:val="20"/>
                  <w:u w:val="none"/>
                  <w:effect w:val="none"/>
                </w:rPr>
                <w:t>Controls and Procedures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12">
              <w:r>
                <w:rPr>
                  <w:rStyle w:val="InternetLink"/>
                  <w:rFonts w:ascii="Times New Roman;serif" w:hAnsi="Times New Roman;serif"/>
                  <w:b w:val="false"/>
                  <w:strike w:val="false"/>
                  <w:dstrike w:val="false"/>
                  <w:color w:val="0000FF"/>
                  <w:sz w:val="20"/>
                  <w:u w:val="none"/>
                  <w:effect w:val="none"/>
                </w:rPr>
                <w:t>38</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15">
              <w:r>
                <w:rPr>
                  <w:rStyle w:val="InternetLink"/>
                  <w:rFonts w:ascii="Times New Roman;serif" w:hAnsi="Times New Roman;serif"/>
                  <w:b/>
                  <w:strike w:val="false"/>
                  <w:dstrike w:val="false"/>
                  <w:color w:val="000000"/>
                  <w:sz w:val="20"/>
                  <w:u w:val="none"/>
                  <w:effect w:val="none"/>
                </w:rPr>
                <w:t>PART II</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15">
              <w:r>
                <w:rPr>
                  <w:rStyle w:val="InternetLink"/>
                  <w:rFonts w:ascii="Times New Roman;serif" w:hAnsi="Times New Roman;serif"/>
                  <w:b/>
                  <w:strike w:val="false"/>
                  <w:dstrike w:val="false"/>
                  <w:color w:val="000000"/>
                  <w:sz w:val="20"/>
                  <w:u w:val="none"/>
                  <w:effect w:val="none"/>
                </w:rPr>
                <w:t>OTHER INFORMATION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18">
              <w:r>
                <w:rPr>
                  <w:rStyle w:val="InternetLink"/>
                  <w:rFonts w:ascii="Times New Roman;serif" w:hAnsi="Times New Roman;serif"/>
                  <w:b w:val="false"/>
                  <w:strike w:val="false"/>
                  <w:dstrike w:val="false"/>
                  <w:color w:val="000000"/>
                  <w:sz w:val="20"/>
                  <w:u w:val="none"/>
                  <w:effect w:val="none"/>
                </w:rPr>
                <w:t>Item 1.</w:t>
              </w:r>
            </w:hyperlink>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18">
              <w:r>
                <w:rPr>
                  <w:rStyle w:val="InternetLink"/>
                  <w:rFonts w:ascii="Times New Roman;serif" w:hAnsi="Times New Roman;serif"/>
                  <w:b w:val="false"/>
                  <w:strike w:val="false"/>
                  <w:dstrike w:val="false"/>
                  <w:color w:val="000000"/>
                  <w:sz w:val="20"/>
                  <w:u w:val="none"/>
                  <w:effect w:val="none"/>
                </w:rPr>
                <w:t>Legal Proceedings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18">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21">
              <w:r>
                <w:rPr>
                  <w:rStyle w:val="InternetLink"/>
                  <w:rFonts w:ascii="Times New Roman;serif" w:hAnsi="Times New Roman;serif"/>
                  <w:b w:val="false"/>
                  <w:strike w:val="false"/>
                  <w:dstrike w:val="false"/>
                  <w:color w:val="000000"/>
                  <w:sz w:val="20"/>
                  <w:u w:val="none"/>
                  <w:effect w:val="none"/>
                </w:rPr>
                <w:t>Item 1A.</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21">
              <w:r>
                <w:rPr>
                  <w:rStyle w:val="InternetLink"/>
                  <w:rFonts w:ascii="Times New Roman;serif" w:hAnsi="Times New Roman;serif"/>
                  <w:b w:val="false"/>
                  <w:strike w:val="false"/>
                  <w:dstrike w:val="false"/>
                  <w:color w:val="000000"/>
                  <w:sz w:val="20"/>
                  <w:u w:val="none"/>
                  <w:effect w:val="none"/>
                </w:rPr>
                <w:t>Risk Factors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21">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24">
              <w:r>
                <w:rPr>
                  <w:rStyle w:val="InternetLink"/>
                  <w:rFonts w:ascii="Times New Roman;serif" w:hAnsi="Times New Roman;serif"/>
                  <w:b w:val="false"/>
                  <w:strike w:val="false"/>
                  <w:dstrike w:val="false"/>
                  <w:color w:val="000000"/>
                  <w:sz w:val="20"/>
                  <w:u w:val="none"/>
                  <w:effect w:val="none"/>
                </w:rPr>
                <w:t>Item 2.</w:t>
              </w:r>
            </w:hyperlink>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24">
              <w:r>
                <w:rPr>
                  <w:rStyle w:val="InternetLink"/>
                  <w:rFonts w:ascii="Times New Roman;serif" w:hAnsi="Times New Roman;serif"/>
                  <w:b w:val="false"/>
                  <w:strike w:val="false"/>
                  <w:dstrike w:val="false"/>
                  <w:color w:val="000000"/>
                  <w:sz w:val="20"/>
                  <w:u w:val="none"/>
                  <w:effect w:val="none"/>
                </w:rPr>
                <w:t>Unregistered Sales of Equity Securities</w:t>
              </w:r>
            </w:hyperlink>
            <w:r>
              <w:rPr>
                <w:rFonts w:ascii="Times New Roman;serif" w:hAnsi="Times New Roman;serif"/>
                <w:b w:val="false"/>
                <w:color w:val="000000"/>
                <w:sz w:val="20"/>
              </w:rPr>
              <w:t xml:space="preserve"> and Use of Proceeds</w:t>
            </w:r>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24">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27">
              <w:r>
                <w:rPr>
                  <w:rStyle w:val="InternetLink"/>
                  <w:rFonts w:ascii="Times New Roman;serif" w:hAnsi="Times New Roman;serif"/>
                  <w:b w:val="false"/>
                  <w:strike w:val="false"/>
                  <w:dstrike w:val="false"/>
                  <w:color w:val="000000"/>
                  <w:sz w:val="20"/>
                  <w:u w:val="none"/>
                  <w:effect w:val="none"/>
                </w:rPr>
                <w:t>Item 3.</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27">
              <w:r>
                <w:rPr>
                  <w:rStyle w:val="InternetLink"/>
                  <w:rFonts w:ascii="Times New Roman;serif" w:hAnsi="Times New Roman;serif"/>
                  <w:b w:val="false"/>
                  <w:strike w:val="false"/>
                  <w:dstrike w:val="false"/>
                  <w:color w:val="000000"/>
                  <w:sz w:val="20"/>
                  <w:u w:val="none"/>
                  <w:effect w:val="none"/>
                </w:rPr>
                <w:t>Defaults Upon Senior Securities</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27">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30">
              <w:r>
                <w:rPr>
                  <w:rStyle w:val="InternetLink"/>
                  <w:rFonts w:ascii="Times New Roman;serif" w:hAnsi="Times New Roman;serif"/>
                  <w:b w:val="false"/>
                  <w:strike w:val="false"/>
                  <w:dstrike w:val="false"/>
                  <w:color w:val="000000"/>
                  <w:sz w:val="20"/>
                  <w:u w:val="none"/>
                  <w:effect w:val="none"/>
                </w:rPr>
                <w:t>Item 4.</w:t>
              </w:r>
            </w:hyperlink>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30">
              <w:r>
                <w:rPr>
                  <w:rStyle w:val="InternetLink"/>
                  <w:rFonts w:ascii="Times New Roman;serif" w:hAnsi="Times New Roman;serif"/>
                  <w:b w:val="false"/>
                  <w:strike w:val="false"/>
                  <w:dstrike w:val="false"/>
                  <w:color w:val="000000"/>
                  <w:sz w:val="20"/>
                  <w:u w:val="none"/>
                  <w:effect w:val="none"/>
                </w:rPr>
                <w:t>Mine Safety Disclosures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30">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33">
              <w:r>
                <w:rPr>
                  <w:rStyle w:val="InternetLink"/>
                  <w:rFonts w:ascii="Times New Roman;serif" w:hAnsi="Times New Roman;serif"/>
                  <w:b w:val="false"/>
                  <w:strike w:val="false"/>
                  <w:dstrike w:val="false"/>
                  <w:color w:val="000000"/>
                  <w:sz w:val="20"/>
                  <w:u w:val="none"/>
                  <w:effect w:val="none"/>
                </w:rPr>
                <w:t>Item 5</w:t>
              </w:r>
            </w:hyperlink>
            <w:r>
              <w:rPr>
                <w:rFonts w:ascii="Times New Roman;serif" w:hAnsi="Times New Roman;serif"/>
                <w:b w:val="false"/>
                <w:color w:val="000000"/>
                <w:sz w:val="20"/>
              </w:rPr>
              <w:t>.</w:t>
            </w:r>
          </w:p>
        </w:tc>
        <w:tc>
          <w:tcPr>
            <w:tcW w:w="868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33">
              <w:r>
                <w:rPr>
                  <w:rStyle w:val="InternetLink"/>
                  <w:rFonts w:ascii="Times New Roman;serif" w:hAnsi="Times New Roman;serif"/>
                  <w:b w:val="false"/>
                  <w:strike w:val="false"/>
                  <w:dstrike w:val="false"/>
                  <w:color w:val="000000"/>
                  <w:sz w:val="20"/>
                  <w:u w:val="none"/>
                  <w:effect w:val="none"/>
                </w:rPr>
                <w:t>Other Information</w:t>
              </w:r>
            </w:hyperlink>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33">
              <w:r>
                <w:rPr>
                  <w:rStyle w:val="InternetLink"/>
                  <w:rFonts w:ascii="Times New Roman;serif" w:hAnsi="Times New Roman;serif"/>
                  <w:b w:val="false"/>
                  <w:strike w:val="false"/>
                  <w:dstrike w:val="false"/>
                  <w:color w:val="0000FF"/>
                  <w:sz w:val="20"/>
                  <w:u w:val="none"/>
                  <w:effect w:val="none"/>
                </w:rPr>
                <w:t>39</w:t>
              </w:r>
            </w:hyperlink>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39">
              <w:r>
                <w:rPr>
                  <w:rStyle w:val="InternetLink"/>
                  <w:rFonts w:ascii="Times New Roman;serif" w:hAnsi="Times New Roman;serif"/>
                  <w:b w:val="false"/>
                  <w:strike w:val="false"/>
                  <w:dstrike w:val="false"/>
                  <w:color w:val="000000"/>
                  <w:sz w:val="20"/>
                  <w:u w:val="none"/>
                  <w:effect w:val="none"/>
                </w:rPr>
                <w:t>Item 6.</w:t>
              </w:r>
            </w:hyperlink>
          </w:p>
        </w:tc>
        <w:tc>
          <w:tcPr>
            <w:tcW w:w="8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95c65acaf41d4660be4762b4c748412e_139">
              <w:r>
                <w:rPr>
                  <w:rStyle w:val="InternetLink"/>
                  <w:rFonts w:ascii="Times New Roman;serif" w:hAnsi="Times New Roman;serif"/>
                  <w:b w:val="false"/>
                  <w:strike w:val="false"/>
                  <w:dstrike w:val="false"/>
                  <w:color w:val="000000"/>
                  <w:sz w:val="20"/>
                  <w:u w:val="none"/>
                  <w:effect w:val="none"/>
                </w:rPr>
                <w:t>Exhibits</w:t>
              </w:r>
            </w:hyperlink>
          </w:p>
        </w:tc>
        <w:tc>
          <w:tcPr>
            <w:tcW w:w="5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39">
              <w:r>
                <w:rPr>
                  <w:rStyle w:val="InternetLink"/>
                  <w:rFonts w:ascii="Times New Roman;serif" w:hAnsi="Times New Roman;serif"/>
                  <w:b w:val="false"/>
                  <w:strike w:val="false"/>
                  <w:dstrike w:val="false"/>
                  <w:color w:val="0000FF"/>
                  <w:sz w:val="20"/>
                  <w:u w:val="none"/>
                  <w:effect w:val="none"/>
                </w:rPr>
                <w:t>40</w:t>
              </w:r>
            </w:hyperlink>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95c65acaf41d4660be4762b4c748412e_142">
              <w:r>
                <w:rPr>
                  <w:rStyle w:val="InternetLink"/>
                  <w:rFonts w:ascii="Times New Roman;serif" w:hAnsi="Times New Roman;serif"/>
                  <w:b w:val="false"/>
                  <w:strike w:val="false"/>
                  <w:dstrike w:val="false"/>
                  <w:color w:val="000000"/>
                  <w:sz w:val="20"/>
                  <w:u w:val="none"/>
                  <w:effect w:val="none"/>
                </w:rPr>
                <w:t>Signatures</w:t>
              </w:r>
            </w:hyperlink>
          </w:p>
        </w:tc>
        <w:tc>
          <w:tcPr>
            <w:tcW w:w="8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95c65acaf41d4660be4762b4c748412e_142">
              <w:r>
                <w:rPr>
                  <w:rStyle w:val="InternetLink"/>
                  <w:rFonts w:ascii="Times New Roman;serif" w:hAnsi="Times New Roman;serif"/>
                  <w:b w:val="false"/>
                  <w:strike w:val="false"/>
                  <w:dstrike w:val="false"/>
                  <w:color w:val="0000FF"/>
                  <w:sz w:val="20"/>
                  <w:u w:val="none"/>
                  <w:effect w:val="non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macroeconomic and market conditions, equity compensation, business strategy, plans, market growth, future acquisitions and other capital expenditures, expectations regarding the recently announced sale of our marketing technology solutions, progress towards remediation of our material weakness, expected impacts from legislation and our objectives for future operations.</w:t>
      </w:r>
    </w:p>
    <w:p>
      <w:pPr>
        <w:pStyle w:val="TextBody"/>
        <w:bidi w:val="0"/>
        <w:spacing w:lineRule="auto" w:line="283"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our limited operating history and evolving business; our recent growth rates may not be sustainable or indicative of future growth; we have experienced net losses in the past and we may not achieve profitability in the future; we may continue to experience significant quarterly and annual fluctuations in our operating results due to a number of factors, which makes our future operating results difficult to predict; in order to support the growth of our business and acquisition strategy, we may need to incur additional indebtedness or seek capital through new equity or debt financings; we may not be able to continue to expand our share of our existing vertical markets or expand into new vertical markets; we face intense competition in each of the industries in which we operate; the industries in which we operate are rapidly evolving and the market for technology-enabled services that empower small and medium-sized businesses is relatively immature and unproven; we are subject to economic and political risk, the business cycles of our clients and changes in the overall level of consumer and commercial spending, which could negatively impact our business, financial condition and results of operations; we are dependent on payment card networks, such as Visa and MasterCard, and payment processors, such as Worldpay and PayPal, and if we fail to comply with the applicable requirements of the payment networks or our payment processors, they can seek to fine us, suspend us, terminate our agreements and/or terminate our registrations through our bank sponsors; the inability to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 real or perceived errors, failures or bugs in our solutions could adversely affect our business results of operations, financial conditions and growth prospects; unauthorized disclosure, destruction or modification of data, disruption of our software or services or cyber breaches could expose us to liability, protracted and costly litigation and damage our reputation; our use of artificial intelligence technologies and evolving regulatory framework governing the use of such technologies; our estimated total addressable market is subject to inherent challenges and uncertainties; failure to effectively develop and expand our sales and marketing capabilities; our ability to increase our customer base and achieve broader market acceptance and utilization of our solutions; impairment in the value of our goodwill or intangible assets; our information technology systems and our third-party providers’ information technology systems, including Worldpay, PayPal and other payment processing partners, may fail, or our third-party providers may discontinue providing their services or technology generally or to us specifically; our ability to improve our margin; the impact of a future pandemic, epidemic, or outbreak of infectious disease could impact our business, financial condition and results of operations, as well as the business or operations of their parties with whom we conduct business; our success in achieving our objectives through acquisitions, divestitures or other strategic transactions; our revenues and profits generated through acquisitions may be less than anticipated, and we may fail to uncover all liabilities of acquisition targets; risks related to scrutiny on environmental sustainability and social initiatives; our ability to adequately protect or enforce our intellectual property and other proprietary rights; risk of patent, trademark and other intellectual property infringement claims; risks related to governmental regulation and other legal obligations, particularly related to privacy, data protection and information security, and our actual or perceived failure to comply with such obligations; risks related to our sponsor stockholders agreement and qualifying as a “controlled company” under the rules of The Nasdaq Stock Market; significant increased costs as a result of operating as a public company, and our management is required to devote substantial time to new compliance initiatives; as well as the other factors described in our Annual Report on Form 10-K for the year ended December 31, 2024 (“Annual Report on Form 10-K”), as updated by our other filings with the Securities and Exchange Commission (the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3" w:before="180" w:after="283"/>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837"/>
        <w:gridCol w:w="2325"/>
        <w:gridCol w:w="2307"/>
        <w:gridCol w:w="197"/>
        <w:gridCol w:w="879"/>
        <w:gridCol w:w="109"/>
        <w:gridCol w:w="109"/>
        <w:gridCol w:w="109"/>
        <w:gridCol w:w="109"/>
        <w:gridCol w:w="196"/>
        <w:gridCol w:w="871"/>
        <w:gridCol w:w="157"/>
      </w:tblGrid>
      <w:tr>
        <w:trPr/>
        <w:tc>
          <w:tcPr>
            <w:tcW w:w="283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expected credit losses of $3.3 million and $2.3 million at September 30, 2025 and December 31, 2024, respectively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31,090 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218,314 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6,129 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net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41,595 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36,127 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held for sale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211,172 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1,403,136 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1,421,268 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50,840 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22,107 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11,382 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110,726 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current maturities and deferred financing costs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522,442 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36,301 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held for sale</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670,442 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17)</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$0.00001 par value, 50,000,000 shares authorized and no shares issued or outstanding as of September 30, 2025 and December 31, 2024</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$0.00001 par value, 2,000,000,000 shares authorized and 180,040,377 and 183,725,236 shares issued and outstanding at September 30, 2025 and December 31, 2024, respectively</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(14,318)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1,426,206 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(661,064)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750,826 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1,403,136 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1,421,268 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829945"/>
                <wp:effectExtent l="0" t="0" r="0" b="0"/>
                <wp:wrapNone/>
                <wp:docPr id="5" name="Frame5"/>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and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14"/>
        <w:gridCol w:w="1068"/>
        <w:gridCol w:w="107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156"/>
      </w:tblGrid>
      <w:tr>
        <w:trPr/>
        <w:tc>
          <w:tcPr>
            <w:tcW w:w="141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from continuing operations before income tax expense</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gain,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 attributable to common stockholders: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used in computing 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180,977,363 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182,341,634 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5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183,686,560 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184,709,684 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29945"/>
                <wp:effectExtent l="0" t="0" r="0" b="0"/>
                <wp:wrapNone/>
                <wp:docPr id="6" name="Frame6"/>
                <a:graphic xmlns:a="http://schemas.openxmlformats.org/drawingml/2006/main">
                  <a:graphicData uri="http://schemas.microsoft.com/office/word/2010/wordprocessingShape">
                    <wps:wsp>
                      <wps:cNvSpPr txBox="1"/>
                      <wps:spPr>
                        <a:xfrm>
                          <a:off x="0" y="0"/>
                          <a:ext cx="6480175" cy="82994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0"/>
        <w:gridCol w:w="746"/>
        <w:gridCol w:w="749"/>
        <w:gridCol w:w="109"/>
        <w:gridCol w:w="227"/>
        <w:gridCol w:w="423"/>
        <w:gridCol w:w="403"/>
        <w:gridCol w:w="230"/>
        <w:gridCol w:w="366"/>
        <w:gridCol w:w="443"/>
        <w:gridCol w:w="190"/>
        <w:gridCol w:w="211"/>
        <w:gridCol w:w="976"/>
        <w:gridCol w:w="109"/>
        <w:gridCol w:w="247"/>
        <w:gridCol w:w="988"/>
        <w:gridCol w:w="128"/>
        <w:gridCol w:w="253"/>
        <w:gridCol w:w="889"/>
        <w:gridCol w:w="132"/>
        <w:gridCol w:w="211"/>
        <w:gridCol w:w="826"/>
        <w:gridCol w:w="109"/>
        <w:gridCol w:w="160"/>
      </w:tblGrid>
      <w:tr>
        <w:trPr/>
        <w:tc>
          <w:tcPr>
            <w:tcW w:w="10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3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63"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183,725 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(661,064)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183,034 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(668,777)</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(13,841)</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 exercises,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182,189 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(660,624)</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743,978 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 exercises,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180,040 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1,390,600 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(649,508)</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(12,550)</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807085"/>
                <wp:effectExtent l="0" t="0" r="0" b="0"/>
                <wp:wrapNone/>
                <wp:docPr id="7" name="Frame7"/>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80"/>
        <w:gridCol w:w="746"/>
        <w:gridCol w:w="749"/>
        <w:gridCol w:w="109"/>
        <w:gridCol w:w="227"/>
        <w:gridCol w:w="423"/>
        <w:gridCol w:w="403"/>
        <w:gridCol w:w="230"/>
        <w:gridCol w:w="366"/>
        <w:gridCol w:w="443"/>
        <w:gridCol w:w="190"/>
        <w:gridCol w:w="211"/>
        <w:gridCol w:w="976"/>
        <w:gridCol w:w="109"/>
        <w:gridCol w:w="247"/>
        <w:gridCol w:w="988"/>
        <w:gridCol w:w="128"/>
        <w:gridCol w:w="253"/>
        <w:gridCol w:w="889"/>
        <w:gridCol w:w="132"/>
        <w:gridCol w:w="211"/>
        <w:gridCol w:w="826"/>
        <w:gridCol w:w="109"/>
        <w:gridCol w:w="160"/>
      </w:tblGrid>
      <w:tr>
        <w:trPr/>
        <w:tc>
          <w:tcPr>
            <w:tcW w:w="108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9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 Capital</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Deficit</w:t>
            </w:r>
          </w:p>
        </w:tc>
        <w:tc>
          <w:tcPr>
            <w:tcW w:w="136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w:t>
              <w:br/>
              <w:t>Comprehensive</w:t>
              <w:br/>
              <w:t>Loss</w:t>
            </w:r>
          </w:p>
        </w:tc>
        <w:tc>
          <w:tcPr>
            <w:tcW w:w="12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Stockholders’ Equity</w:t>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999"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1363" w:type="dxa"/>
            <w:gridSpan w:val="3"/>
            <w:vMerge w:val="continue"/>
            <w:tcBorders/>
            <w:tcMar>
              <w:top w:w="0" w:type="dxa"/>
              <w:left w:w="0" w:type="dxa"/>
              <w:bottom w:w="0" w:type="dxa"/>
              <w:right w:w="0" w:type="dxa"/>
            </w:tcMar>
            <w:vAlign w:val="center"/>
          </w:tcPr>
          <w:p>
            <w:pPr>
              <w:pStyle w:val="Normal"/>
              <w:bidi w:val="0"/>
              <w:jc w:val="left"/>
              <w:rPr/>
            </w:pPr>
            <w:r>
              <w:rPr/>
            </w:r>
          </w:p>
        </w:tc>
        <w:tc>
          <w:tcPr>
            <w:tcW w:w="1274"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186,934 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(619,975)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loss,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186,161 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(636,299)</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(11,552)</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800,686 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184,581 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(639,675)</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784,092 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Common stock issued upon vesting of restricted stock units, net of shares withheld for employee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and retirement of common stock, including taxes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net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Disposition of Fitness Solutions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Balance at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183,821 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1,426,713 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(648,831)</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(7,141)</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770,743 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07085"/>
                <wp:effectExtent l="0" t="0" r="0" b="0"/>
                <wp:wrapNone/>
                <wp:docPr id="8" name="Frame8"/>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EverCommerce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9"/>
        <w:gridCol w:w="2435"/>
        <w:gridCol w:w="2455"/>
        <w:gridCol w:w="196"/>
        <w:gridCol w:w="736"/>
        <w:gridCol w:w="109"/>
        <w:gridCol w:w="109"/>
        <w:gridCol w:w="109"/>
        <w:gridCol w:w="109"/>
        <w:gridCol w:w="196"/>
        <w:gridCol w:w="736"/>
        <w:gridCol w:w="156"/>
      </w:tblGrid>
      <w:tr>
        <w:trPr/>
        <w:tc>
          <w:tcPr>
            <w:tcW w:w="285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66,880 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20,184 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non-cash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held for sale and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Loss on interest rate swap valuation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64,750 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software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(13,071)</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fitness solutions, net of transaction costs, cash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used in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Exercise of stock options,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common stock issuance for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taxes paid for RSU withholdings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(51,341)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 on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color w:val="000000"/>
                <w:sz w:val="18"/>
              </w:rPr>
            </w:pPr>
            <w:r>
              <w:rPr>
                <w:rFonts w:ascii="Times New Roman;serif" w:hAnsi="Times New Roman;serif"/>
                <w:b/>
                <w:color w:val="000000"/>
                <w:sz w:val="18"/>
              </w:rPr>
              <w:t>Net (decrease) increase in cash, cash equivalents and restricted cash, including cash and restricted cash classified as held for sale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(28,483)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including cash and restricted cash classified as held for sale: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101,574 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34,936 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77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7085"/>
                <wp:effectExtent l="0" t="0" r="0" b="0"/>
                <wp:wrapNone/>
                <wp:docPr id="9" name="Frame9"/>
                <a:graphic xmlns:a="http://schemas.openxmlformats.org/drawingml/2006/main">
                  <a:graphicData uri="http://schemas.microsoft.com/office/word/2010/wordprocessingShape">
                    <wps:wsp>
                      <wps:cNvSpPr txBox="1"/>
                      <wps:spPr>
                        <a:xfrm>
                          <a:off x="0" y="0"/>
                          <a:ext cx="6480175" cy="807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color w:val="000000"/>
          <w:sz w:val="20"/>
        </w:rPr>
      </w:pPr>
      <w:r>
        <w:rPr>
          <w:rFonts w:ascii="Times New Roman;serif" w:hAnsi="Times New Roman;serif"/>
          <w:b/>
          <w:color w:val="000000"/>
          <w:sz w:val="20"/>
        </w:rPr>
        <w:t>Note 1. Nature of the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Inc. and subsidiaries (the “Company” or “EverCommerce”) is a leading provider of integrated software-as-a-service (“SaaS”) solutions or services for service-based small and medium-sized businesses (“service SMBs”). Our platforms span across the full lifecycle of interactions between consumers and service professionals with vertical-specific applications. As of December 31, 2024, the Company served more than 740,000 customers primarily across three core verticals: EverPro for Home Services; EverHealth for Health Services; and EverWell for Wellness Services. Excluding the customers associated with our marketing technology solutions, the Company served more than 725,000 customers (see Note 3. Discontinued Operations). Within the core verticals, customers operate within numerous micro-verticals, ranging from home service professionals, such as construction contractors and home maintenance technicians, to physician practices and therapists in the Health Services industry, to salon owners in the Wellness sector. The platform provides vertically-tailored SaaS solutions that address service SMBs’ increasingly nuanced demands, as well as highly complementary solutions that provide fully-integrated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(“U.S. GAAP”) for interim financial information. Certain information and disclosures normally included in consolidated financial statements prepared in accordance with U.S. GAAP have been condensed or omitted. Accordingly, these unaudited condensed consolidated financial statements should be read in conjunction with our audited consolidated financial statements for the year ended December 31, 2024 and the related notes (“Annual Report on Form 10-K”). The December 31, 2024 consolidated balance sheet was derived from our audited consolidated financial statements as of that date. Our unaudited interim condensed consolidated financial statements include, in the opinion of management, all adjustments, consisting of normal and recurring items, necessary for the fair statement of the unaudited condensed consolidated financial statements. All intercompany accounts and transactions have been eliminated in consolidation. There have been no significant changes in accounting policies during the nine months ended September 30, 2025 from those disclosed in the annual consolidated financial statements for the year ended December 31, 2024 and the related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operating results for the three and nine months ended September 30, 2025 are not necessarily indicative of the results expected for the full year ending December 31,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jc w:val="both"/>
        <w:rPr/>
      </w:pPr>
      <w:r>
        <w:rPr>
          <w:rFonts w:ascii="Times New Roman;serif" w:hAnsi="Times New Roman;serif"/>
          <w:b w:val="false"/>
          <w:color w:val="000000"/>
          <w:sz w:val="20"/>
        </w:rPr>
        <w:t>The preparation of unaudited condensed consolidated financial statements in conformity with U.S.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Significant items subject to such estimates include: valuing identified intangible assets and acquired goodwill and establishing estimated useful lives for intangible assets in connection with business combinations; the estimation of the recoverability of goodwill and other intangible assets; income tax uncertainties, including valuation allowance for deferred tax assets and value of any uncertain tax positions; recognizing bad debt expense from expected credit losses; recognizing stock-based compensation expens</w:t>
      </w:r>
      <w:r>
        <w:rPr>
          <w:rFonts w:ascii="Times New Roman;serif" w:hAnsi="Times New Roman;serif"/>
          <w:b w:val="false"/>
          <w:strike/>
          <w:color w:val="000000"/>
          <w:sz w:val="20"/>
        </w:rPr>
        <w:t>e</w:t>
      </w:r>
      <w:r>
        <w:rPr>
          <w:color w:val="000000"/>
        </w:rPr>
        <w:t xml:space="preserve"> </w:t>
      </w:r>
      <w:r>
        <w:rPr>
          <w:rFonts w:ascii="Times New Roman;serif" w:hAnsi="Times New Roman;serif"/>
          <w:b w:val="false"/>
          <w:color w:val="000000"/>
          <w:sz w:val="20"/>
        </w:rPr>
        <w:t>and estimating standalone selling price, when applicable, for the allocation of transaction price when multiple performance obligations are included in a contract with a customer.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and Liabilities Held for Sale and Discontinued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classifies assets and liabilities as held for sale (the “disposal group”) in the period when all the relevant classification criteria have been met. Assets and liabilities held for sale are measured at the lower of carrying value or fair value less cost to sell. Any loss resulting from the measurement is recognized in the period in which the held for sale criteria are met. Conversely, gains are not recognized on the sale of the disposal group until the date of sale. The fair value of the disposal group, less any cost to sell, will be reassessed during each subsequent reporting period it remains classified as held for sale, and any subsequent changes will be reported as an adjustment to the carrying value of the disposal group until the disposal group is no longer classified as held for sale. Upon determining that the disposal group meets the criteria to be classified as held for sale, the Company discontinues depreciation and amortization and the related assets and liabilities are reported as held for sale on the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this assessment, the Company also evaluates the criteria for reporting the disposal group as a discontinued operation. Factors which the Company considers include, but are not limited to, whether the disposal represents a strategic shift that would have a major effect on the Company's operations and financial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late 2024, the Company began a process to review strategic alternatives for its marketing technology solutions. On March 5, 2025, the Board of Directors (“the Board”), in conjunction with Company management committed to a plan to sell the Company’s marketing technology solutions. On October 31, 2025, the Company completed the sale of its marketing technology solutions business concluding the previously announced strategic review (see Note 20. Subsequent Event). The Company determined that its decision to sell marketing technology solutions is considered a strategic shift that will have a major effect on the Company’s operations and financial results and met the criteria for classification as discontinued operations. As a result, the assets and liabilities of marketing technology solutions are presented as held for sale on our unaudited condensed consolidated balance sheets and their operating results are presented as discontinued operations in our unaudited condensed consolidated statements of operations and comprehensive loss for all periods presented. The unaudited condensed consolidated statements of cash flow are inclusive of continuing and discontinued operations for all periods presented. Certain prior period amounts related to discontinued operations have been reclassified and separately presented in the consolidated financial statements and accompanying notes to conform to the current year presentation. Unless otherwise noted, disclosures throughout these notes to the unaudited condensed consolidated financial statements reflect continuing operations only. Refer to Note 3. Discontinued Operations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Emerging Growth Company</w:t>
      </w:r>
    </w:p>
    <w:p>
      <w:pPr>
        <w:pStyle w:val="TextBody"/>
        <w:bidi w:val="0"/>
        <w:spacing w:lineRule="auto" w:line="288" w:before="120" w:after="283"/>
        <w:jc w:val="both"/>
        <w:rPr/>
      </w:pPr>
      <w:r>
        <w:rPr>
          <w:rFonts w:ascii="Times New Roman;serif" w:hAnsi="Times New Roman;serif"/>
          <w:b w:val="false"/>
          <w:color w:val="000000"/>
          <w:sz w:val="20"/>
        </w:rPr>
        <w:t xml:space="preserve">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w:t>
      </w:r>
      <w:r>
        <w:rPr>
          <w:color w:val="000000"/>
        </w:rPr>
        <w:t>“</w:t>
      </w:r>
      <w:r>
        <w:rPr>
          <w:rFonts w:ascii="Times New Roman;serif" w:hAnsi="Times New Roman;serif"/>
          <w:b w:val="false"/>
          <w:i/>
          <w:color w:val="000000"/>
          <w:sz w:val="20"/>
        </w:rPr>
        <w:t>Recently Issued Accounting Pronouncements”</w:t>
      </w:r>
      <w:r>
        <w:rPr>
          <w:color w:val="000000"/>
        </w:rPr>
        <w:t xml:space="preserve"> </w:t>
      </w:r>
      <w:r>
        <w:rPr>
          <w:rFonts w:ascii="Times New Roman;serif" w:hAnsi="Times New Roman;serif"/>
          <w:b w:val="false"/>
          <w:color w:val="000000"/>
          <w:sz w:val="20"/>
        </w:rPr>
        <w:t>section.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evaluate all Accounting Standards Updates (“ASUs”) issued by the Financial Accounting Standards Board (the “FASB”) for consideration of their applicability. ASUs not included in the disclosures in this report were assessed and determined to be either not applicable or are not expected to have a material impact on our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pronouncements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This update is intended to improve transparency of income tax disclosure by requiring consistent categories and greater disaggregation within the rate reconciliation and disaggregation of income taxes paid by jurisdiction. The amendments in this update are effective for annual periods beginning after December 15, 2024 with early adoption permitted. The amendments in this update should be applied on a prospective basis with retrospective application permitted. The Company is currently evaluating the impact of adopting this update on its consolidated financial statements and disclosures. However, we do not expect that the adoption of this guidance will have a material impact on our consolidated financial statements.</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t>
      </w:r>
      <w:r>
        <w:rPr>
          <w:rFonts w:ascii="Times New Roman;serif" w:hAnsi="Times New Roman;serif"/>
          <w:b w:val="false"/>
          <w:i/>
          <w:color w:val="000000"/>
          <w:sz w:val="20"/>
        </w:rPr>
        <w:t>Disaggregation of Income Statement Expenses</w:t>
      </w:r>
      <w:r>
        <w:rPr>
          <w:rFonts w:ascii="Times New Roman;serif" w:hAnsi="Times New Roman;serif"/>
          <w:b w:val="false"/>
          <w:color w:val="000000"/>
          <w:sz w:val="20"/>
        </w:rPr>
        <w:t>, which requires public companies to disclose, in the notes to financial statements, specified information about certain costs and expenses at each interim and annual reporting period. Public companies will be required to disclose the amounts related to purchases of inventory, employee compensation, depreciation, intangible asset amortization, and selling expenses. The amendments in this update are effective for fiscal years beginning after December 15, 2026, and interim reporting periods beginning after December 15, 2027, with early adoption permitted.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 - Credit Losses (Topic 326): Measurement of Credit Losses for Accounts Receivable and Contract Assets</w:t>
      </w:r>
      <w:r>
        <w:rPr>
          <w:rFonts w:ascii="Times New Roman;serif" w:hAnsi="Times New Roman;serif"/>
          <w:b w:val="false"/>
          <w:color w:val="000000"/>
          <w:sz w:val="20"/>
        </w:rPr>
        <w:t xml:space="preserve">. This update provides a practical expedient for entities estimating expected credit losses on current trade receivables and contract assets arising from revenue transactions accounted for under Topic 606. The practical expedient permits an entity to assume current conditions as of the balance sheet date will not change for the remaining life of the asset when developing a reasonable and supportable forecast as part of estimating expected credit losses. The amendments in this update are effective for interim and annual periods within fiscal years beginning after December 15, 2025, with early adoption permitted.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amendments in this update should be applied on a prospective basis. The Company is currently evaluating the impact of adopting the amendments in this update on its consolidated financial statements and disclosures.</w:t>
      </w:r>
    </w:p>
    <w:p>
      <w:pPr>
        <w:pStyle w:val="TextBody"/>
        <w:bidi w:val="0"/>
        <w:spacing w:lineRule="auto" w:line="288" w:before="120" w:after="283"/>
        <w:jc w:val="both"/>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 xml:space="preserve">Intangibles - Goodwill and Other Internal-Use Software (Subtopic 350-40): Targeted Improvements to the Accounting for Internal-Use Software. </w:t>
      </w:r>
      <w:r>
        <w:rPr>
          <w:rFonts w:ascii="Times New Roman;serif" w:hAnsi="Times New Roman;serif"/>
          <w:b w:val="false"/>
          <w:color w:val="000000"/>
          <w:sz w:val="20"/>
        </w:rPr>
        <w:t>This update modernizes the capitalization criteria for internal-use software by removing references to software development project stages so that the guidance is neutral to different software development methods. Therefore, under the guidance, software capitalization will begin when management has authorized and committed to funding the software project and when it is probable that the project will be completed and the software will be used to perform the function intended. The amendments in this update are effective for interim and annual periods within fiscal years beginning after December 15, 2027, with early adoption permitted. The Company is currently evaluating the impact of adopting the amendments in this update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3. Discontinued Operations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its marketing technology solutions met the criteria for discontinued operations reporting effective in the first quarter 2025 (see Note 2. Summary of Significant Accounting Policies). As such, the assets and liabilities of the disposal group are classified as held for sale on our unaudited condensed consolidated balance sheets as of September 30, 2025 and December 31, 2024. The results of operations of marketing technology solutions are presented as income (loss) from discontinued operations, net of income tax on the unaudited condensed consolidated statements of operations and comprehensive loss. We measured the assets and liabilities of the marketing technology disposal group at estimated fair value less cost to sell and recognized a gain of $2.1 million during the three months ended September 30, 2025, and a goodwill impairment charge of $6.9 million during the nine months ended September 30, 2025, which are included in (gain) loss on held for sale and impairments within discontinued operations on our unaudited condensed consolidated statements of operations and comprehensive loss.</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of marketing technology solutions reported as discontinued operations:</w:t>
      </w:r>
    </w:p>
    <w:tbl>
      <w:tblPr>
        <w:tblW w:w="10205" w:type="dxa"/>
        <w:jc w:val="left"/>
        <w:tblInd w:w="0" w:type="dxa"/>
        <w:tblLayout w:type="fixed"/>
        <w:tblCellMar>
          <w:top w:w="28" w:type="dxa"/>
          <w:left w:w="28" w:type="dxa"/>
          <w:bottom w:w="28" w:type="dxa"/>
          <w:right w:w="28" w:type="dxa"/>
        </w:tblCellMar>
      </w:tblPr>
      <w:tblGrid>
        <w:gridCol w:w="1900"/>
        <w:gridCol w:w="1516"/>
        <w:gridCol w:w="149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5"/>
      </w:tblGrid>
      <w:tr>
        <w:trPr/>
        <w:tc>
          <w:tcPr>
            <w:tcW w:w="1900"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4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held for sale and impairments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(loss) before income tax benefit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discontinued operations, net of income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assets and liabilities classified as held for sale on our condensed consolidated balance sheets were as follows:</w:t>
      </w:r>
    </w:p>
    <w:tbl>
      <w:tblPr>
        <w:tblW w:w="7573" w:type="dxa"/>
        <w:jc w:val="left"/>
        <w:tblInd w:w="0" w:type="dxa"/>
        <w:tblLayout w:type="fixed"/>
        <w:tblCellMar>
          <w:top w:w="28" w:type="dxa"/>
          <w:left w:w="28" w:type="dxa"/>
          <w:bottom w:w="28" w:type="dxa"/>
          <w:right w:w="28" w:type="dxa"/>
        </w:tblCellMar>
      </w:tblPr>
      <w:tblGrid>
        <w:gridCol w:w="1246"/>
        <w:gridCol w:w="1097"/>
        <w:gridCol w:w="1106"/>
        <w:gridCol w:w="109"/>
        <w:gridCol w:w="109"/>
        <w:gridCol w:w="109"/>
        <w:gridCol w:w="109"/>
        <w:gridCol w:w="109"/>
        <w:gridCol w:w="109"/>
        <w:gridCol w:w="109"/>
        <w:gridCol w:w="109"/>
        <w:gridCol w:w="109"/>
        <w:gridCol w:w="109"/>
        <w:gridCol w:w="109"/>
        <w:gridCol w:w="109"/>
        <w:gridCol w:w="264"/>
        <w:gridCol w:w="904"/>
        <w:gridCol w:w="136"/>
        <w:gridCol w:w="109"/>
        <w:gridCol w:w="109"/>
        <w:gridCol w:w="109"/>
        <w:gridCol w:w="230"/>
        <w:gridCol w:w="787"/>
        <w:gridCol w:w="168"/>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3"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51,711 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40,429 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40,930 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amount identified as valuation allowance in the above table is the amount necessary to reduce the carrying value of the marketing technology disposal group to estimated fair value less cost to sell as required by applicable accounting standards for discontinued operations measurement.</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non-cash items related to discontinued operations that are included in the accompanying statements of cash flows:</w:t>
      </w:r>
    </w:p>
    <w:tbl>
      <w:tblPr>
        <w:tblW w:w="10205" w:type="dxa"/>
        <w:jc w:val="left"/>
        <w:tblInd w:w="0" w:type="dxa"/>
        <w:tblLayout w:type="fixed"/>
        <w:tblCellMar>
          <w:top w:w="28" w:type="dxa"/>
          <w:left w:w="28" w:type="dxa"/>
          <w:bottom w:w="28" w:type="dxa"/>
          <w:right w:w="28" w:type="dxa"/>
        </w:tblCellMar>
      </w:tblPr>
      <w:tblGrid>
        <w:gridCol w:w="2026"/>
        <w:gridCol w:w="1770"/>
        <w:gridCol w:w="1780"/>
        <w:gridCol w:w="233"/>
        <w:gridCol w:w="45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02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5576"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assets held for sale and impairments</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4. Acquisitions and Dispositions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ZyraTalk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acquired 100% of the interest of Joblyt LLC, dba ZyraTalk (“ZyraTalk”), an AI-powered customer engagement solution that combines virtual assistant capabilities with agentic automation platform, for approximately $36.1 million in cash, not inclusive of an additional $6.5 million of contingent consideration to be paid over the next three years related to post-combination employment services. The acquisition helps to establish EverCommerce as an AI-driven innovator, beginning with near-term application in its Home and Field Services vertical, EverPro, and the Company plans to extend ZyraTalk into broader opportunities across its other verticals.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pPr>
      <w:r>
        <w:rPr>
          <w:rFonts w:ascii="Times New Roman;serif" w:hAnsi="Times New Roman;serif"/>
          <w:b w:val="false"/>
          <w:color w:val="000000"/>
          <w:sz w:val="20"/>
        </w:rPr>
        <w:t xml:space="preserve">The Company accounted for the acquisition as a business combination under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Accordingly, the Company recorded identifiable assets acquired and liabilities assumed at their acquisition date estimated fair values, with any excess consideration recognized as goodwill. Goodwill primarily represents the value associated with the assembled workforce and expected synergies subsumed into goodwill. The goodwill recognized as a result of the acquisition of ZyraTalk is deductible for income tax purposes.</w:t>
      </w:r>
    </w:p>
    <w:p>
      <w:pPr>
        <w:pStyle w:val="TextBody"/>
        <w:bidi w:val="0"/>
        <w:spacing w:lineRule="auto" w:line="288" w:before="120" w:after="283"/>
        <w:jc w:val="both"/>
        <w:rPr/>
      </w:pPr>
      <w:r>
        <w:rPr>
          <w:rFonts w:ascii="Times New Roman;serif" w:hAnsi="Times New Roman;serif"/>
          <w:b w:val="false"/>
          <w:color w:val="000000"/>
          <w:sz w:val="20"/>
        </w:rPr>
        <w:t xml:space="preserve">The Company has preliminarily measured the identifiable assets and liabilities assumed at their acquisition date estimated fair values separately from goodwill, which represent Level 3 fair value measurements as defined in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 The estimated fair values were determined by management using the assistance of third-party valuation specialists, and this evaluation is not yet final. The valuation methods used to determine the estimated fair value of intangible assets included the income approach---relief from royalty method for trademarks and developed technology with estimated useful lives of five years, and the income approach---multi period excess earnings method for customer relationships with an estimated useful life of 9 years. A number of assumptions and estimates were involved in the application of these valuation methods, including revenue forecasts, expected competition, costs of revenues, obsolescence, tax rates, capital spending, customer attrition rates, discount rates and working capital changes. Cash flow forecasts were generally based on pre-acquisition forecasts coupled with estimated revenues and cost synergies available to a market participant.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the acquisition is preliminary and subject to revision with estimated amounts related to working capital, the valuation of intangible assets and liabilities acquired, and provisional amounts related to tax and other items. Additional information that existed as of the acquisition date but at the time was unknown to the Company may become known to the Company during the remainder of the measurement period, which is not to exceed 12 months from the acquisition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financial results of ZyraTalk since the closing through September 30, 2025, were not material to the Company’s consolidated financial statements, nor were they material to the Company’s prior period consolidated results on a pro forma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estimated fair values of consideration transferred, assets acquired and liabilities assumed at the acquisition date.</w:t>
      </w:r>
    </w:p>
    <w:tbl>
      <w:tblPr>
        <w:tblW w:w="5427" w:type="dxa"/>
        <w:jc w:val="left"/>
        <w:tblInd w:w="0" w:type="dxa"/>
        <w:tblLayout w:type="fixed"/>
        <w:tblCellMar>
          <w:top w:w="28" w:type="dxa"/>
          <w:left w:w="28" w:type="dxa"/>
          <w:bottom w:w="28" w:type="dxa"/>
          <w:right w:w="28" w:type="dxa"/>
        </w:tblCellMar>
      </w:tblPr>
      <w:tblGrid>
        <w:gridCol w:w="1250"/>
        <w:gridCol w:w="1099"/>
        <w:gridCol w:w="1101"/>
        <w:gridCol w:w="109"/>
        <w:gridCol w:w="109"/>
        <w:gridCol w:w="109"/>
        <w:gridCol w:w="320"/>
        <w:gridCol w:w="1096"/>
        <w:gridCol w:w="23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15,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trade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Intangible-definite lived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36,053 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Fitness Solutions Disposition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13, 2024, the Company entered into definitive sale and purchase agreements to sell its fitness solutions to Jonas Fitness Portfolio Holdco Inc. (“Jonas Software”). The sale of American Service Finance LLC., ASF Payment Solutions ULC and Technique Fitness Inc. (collectively, “North American Fitness”), closed simultaneously with signing. The sale of EverCommerce UK, including wholly-owned subsidiaries Fitii UK (MyPTHub and MyPTHub LLC) and ClubWise UK and its wholly-owned subsidiary ClubWise Australia (collectively, “UK Fitness” and together with North American Fitness, “Fitness Solutions”), closed July 1, 2024. The divestiture did not qualify for discontinued operations. As a result, our unaudited condensed consolidated financial statements include the results of North American Fitness and UK Fitness for all periods through the applicable date of sale. During the three and nine months ended September 30, 2024, the Company recognized losses of $0.1 million and $5.0 million, respectively, related to the sale of Fitness Solutions, which are included in loss on held for sale and impairments on our unaudited condensed consolidated statements of operations and comprehensive loss. Additionally, the Company recognized a $6.4 million goodwill impairment charge representing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allocated goodwill to Fitness Solutions, which is included in loss on held for sale and impairments on the unaudited condensed consolidated statements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Disaggregation of Revenue</w:t>
      </w:r>
    </w:p>
    <w:p>
      <w:pPr>
        <w:pStyle w:val="TextBody"/>
        <w:bidi w:val="0"/>
        <w:spacing w:lineRule="auto" w:line="288" w:before="12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disaggregation of our revenue from contracts with customers by revenue recognition pattern and geographical market:</w:t>
      </w:r>
    </w:p>
    <w:tbl>
      <w:tblPr>
        <w:tblW w:w="10205" w:type="dxa"/>
        <w:jc w:val="left"/>
        <w:tblInd w:w="0" w:type="dxa"/>
        <w:tblLayout w:type="fixed"/>
        <w:tblCellMar>
          <w:top w:w="28" w:type="dxa"/>
          <w:left w:w="28" w:type="dxa"/>
          <w:bottom w:w="28" w:type="dxa"/>
          <w:right w:w="28" w:type="dxa"/>
        </w:tblCellMar>
      </w:tblPr>
      <w:tblGrid>
        <w:gridCol w:w="1665"/>
        <w:gridCol w:w="1460"/>
        <w:gridCol w:w="146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6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pattern of recognition (timing of transfer of services):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Point in time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409,966 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geographical market: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371,305 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color w:val="000000"/>
          <w:sz w:val="20"/>
        </w:rPr>
        <w:t>Contract Balances</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contracts from customers as of:</w:t>
      </w:r>
    </w:p>
    <w:tbl>
      <w:tblPr>
        <w:tblW w:w="5080" w:type="dxa"/>
        <w:jc w:val="left"/>
        <w:tblInd w:w="0" w:type="dxa"/>
        <w:tblLayout w:type="fixed"/>
        <w:tblCellMar>
          <w:top w:w="28" w:type="dxa"/>
          <w:left w:w="28" w:type="dxa"/>
          <w:bottom w:w="28" w:type="dxa"/>
          <w:right w:w="28" w:type="dxa"/>
        </w:tblCellMar>
      </w:tblPr>
      <w:tblGrid>
        <w:gridCol w:w="857"/>
        <w:gridCol w:w="754"/>
        <w:gridCol w:w="758"/>
        <w:gridCol w:w="243"/>
        <w:gridCol w:w="831"/>
        <w:gridCol w:w="125"/>
        <w:gridCol w:w="109"/>
        <w:gridCol w:w="109"/>
        <w:gridCol w:w="109"/>
        <w:gridCol w:w="230"/>
        <w:gridCol w:w="787"/>
        <w:gridCol w:w="168"/>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22,107 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i/>
          <w:color w:val="000000"/>
          <w:sz w:val="20"/>
        </w:rPr>
        <w:t xml:space="preserve">Accounts receivable, net: </w:t>
      </w:r>
      <w:r>
        <w:rPr>
          <w:rFonts w:ascii="Times New Roman;serif" w:hAnsi="Times New Roman;serif"/>
          <w:b w:val="false"/>
          <w:color w:val="000000"/>
          <w:sz w:val="20"/>
        </w:rPr>
        <w:t xml:space="preserve">Accounts receivable, net of allowance for expected credit losses, represent rights to consideration in exchange for products or services that have been transferred by us, when payment is unconditional and only the passage of time is required before payment is due. </w:t>
      </w:r>
    </w:p>
    <w:p>
      <w:pPr>
        <w:pStyle w:val="TextBody"/>
        <w:bidi w:val="0"/>
        <w:spacing w:lineRule="auto" w:line="288" w:before="120" w:after="283"/>
        <w:jc w:val="both"/>
        <w:rPr/>
      </w:pPr>
      <w:r>
        <w:rPr>
          <w:rFonts w:ascii="Times New Roman;serif" w:hAnsi="Times New Roman;serif"/>
          <w:b w:val="false"/>
          <w:i/>
          <w:color w:val="000000"/>
          <w:sz w:val="20"/>
        </w:rPr>
        <w:t xml:space="preserve">Contract assets: </w:t>
      </w:r>
      <w:r>
        <w:rPr>
          <w:rFonts w:ascii="Times New Roman;serif" w:hAnsi="Times New Roman;serif"/>
          <w:b w:val="false"/>
          <w:color w:val="000000"/>
          <w:sz w:val="20"/>
        </w:rPr>
        <w:t xml:space="preserve">Contract assets represent rights to consideration in exchange for products or services that have been transferred (i.e., the performance obligation or portion of the performance obligation has been satisfied), but payment is conditional on something other than the passage of time. These amounts typically relate to contracts with the suppliers within our group purchasing programs for which payment is received at least one quarter in arrears from the service period. </w:t>
      </w:r>
      <w:r>
        <w:rPr>
          <w:rFonts w:ascii="Times New Roman;serif" w:hAnsi="Times New Roman;serif"/>
          <w:b w:val="false"/>
          <w:color w:val="000000"/>
          <w:sz w:val="20"/>
          <w:shd w:fill="FFFFFF" w:val="clear"/>
        </w:rPr>
        <w:t xml:space="preserve">They also relate to contracts that </w:t>
      </w:r>
      <w:r>
        <w:rPr>
          <w:rFonts w:ascii="Times New Roman;serif" w:hAnsi="Times New Roman;serif"/>
          <w:b w:val="false"/>
          <w:color w:val="000000"/>
          <w:sz w:val="20"/>
        </w:rPr>
        <w:t>include on-premise licenses and professional services</w:t>
      </w:r>
      <w:r>
        <w:rPr>
          <w:color w:val="000000"/>
        </w:rPr>
        <w:t xml:space="preserve"> </w:t>
      </w:r>
      <w:r>
        <w:rPr>
          <w:rFonts w:ascii="Times New Roman;serif" w:hAnsi="Times New Roman;serif"/>
          <w:b w:val="false"/>
          <w:color w:val="000000"/>
          <w:sz w:val="20"/>
        </w:rPr>
        <w:t>where the right to payment is not present until completion of the contract or achievement of specified milestones and the fair value of products or services transferred exceed this constraint.</w:t>
      </w:r>
    </w:p>
    <w:p>
      <w:pPr>
        <w:pStyle w:val="TextBody"/>
        <w:bidi w:val="0"/>
        <w:spacing w:lineRule="auto" w:line="288" w:before="120" w:after="283"/>
        <w:jc w:val="left"/>
        <w:rPr/>
      </w:pPr>
      <w:r>
        <w:rPr>
          <w:rFonts w:ascii="Times New Roman;serif" w:hAnsi="Times New Roman;serif"/>
          <w:b w:val="false"/>
          <w:i/>
          <w:color w:val="000000"/>
          <w:sz w:val="20"/>
        </w:rPr>
        <w:t>Contract liabilities</w:t>
      </w:r>
      <w:r>
        <w:rPr>
          <w:rFonts w:ascii="Times New Roman;serif" w:hAnsi="Times New Roman;serif"/>
          <w:b w:val="false"/>
          <w:color w:val="000000"/>
          <w:sz w:val="20"/>
        </w:rPr>
        <w:t xml:space="preserve">: Contract liabilities, or deferred revenue, represent our obligation to transfer products or services to a customer for which consideration has been received in advance of the satisfaction of performance obligations. Long-term deferred revenue is included within other non-current liabilities on the unaudited condensed consolidated balance sheets. Revenue recognized from the contract liability balance at December 31, 2024 was $20.8 million for the nine months ended September 30, 2025. </w:t>
      </w:r>
    </w:p>
    <w:p>
      <w:pPr>
        <w:pStyle w:val="TextBody"/>
        <w:bidi w:val="0"/>
        <w:spacing w:lineRule="auto" w:line="288" w:before="120" w:after="283"/>
        <w:jc w:val="both"/>
        <w:rPr/>
      </w:pPr>
      <w:r>
        <w:rPr>
          <w:rFonts w:ascii="Times New Roman;serif" w:hAnsi="Times New Roman;serif"/>
          <w:b w:val="false"/>
          <w:i/>
          <w:color w:val="000000"/>
          <w:sz w:val="20"/>
        </w:rPr>
        <w:t>Customer deposits</w:t>
      </w:r>
      <w:r>
        <w:rPr>
          <w:rFonts w:ascii="Times New Roman;serif" w:hAnsi="Times New Roman;serif"/>
          <w:b w:val="false"/>
          <w:color w:val="000000"/>
          <w:sz w:val="20"/>
        </w:rPr>
        <w:t>: Customer deposits relate to payments received in advance for contracts, which allow the customer to terminate a contract and receive a pro rata refund for the unused portion of payments received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Activity in our allowance for expected credit losses is as follows as of:</w:t>
      </w:r>
    </w:p>
    <w:tbl>
      <w:tblPr>
        <w:tblW w:w="7435" w:type="dxa"/>
        <w:jc w:val="left"/>
        <w:tblInd w:w="0" w:type="dxa"/>
        <w:tblLayout w:type="fixed"/>
        <w:tblCellMar>
          <w:top w:w="28" w:type="dxa"/>
          <w:left w:w="28" w:type="dxa"/>
          <w:bottom w:w="28" w:type="dxa"/>
          <w:right w:w="28" w:type="dxa"/>
        </w:tblCellMar>
      </w:tblPr>
      <w:tblGrid>
        <w:gridCol w:w="1668"/>
        <w:gridCol w:w="1464"/>
        <w:gridCol w:w="1473"/>
        <w:gridCol w:w="109"/>
        <w:gridCol w:w="109"/>
        <w:gridCol w:w="123"/>
        <w:gridCol w:w="123"/>
        <w:gridCol w:w="238"/>
        <w:gridCol w:w="697"/>
        <w:gridCol w:w="123"/>
        <w:gridCol w:w="109"/>
        <w:gridCol w:w="109"/>
        <w:gridCol w:w="109"/>
        <w:gridCol w:w="211"/>
        <w:gridCol w:w="616"/>
        <w:gridCol w:w="154"/>
      </w:tblGrid>
      <w:tr>
        <w:trPr/>
        <w:tc>
          <w:tcPr>
            <w:tcW w:w="1668"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beginning of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Disposition of Fitness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Transfer to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expected credit losses,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Contracts that include 30-day termination rights are considered to be contracts with a term of one month and are therefore excluded from remaining performance obligations. Remaining performance obligations generally relate to those which are stand-ready in nature, as found within the subscription revenue streams. The aggregate amount of transaction consideration allocated to remaining performance obligations as of September 30, 2025 was $19.3 million. The Company expects to recognize approximately 62% of its remaining performance obligations as revenue within the next year, 30% of its remaining performance obligations as revenue the subsequent year, 6% of its remaining performance obligations as revenue in the third year, and the remainder during the two-year period thereafter.</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Cost to Obtain and Fulfill a Contract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Assets resulting from costs to obtain contracts are included within prepaid expenses and other current assets for short-term balances and other non-current assets for long-term balances on the Company’s unaudited condensed consolidated balance sheets. The costs to obtain contracts are amortized over five years, which corresponds with the useful life of the related technology. Short-term assets were $9.9 million and $8.9 million at September 30, 2025 and December 31, 2024, respectively, and long-term assets were $16.1 million and $16.0 million at September 30, 2025 and December 31, 2024, respectively. The Company recorded amortization expense within sales and marketing on the unaudited condensed consolidated statements of operations and comprehensive loss of $1.5 million and $1.3 million for the three months ended September 30, 2025 and 2024, respectively, and $4.4 million and $3.9 million for the nine months ended September 30, 2025 and 2024, respectively. The Company recorded amortization expense within cost of revenues on the unaudited condensed consolidated statements of operations and comprehensive loss of $1.0 million and $0.8 million for the three months ended September 30, 2025 and 2024, respectively, and $2.8 million and $2.2 million for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6. Goodwill</w: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activity consisted of the following for the nine months ended September 30, 2025 (in thousands):</w:t>
      </w:r>
    </w:p>
    <w:tbl>
      <w:tblPr>
        <w:tblW w:w="5751" w:type="dxa"/>
        <w:jc w:val="left"/>
        <w:tblInd w:w="0" w:type="dxa"/>
        <w:tblLayout w:type="fixed"/>
        <w:tblCellMar>
          <w:top w:w="28" w:type="dxa"/>
          <w:left w:w="28" w:type="dxa"/>
          <w:bottom w:w="28" w:type="dxa"/>
          <w:right w:w="28" w:type="dxa"/>
        </w:tblCellMar>
      </w:tblPr>
      <w:tblGrid>
        <w:gridCol w:w="1653"/>
        <w:gridCol w:w="1452"/>
        <w:gridCol w:w="1455"/>
        <w:gridCol w:w="211"/>
        <w:gridCol w:w="826"/>
        <w:gridCol w:w="154"/>
      </w:tblGrid>
      <w:tr>
        <w:trPr/>
        <w:tc>
          <w:tcPr>
            <w:tcW w:w="165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893,970 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 at September 30,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Goodwill totaling $16.3 million relating to marketing technology solutions was reclassified to assets held for sale as of September 30, 2025. The marketing technology solutions goodwill amount was included in the determination of the impairment charge recorded during the three and nine months ended September 30, 2025 to adjust the carrying amount of the disposal group’s assets to its estimated fair value less selling costs, which is included in accumulated impairment losses. Refer to Note 3. Discontinued Operations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fourth quarter of 2024, in conjunction with our review of strategic alternatives for our marketing technology solutions, the Company evaluated the recoverability of our marketing technology reporting unit and determined that the estimated fair value was insufficient to recover the net carrying value of the reporting unit resulting in an impairment charge of approximately $28.1 million during the year ended December 31, 2024, which is included in accumulated impairment losses.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definitive sale and purchase agreements to sell our fitness solutions, we tested the goodwill balance for impairment as of March 31, 2024 (see Note 4. Acquisitions and Dispositions). During the nine months ended September 30, 2024, we recognized a $6.4 million goodwill impairment charge representing the allocated goodwill to Fitness Solutions, which is included in loss on held for sale and impairments on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7. Intangible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515,810 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647,711 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741" w:type="dxa"/>
        <w:jc w:val="left"/>
        <w:tblInd w:w="0" w:type="dxa"/>
        <w:tblLayout w:type="fixed"/>
        <w:tblCellMar>
          <w:top w:w="28" w:type="dxa"/>
          <w:left w:w="28" w:type="dxa"/>
          <w:bottom w:w="28" w:type="dxa"/>
          <w:right w:w="28" w:type="dxa"/>
        </w:tblCellMar>
      </w:tblPr>
      <w:tblGrid>
        <w:gridCol w:w="787"/>
        <w:gridCol w:w="692"/>
        <w:gridCol w:w="695"/>
        <w:gridCol w:w="314"/>
        <w:gridCol w:w="314"/>
        <w:gridCol w:w="316"/>
        <w:gridCol w:w="109"/>
        <w:gridCol w:w="109"/>
        <w:gridCol w:w="109"/>
        <w:gridCol w:w="240"/>
        <w:gridCol w:w="941"/>
        <w:gridCol w:w="124"/>
        <w:gridCol w:w="109"/>
        <w:gridCol w:w="109"/>
        <w:gridCol w:w="109"/>
        <w:gridCol w:w="211"/>
        <w:gridCol w:w="826"/>
        <w:gridCol w:w="109"/>
        <w:gridCol w:w="109"/>
        <w:gridCol w:w="109"/>
        <w:gridCol w:w="109"/>
        <w:gridCol w:w="211"/>
        <w:gridCol w:w="82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Useful</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Book</w:t>
              <w:br/>
              <w:t>Value</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511,374 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33,881 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Non-compete agreements</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641,046 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$13.2 million and $16.8 million for the three months ended September 30, 2025 and 2024, respectively, and $40.4 million and $51.1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Note 8.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as of:</w:t>
      </w:r>
    </w:p>
    <w:tbl>
      <w:tblPr>
        <w:tblW w:w="5621" w:type="dxa"/>
        <w:jc w:val="left"/>
        <w:tblInd w:w="0" w:type="dxa"/>
        <w:tblLayout w:type="fixed"/>
        <w:tblCellMar>
          <w:top w:w="28" w:type="dxa"/>
          <w:left w:w="28" w:type="dxa"/>
          <w:bottom w:w="28" w:type="dxa"/>
          <w:right w:w="28" w:type="dxa"/>
        </w:tblCellMar>
      </w:tblPr>
      <w:tblGrid>
        <w:gridCol w:w="1054"/>
        <w:gridCol w:w="925"/>
        <w:gridCol w:w="931"/>
        <w:gridCol w:w="243"/>
        <w:gridCol w:w="831"/>
        <w:gridCol w:w="125"/>
        <w:gridCol w:w="109"/>
        <w:gridCol w:w="109"/>
        <w:gridCol w:w="109"/>
        <w:gridCol w:w="255"/>
        <w:gridCol w:w="744"/>
        <w:gridCol w:w="186"/>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24,748 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(18,662)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expense was $0.6 million and $0.7 million for the three months ended September 30, 2025 and 2024, respectively, and $1.9 million and $2.5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9. Capitalized Software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 consisted of the following as of:</w:t>
      </w:r>
    </w:p>
    <w:tbl>
      <w:tblPr>
        <w:tblW w:w="5411" w:type="dxa"/>
        <w:jc w:val="left"/>
        <w:tblInd w:w="0" w:type="dxa"/>
        <w:tblLayout w:type="fixed"/>
        <w:tblCellMar>
          <w:top w:w="28" w:type="dxa"/>
          <w:left w:w="28" w:type="dxa"/>
          <w:bottom w:w="28" w:type="dxa"/>
          <w:right w:w="28" w:type="dxa"/>
        </w:tblCellMar>
      </w:tblPr>
      <w:tblGrid>
        <w:gridCol w:w="978"/>
        <w:gridCol w:w="858"/>
        <w:gridCol w:w="864"/>
        <w:gridCol w:w="243"/>
        <w:gridCol w:w="831"/>
        <w:gridCol w:w="125"/>
        <w:gridCol w:w="109"/>
        <w:gridCol w:w="109"/>
        <w:gridCol w:w="109"/>
        <w:gridCol w:w="230"/>
        <w:gridCol w:w="787"/>
        <w:gridCol w:w="168"/>
      </w:tblGrid>
      <w:tr>
        <w:trPr/>
        <w:tc>
          <w:tcPr>
            <w:tcW w:w="97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68,057 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(34,275)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(26,462)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52,913 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41,595 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Amortization expense was $2.9 million and $2.5 million for the three months ended September 30, 2025 and 2024, respectively, and $7.8 million and $7.2 million for the nine months ended September 30, 2025 and 2024, respectively. During the ordinary course of business, the Company may determine that certain capitalized features of its software will no longer be used either internally or to deliver value to its customers. The Company recorded a charge of $0.3 million and $0.2 million for the three months ended September 30, 2025 and 2024, and $1.1 million and $0.6 million for the nine months ended September 30, 2025 and 2024, respectively, related to capitalized costs associated with abandoned projects, which are included in general and administrative expense on the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10. Leases</w:t>
      </w:r>
    </w:p>
    <w:p>
      <w:pPr>
        <w:pStyle w:val="TextBody"/>
        <w:bidi w:val="0"/>
        <w:spacing w:lineRule="auto" w:line="288" w:before="120" w:after="283"/>
        <w:jc w:val="both"/>
        <w:rPr/>
      </w:pPr>
      <w:r>
        <w:rPr>
          <w:rFonts w:ascii="Times New Roman;serif" w:hAnsi="Times New Roman;serif"/>
          <w:b w:val="false"/>
          <w:color w:val="000000"/>
          <w:sz w:val="20"/>
        </w:rPr>
        <w:t>The Company leases real estate from unrelated parties under operating lease agreements that have initial terms ranging from one year to 9 years. Some leases include one or more options to renew, generally at our sole discretion, of</w:t>
      </w:r>
      <w:r>
        <w:rPr>
          <w:color w:val="000000"/>
          <w:shd w:fill="FFFFFF" w:val="clear"/>
        </w:rPr>
        <w:t xml:space="preserve"> </w:t>
      </w:r>
      <w:r>
        <w:rPr>
          <w:rFonts w:ascii="Times New Roman;serif" w:hAnsi="Times New Roman;serif"/>
          <w:b w:val="false"/>
          <w:color w:val="000000"/>
          <w:sz w:val="20"/>
          <w:shd w:fill="FFFFFF" w:val="clear"/>
        </w:rPr>
        <w:t xml:space="preserve">five </w:t>
      </w:r>
      <w:r>
        <w:rPr>
          <w:rFonts w:ascii="Times New Roman;serif" w:hAnsi="Times New Roman;serif"/>
          <w:b w:val="false"/>
          <w:color w:val="000000"/>
          <w:sz w:val="20"/>
        </w:rPr>
        <w:t xml:space="preserve">additional years each.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jc w:val="both"/>
        <w:rPr/>
      </w:pPr>
      <w:r>
        <w:rPr/>
      </w:r>
    </w:p>
    <w:tbl>
      <w:tblPr>
        <w:tblW w:w="6569" w:type="dxa"/>
        <w:jc w:val="left"/>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ceased use of certain leased premises and subleased certain facilities resulting in impairment charges of $0.4 million during the nine months ended September 30, 2024 to impair the right-of-use lease assets to their fair value, which are included in loss on held for sale and impairments on our unaudited condensed consolidated statement of operations and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1968"/>
        <w:gridCol w:w="1730"/>
        <w:gridCol w:w="173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1968"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included in other non-current assets, accrued expenses and other and other non-current liabilities on the unaudited condensed consolidated balance sheets, related to leases is as follows:</w:t>
      </w:r>
    </w:p>
    <w:tbl>
      <w:tblPr>
        <w:tblW w:w="5785" w:type="dxa"/>
        <w:jc w:val="left"/>
        <w:tblInd w:w="0" w:type="dxa"/>
        <w:tblLayout w:type="fixed"/>
        <w:tblCellMar>
          <w:top w:w="28" w:type="dxa"/>
          <w:left w:w="28" w:type="dxa"/>
          <w:bottom w:w="28" w:type="dxa"/>
          <w:right w:w="28" w:type="dxa"/>
        </w:tblCellMar>
      </w:tblPr>
      <w:tblGrid>
        <w:gridCol w:w="1113"/>
        <w:gridCol w:w="978"/>
        <w:gridCol w:w="983"/>
        <w:gridCol w:w="243"/>
        <w:gridCol w:w="831"/>
        <w:gridCol w:w="125"/>
        <w:gridCol w:w="109"/>
        <w:gridCol w:w="109"/>
        <w:gridCol w:w="109"/>
        <w:gridCol w:w="230"/>
        <w:gridCol w:w="787"/>
        <w:gridCol w:w="168"/>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16,296 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the weighted average remaining lease term for operating leases was 4.32 years and 5.15 years, respectively, and the weighted average discount rate was 5.2%.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Future undiscounted cash flows for each of the next five years and thereafter and reconciliation to the lease liabilities recognized on the balance sheet as of September 30, 2025 is as follows (in thousands):</w:t>
      </w:r>
    </w:p>
    <w:p>
      <w:pPr>
        <w:pStyle w:val="TextBody"/>
        <w:bidi w:val="0"/>
        <w:spacing w:before="0" w:after="0"/>
        <w:jc w:val="both"/>
        <w:rPr/>
      </w:pPr>
      <w:r>
        <w:rPr/>
      </w:r>
    </w:p>
    <w:tbl>
      <w:tblPr>
        <w:tblW w:w="4251" w:type="dxa"/>
        <w:jc w:val="left"/>
        <w:tblInd w:w="0" w:type="dxa"/>
        <w:tblLayout w:type="fixed"/>
        <w:tblCellMar>
          <w:top w:w="28" w:type="dxa"/>
          <w:left w:w="28" w:type="dxa"/>
          <w:bottom w:w="28" w:type="dxa"/>
          <w:right w:w="28" w:type="dxa"/>
        </w:tblCellMar>
      </w:tblPr>
      <w:tblGrid>
        <w:gridCol w:w="1146"/>
        <w:gridCol w:w="1006"/>
        <w:gridCol w:w="1013"/>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Year ended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11.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w:t>
      </w:r>
    </w:p>
    <w:tbl>
      <w:tblPr>
        <w:tblW w:w="10205" w:type="dxa"/>
        <w:jc w:val="left"/>
        <w:tblInd w:w="0" w:type="dxa"/>
        <w:tblLayout w:type="fixed"/>
        <w:tblCellMar>
          <w:top w:w="28" w:type="dxa"/>
          <w:left w:w="28" w:type="dxa"/>
          <w:bottom w:w="28" w:type="dxa"/>
          <w:right w:w="28" w:type="dxa"/>
        </w:tblCellMar>
      </w:tblPr>
      <w:tblGrid>
        <w:gridCol w:w="2724"/>
        <w:gridCol w:w="2393"/>
        <w:gridCol w:w="2405"/>
        <w:gridCol w:w="214"/>
        <w:gridCol w:w="838"/>
        <w:gridCol w:w="110"/>
        <w:gridCol w:w="109"/>
        <w:gridCol w:w="109"/>
        <w:gridCol w:w="109"/>
        <w:gridCol w:w="211"/>
        <w:gridCol w:w="826"/>
        <w:gridCol w:w="157"/>
      </w:tblGrid>
      <w:tr>
        <w:trPr/>
        <w:tc>
          <w:tcPr>
            <w:tcW w:w="2724"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7522"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Term note with interest payable monthly, interest rate at Adjusted SOFR, plus an applicable margin of 2.25% (6.41340% at September 30, 2025) quarterly principal payments of 0.25% of original principal balance with balloon payment due July 2031 </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Revolver with interest payable monthly, interest rate at Adjusted SOFR, plus an applicable margin of 2.00% (6.12920% at September 30, 2025), and outstanding balance due July 2030</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debt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532,125 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on long-term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on long-term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524,611 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527,942 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519,111 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522,442 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 credit agreement, as amended, that provides for one term loan in the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13, 2024, the Company entered into an amendment (the “2024 Amendment”) to the Credit Facilities to reduce the applicable margin and remove the credit spread adjustment from the existing Term Loan in their entirety in an aggregate principal amount of $533.5 million. Following the 2024 Amendment, the Term Loan bears interest, at the borrower’s election, at (x) a forward-looking term rate based upon the secured overnight financing rate (“SOFR”) plus an applicable margin of 2.50%, with a minimum forward-looking SOFR rate 0.50% or (y) Alternative Base Rate (“ABR”) plus an applicable margin of 1.50%, with a minimum ABR of 1.50%, in each case, with no step-downs. The credit spread adjustment was removed in connection with the 2024 Amendment. The refinanced Term Loan priced at par and refinanced the existing term loan outstanding under the Credit Agreement immediately prior to giving effect to the 2024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as of June 10, 2025, the Company entered into an additional amendment to the Credit Facilities to reduce the commitments outstanding under the Revolver, extend the maturity of a portion of such commitments and reduce the applicable margin with respect to extended revolving loans. As a result of the amendment, commitments under the Revolver were reduced to from $190.0 million to $155.0 million. With respect to $125.0 million of such commitments, (i) the maturity date was extended to January 6, 2028 and (ii) the applicable margin for (x) Term SOFR loans was reduced to 2.50% and (y) Alternate Base Rate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an amendment to the Credit Facilities (the “2025 Amendment”) to, among other things, refinance the existing Term Loan in an aggregate principal amount of $529.4 million. The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Alternate Base Rate (as defined in the Credit Agreement) plus an applicable margin of 1.25%, with a minimum ABR of 1.50%, in each case, with no step-downs. The refinanced Term Loan priced at par and refinanced the existing term loan outstanding under the Credit Agreement immediately prior to giving effect to the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determines the fair value of long-term debt based on trading prices for its debt if available. As of September 30, 2025, the Company obtained trading prices for the term notes outstanding. However, as such trading prices require significant unobservable inputs to the pricing model, such instruments are classified as Level 2. The fair value amounts were approximately $529.3 million and $537.4 million as of September 30, 2025 and December 31, 2024,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the following interest rate swap agreements in connection with its Credit Facilities to convert a portion of the floating rate component of the Term Loan from a floating rate to fixed rate:</w:t>
      </w:r>
    </w:p>
    <w:tbl>
      <w:tblPr>
        <w:tblW w:w="10205" w:type="dxa"/>
        <w:jc w:val="left"/>
        <w:tblInd w:w="0" w:type="dxa"/>
        <w:tblLayout w:type="fixed"/>
        <w:tblCellMar>
          <w:top w:w="28" w:type="dxa"/>
          <w:left w:w="28" w:type="dxa"/>
          <w:bottom w:w="28" w:type="dxa"/>
          <w:right w:w="28" w:type="dxa"/>
        </w:tblCellMar>
      </w:tblPr>
      <w:tblGrid>
        <w:gridCol w:w="409"/>
        <w:gridCol w:w="341"/>
        <w:gridCol w:w="345"/>
        <w:gridCol w:w="109"/>
        <w:gridCol w:w="109"/>
        <w:gridCol w:w="109"/>
        <w:gridCol w:w="547"/>
        <w:gridCol w:w="504"/>
        <w:gridCol w:w="506"/>
        <w:gridCol w:w="109"/>
        <w:gridCol w:w="109"/>
        <w:gridCol w:w="109"/>
        <w:gridCol w:w="461"/>
        <w:gridCol w:w="461"/>
        <w:gridCol w:w="463"/>
        <w:gridCol w:w="109"/>
        <w:gridCol w:w="109"/>
        <w:gridCol w:w="109"/>
        <w:gridCol w:w="308"/>
        <w:gridCol w:w="308"/>
        <w:gridCol w:w="593"/>
        <w:gridCol w:w="109"/>
        <w:gridCol w:w="109"/>
        <w:gridCol w:w="109"/>
        <w:gridCol w:w="211"/>
        <w:gridCol w:w="826"/>
        <w:gridCol w:w="109"/>
        <w:gridCol w:w="109"/>
        <w:gridCol w:w="109"/>
        <w:gridCol w:w="109"/>
        <w:gridCol w:w="479"/>
        <w:gridCol w:w="1381"/>
        <w:gridCol w:w="318"/>
      </w:tblGrid>
      <w:tr>
        <w:trPr/>
        <w:tc>
          <w:tcPr>
            <w:tcW w:w="4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tc>
      </w:tr>
      <w:tr>
        <w:trPr/>
        <w:tc>
          <w:tcPr>
            <w:tcW w:w="10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Initial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Second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5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Swap Agreements are accounted for as derivatives whereby the fair value of each contract is reported within the unaudited condensed consolidated balance sheets, and related gains or losses resulting from changes in the fair value are reported in interest and other expense, net, on the unaudited condensed consolidated statements of operations and comprehensive loss. As of September 30, 2025, the fair value of the Initial and Second Swaps were a liability of $4.6 million, while the fair value of the Third Swap was an asset of $0.1 million, which are reported in other non-current liabilities and other non-current assets, respectively, on the unaudited condensed consolidated balance sheets. The related gains and losses resulting from changes in fair value was losses of $0.04 million and $8.1 million during the three months ended September 30, 2025 and 2024, respectively, and losses of $6.0 million and $2.3 million during the nine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Credit Facilities are subject to certain financial and nonfinancial covenants and are secured by substantially all assets of the Company. As of September 30, 2025, the Company was in compliance with all of its covenants.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Aggregate maturities of the Company’s debt for the years ending December 31 are as follows as of September 30, 2025 (in thousands):</w:t>
      </w:r>
    </w:p>
    <w:tbl>
      <w:tblPr>
        <w:tblW w:w="5331" w:type="dxa"/>
        <w:jc w:val="left"/>
        <w:tblInd w:w="0" w:type="dxa"/>
        <w:tblLayout w:type="fixed"/>
        <w:tblCellMar>
          <w:top w:w="28" w:type="dxa"/>
          <w:left w:w="28" w:type="dxa"/>
          <w:bottom w:w="28" w:type="dxa"/>
          <w:right w:w="28" w:type="dxa"/>
        </w:tblCellMar>
      </w:tblPr>
      <w:tblGrid>
        <w:gridCol w:w="1502"/>
        <w:gridCol w:w="1316"/>
        <w:gridCol w:w="1322"/>
        <w:gridCol w:w="211"/>
        <w:gridCol w:w="82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aggregate maturities of the Company’s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12.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6, 2021, the Company filed an Amended and Restated Certificate of Incorporation with the Secretary of State of the State of Delaware to authorize the issuance up to 2,050,000,000 shares, par value $0.00001 per share, consisting of 2,000,000,000 shares of common stock and 50,000,000 shares of preferred stock. </w:t>
      </w:r>
    </w:p>
    <w:p>
      <w:pPr>
        <w:pStyle w:val="TextBody"/>
        <w:bidi w:val="0"/>
        <w:spacing w:lineRule="auto" w:line="288" w:before="120" w:after="283"/>
        <w:jc w:val="both"/>
        <w:rPr/>
      </w:pPr>
      <w:r>
        <w:rPr>
          <w:rFonts w:ascii="Times New Roman;serif" w:hAnsi="Times New Roman;serif"/>
          <w:b w:val="false"/>
          <w:color w:val="000000"/>
          <w:sz w:val="20"/>
        </w:rPr>
        <w:t>On June 14, 2022, our Board approved a stock repurchase program (as subsequently amended, the “Repurchase Program”) wi</w:t>
      </w:r>
      <w:r>
        <w:rPr>
          <w:rFonts w:ascii="Times New Roman;serif" w:hAnsi="Times New Roman;serif"/>
          <w:b w:val="false"/>
          <w:color w:val="000000"/>
          <w:sz w:val="20"/>
          <w:shd w:fill="FFFFFF" w:val="clear"/>
        </w:rPr>
        <w:t xml:space="preserve">th authorization to purchase up to $50.0 million in shares of the Company’s common stock through the expiration of the program on December 21, 2022. </w:t>
      </w:r>
      <w:r>
        <w:rPr>
          <w:rFonts w:ascii="Times New Roman;serif" w:hAnsi="Times New Roman;serif"/>
          <w:b w:val="false"/>
          <w:color w:val="000000"/>
          <w:sz w:val="20"/>
        </w:rPr>
        <w:t>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2.6 million and 5.7 million shares of common stock pursuant to the Repurchase Program for $29.1 million and $60.9 million including transaction fees and taxes, during the three and nine months ended September 30, 2025, respectively. As of September 30, 2025, $22.3 million remained available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13. Stock-Based Compensation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Initial Public Offering (“IPO”), the Company’s Board adopted, and the Company’s stockholders approved, the 2021 Incentive Award Plan (the “2021 Plan”), which became effective immediately prior to the effectiveness of the registration statement for the Company’s IPO and, as a result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provided that no more than 22,000,000 shares may be issued upon the exercise of incentive stock options. Based on the Company’s outstanding shares of common stock as of December 31, 2024, as of January 1, 2025 the number of shares reserved for issuance under the 2021 Plan increased by 5.5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IPO, the Company’s Board adopted the 2021 Employee Stock Purchase Plan (the “ESPP”). For more information on the ESPP, refer to Note 12. Stock-Based Compensation in the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RSU and stock option activity for the nine months ended September 30, 2025:</w:t>
      </w:r>
    </w:p>
    <w:tbl>
      <w:tblPr>
        <w:tblW w:w="5584" w:type="dxa"/>
        <w:jc w:val="left"/>
        <w:tblInd w:w="0" w:type="dxa"/>
        <w:tblLayout w:type="fixed"/>
        <w:tblCellMar>
          <w:top w:w="28" w:type="dxa"/>
          <w:left w:w="28" w:type="dxa"/>
          <w:bottom w:w="28" w:type="dxa"/>
          <w:right w:w="28" w:type="dxa"/>
        </w:tblCellMar>
      </w:tblPr>
      <w:tblGrid>
        <w:gridCol w:w="1163"/>
        <w:gridCol w:w="1020"/>
        <w:gridCol w:w="1027"/>
        <w:gridCol w:w="308"/>
        <w:gridCol w:w="308"/>
        <w:gridCol w:w="186"/>
        <w:gridCol w:w="109"/>
        <w:gridCol w:w="109"/>
        <w:gridCol w:w="109"/>
        <w:gridCol w:w="364"/>
        <w:gridCol w:w="364"/>
        <w:gridCol w:w="517"/>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2025</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14,488 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13,968 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or exercised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13,606 </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unrecognized compensation expense was $42.3 million and $7.1 million related to outstanding RSUs and stock options,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from continuing operations was classified on the unaudited condensed consolidated statements of operations and comprehensive loss as follows:</w:t>
      </w:r>
    </w:p>
    <w:tbl>
      <w:tblPr>
        <w:tblW w:w="8430" w:type="dxa"/>
        <w:jc w:val="left"/>
        <w:tblInd w:w="0" w:type="dxa"/>
        <w:tblLayout w:type="fixed"/>
        <w:tblCellMar>
          <w:top w:w="28" w:type="dxa"/>
          <w:left w:w="28" w:type="dxa"/>
          <w:bottom w:w="28" w:type="dxa"/>
          <w:right w:w="28" w:type="dxa"/>
        </w:tblCellMar>
      </w:tblPr>
      <w:tblGrid>
        <w:gridCol w:w="1246"/>
        <w:gridCol w:w="1100"/>
        <w:gridCol w:w="1104"/>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14. Net Income (Loss) Per Share Attributable to Common Stockholders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basic and diluted net loss per share for the Company’s common stock as of:</w:t>
      </w:r>
    </w:p>
    <w:tbl>
      <w:tblPr>
        <w:tblW w:w="10205" w:type="dxa"/>
        <w:jc w:val="left"/>
        <w:tblInd w:w="0" w:type="dxa"/>
        <w:tblLayout w:type="fixed"/>
        <w:tblCellMar>
          <w:top w:w="28" w:type="dxa"/>
          <w:left w:w="28" w:type="dxa"/>
          <w:bottom w:w="28" w:type="dxa"/>
          <w:right w:w="28" w:type="dxa"/>
        </w:tblCellMar>
      </w:tblPr>
      <w:tblGrid>
        <w:gridCol w:w="1648"/>
        <w:gridCol w:w="1449"/>
        <w:gridCol w:w="1452"/>
        <w:gridCol w:w="211"/>
        <w:gridCol w:w="721"/>
        <w:gridCol w:w="109"/>
        <w:gridCol w:w="109"/>
        <w:gridCol w:w="109"/>
        <w:gridCol w:w="109"/>
        <w:gridCol w:w="211"/>
        <w:gridCol w:w="682"/>
        <w:gridCol w:w="109"/>
        <w:gridCol w:w="109"/>
        <w:gridCol w:w="109"/>
        <w:gridCol w:w="109"/>
        <w:gridCol w:w="211"/>
        <w:gridCol w:w="721"/>
        <w:gridCol w:w="109"/>
        <w:gridCol w:w="109"/>
        <w:gridCol w:w="109"/>
        <w:gridCol w:w="109"/>
        <w:gridCol w:w="211"/>
        <w:gridCol w:w="787"/>
        <w:gridCol w:w="109"/>
        <w:gridCol w:w="109"/>
        <w:gridCol w:w="109"/>
        <w:gridCol w:w="109"/>
        <w:gridCol w:w="157"/>
      </w:tblGrid>
      <w:tr>
        <w:trPr/>
        <w:tc>
          <w:tcPr>
            <w:tcW w:w="1648"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484" w:type="dxa"/>
            <w:gridSpan w:val="4"/>
            <w:tcBorders/>
          </w:tcPr>
          <w:p>
            <w:pPr>
              <w:pStyle w:val="TableContents"/>
              <w:bidi w:val="0"/>
              <w:spacing w:before="0" w:after="283"/>
              <w:jc w:val="left"/>
              <w:rPr>
                <w:sz w:val="4"/>
                <w:szCs w:val="4"/>
              </w:rPr>
            </w:pPr>
            <w:r>
              <w:rPr>
                <w:sz w:val="4"/>
                <w:szCs w:val="4"/>
              </w:rPr>
            </w:r>
          </w:p>
        </w:tc>
      </w:tr>
      <w:tr>
        <w:trPr/>
        <w:tc>
          <w:tcPr>
            <w:tcW w:w="4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tbl>
      <w:tblPr>
        <w:tblW w:w="10205" w:type="dxa"/>
        <w:jc w:val="left"/>
        <w:tblInd w:w="0" w:type="dxa"/>
        <w:tblLayout w:type="fixed"/>
        <w:tblCellMar>
          <w:top w:w="28" w:type="dxa"/>
          <w:left w:w="28" w:type="dxa"/>
          <w:bottom w:w="28" w:type="dxa"/>
          <w:right w:w="28" w:type="dxa"/>
        </w:tblCellMar>
      </w:tblPr>
      <w:tblGrid>
        <w:gridCol w:w="1813"/>
        <w:gridCol w:w="1590"/>
        <w:gridCol w:w="1599"/>
        <w:gridCol w:w="241"/>
        <w:gridCol w:w="585"/>
        <w:gridCol w:w="109"/>
        <w:gridCol w:w="109"/>
        <w:gridCol w:w="109"/>
        <w:gridCol w:w="109"/>
        <w:gridCol w:w="236"/>
        <w:gridCol w:w="590"/>
        <w:gridCol w:w="109"/>
        <w:gridCol w:w="109"/>
        <w:gridCol w:w="109"/>
        <w:gridCol w:w="109"/>
        <w:gridCol w:w="241"/>
        <w:gridCol w:w="585"/>
        <w:gridCol w:w="109"/>
        <w:gridCol w:w="109"/>
        <w:gridCol w:w="109"/>
        <w:gridCol w:w="109"/>
        <w:gridCol w:w="236"/>
        <w:gridCol w:w="590"/>
        <w:gridCol w:w="109"/>
        <w:gridCol w:w="109"/>
        <w:gridCol w:w="109"/>
        <w:gridCol w:w="109"/>
        <w:gridCol w:w="155"/>
      </w:tblGrid>
      <w:tr>
        <w:trPr/>
        <w:tc>
          <w:tcPr>
            <w:tcW w:w="181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basic:</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diluted:</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the reconciliation of the denominators of the basic and diluted EPS computations for income (loss) from continuing operations and loss from discontinued operations, net of income tax.</w:t>
      </w:r>
    </w:p>
    <w:tbl>
      <w:tblPr>
        <w:tblW w:w="10205" w:type="dxa"/>
        <w:jc w:val="left"/>
        <w:tblInd w:w="0" w:type="dxa"/>
        <w:tblLayout w:type="fixed"/>
        <w:tblCellMar>
          <w:top w:w="28" w:type="dxa"/>
          <w:left w:w="28" w:type="dxa"/>
          <w:bottom w:w="28" w:type="dxa"/>
          <w:right w:w="28" w:type="dxa"/>
        </w:tblCellMar>
      </w:tblPr>
      <w:tblGrid>
        <w:gridCol w:w="1721"/>
        <w:gridCol w:w="1511"/>
        <w:gridCol w:w="1517"/>
        <w:gridCol w:w="446"/>
        <w:gridCol w:w="380"/>
        <w:gridCol w:w="180"/>
        <w:gridCol w:w="180"/>
        <w:gridCol w:w="180"/>
        <w:gridCol w:w="180"/>
        <w:gridCol w:w="446"/>
        <w:gridCol w:w="380"/>
        <w:gridCol w:w="180"/>
        <w:gridCol w:w="109"/>
        <w:gridCol w:w="109"/>
        <w:gridCol w:w="109"/>
        <w:gridCol w:w="416"/>
        <w:gridCol w:w="410"/>
        <w:gridCol w:w="169"/>
        <w:gridCol w:w="169"/>
        <w:gridCol w:w="169"/>
        <w:gridCol w:w="169"/>
        <w:gridCol w:w="416"/>
        <w:gridCol w:w="410"/>
        <w:gridCol w:w="249"/>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basic</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180,977 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182,342 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RSUs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subject to outstanding options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 diluted</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183,687 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184,147 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184,710 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185,317 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attributable to common stockholders for the periods presented due to their anti-dilutive effect as of:</w:t>
      </w:r>
    </w:p>
    <w:tbl>
      <w:tblPr>
        <w:tblW w:w="9799" w:type="dxa"/>
        <w:jc w:val="left"/>
        <w:tblInd w:w="0" w:type="dxa"/>
        <w:tblLayout w:type="fixed"/>
        <w:tblCellMar>
          <w:top w:w="28" w:type="dxa"/>
          <w:left w:w="28" w:type="dxa"/>
          <w:bottom w:w="28" w:type="dxa"/>
          <w:right w:w="28" w:type="dxa"/>
        </w:tblCellMar>
      </w:tblPr>
      <w:tblGrid>
        <w:gridCol w:w="1685"/>
        <w:gridCol w:w="1478"/>
        <w:gridCol w:w="1486"/>
        <w:gridCol w:w="389"/>
        <w:gridCol w:w="332"/>
        <w:gridCol w:w="193"/>
        <w:gridCol w:w="193"/>
        <w:gridCol w:w="193"/>
        <w:gridCol w:w="193"/>
        <w:gridCol w:w="389"/>
        <w:gridCol w:w="332"/>
        <w:gridCol w:w="193"/>
        <w:gridCol w:w="109"/>
        <w:gridCol w:w="109"/>
        <w:gridCol w:w="109"/>
        <w:gridCol w:w="363"/>
        <w:gridCol w:w="358"/>
        <w:gridCol w:w="180"/>
        <w:gridCol w:w="180"/>
        <w:gridCol w:w="180"/>
        <w:gridCol w:w="180"/>
        <w:gridCol w:w="363"/>
        <w:gridCol w:w="358"/>
        <w:gridCol w:w="254"/>
      </w:tblGrid>
      <w:tr>
        <w:trPr/>
        <w:tc>
          <w:tcPr>
            <w:tcW w:w="1685"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stock options and unvested RSUs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pursuant to ESPP</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outstanding potential common stock</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15,979 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16,598 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16,598 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15. Fair Value of 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1:</w:t>
      </w:r>
      <w:r>
        <w:rPr>
          <w:color w:val="000000"/>
        </w:rPr>
        <w:t xml:space="preserve"> </w:t>
      </w:r>
      <w:r>
        <w:rPr>
          <w:rFonts w:ascii="Times New Roman;serif" w:hAnsi="Times New Roman;serif"/>
          <w:b w:val="false"/>
          <w:color w:val="000000"/>
          <w:sz w:val="20"/>
        </w:rPr>
        <w:t xml:space="preserve">Valuations based on quoted prices in active markets for identical assets or liabilities that an entity has the ability to access. </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2:</w:t>
      </w:r>
      <w:r>
        <w:rPr>
          <w:color w:val="000000"/>
        </w:rPr>
        <w:t xml:space="preserve"> </w:t>
      </w:r>
      <w:r>
        <w:rPr>
          <w:rFonts w:ascii="Times New Roman;serif" w:hAnsi="Times New Roman;serif"/>
          <w:b w:val="false"/>
          <w:color w:val="000000"/>
          <w:sz w:val="20"/>
        </w:rPr>
        <w:t>Valuations based on quoted prices for similar assets or liabilities, quoted prices for identical assets or liabilities in markets that are not active, or other inputs that are observable or can be corroborated by observable data for substantially the full term of the assets or liabilities.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rPr>
        <w:t>Level 3:</w:t>
      </w:r>
      <w:r>
        <w:rPr>
          <w:color w:val="000000"/>
        </w:rPr>
        <w:t xml:space="preserve"> </w:t>
      </w:r>
      <w:r>
        <w:rPr>
          <w:rFonts w:ascii="Times New Roman;serif" w:hAnsi="Times New Roman;serif"/>
          <w:b w:val="false"/>
          <w:color w:val="000000"/>
          <w:sz w:val="20"/>
        </w:rPr>
        <w:t xml:space="preserve">Valuations based on inputs that are supported by little or no market activity and that are significant to the fair value of the assets or liabilities.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cash and cash equivalents, accounts receivable, contract assets and accounts payable approximate their fair value because of the short-term nature of these instruments. Our interest rate swaps are valued based upon interest yield curves, interest rate volatility and credit spreads. Our interest rate swaps are classified within Level 2 of the fair value hierarchy as all significant inputs are corroborated by observable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fair value measurement levels during the three and nine months ended September 30, 2025 and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financial assets and liabilities measured at fair value on a recurring basis as of:</w:t>
      </w:r>
    </w:p>
    <w:tbl>
      <w:tblPr>
        <w:tblW w:w="8636" w:type="dxa"/>
        <w:jc w:val="left"/>
        <w:tblInd w:w="0" w:type="dxa"/>
        <w:tblLayout w:type="fixed"/>
        <w:tblCellMar>
          <w:top w:w="28" w:type="dxa"/>
          <w:left w:w="28" w:type="dxa"/>
          <w:bottom w:w="28" w:type="dxa"/>
          <w:right w:w="28" w:type="dxa"/>
        </w:tblCellMar>
      </w:tblPr>
      <w:tblGrid>
        <w:gridCol w:w="574"/>
        <w:gridCol w:w="505"/>
        <w:gridCol w:w="511"/>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Liability:</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bl>
    <w:tbl>
      <w:tblPr>
        <w:tblW w:w="8696" w:type="dxa"/>
        <w:jc w:val="left"/>
        <w:tblInd w:w="0" w:type="dxa"/>
        <w:tblLayout w:type="fixed"/>
        <w:tblCellMar>
          <w:top w:w="28" w:type="dxa"/>
          <w:left w:w="28" w:type="dxa"/>
          <w:bottom w:w="28" w:type="dxa"/>
          <w:right w:w="28" w:type="dxa"/>
        </w:tblCellMar>
      </w:tblPr>
      <w:tblGrid>
        <w:gridCol w:w="574"/>
        <w:gridCol w:w="505"/>
        <w:gridCol w:w="511"/>
        <w:gridCol w:w="211"/>
        <w:gridCol w:w="616"/>
        <w:gridCol w:w="109"/>
        <w:gridCol w:w="109"/>
        <w:gridCol w:w="109"/>
        <w:gridCol w:w="109"/>
        <w:gridCol w:w="211"/>
        <w:gridCol w:w="466"/>
        <w:gridCol w:w="109"/>
        <w:gridCol w:w="109"/>
        <w:gridCol w:w="109"/>
        <w:gridCol w:w="109"/>
        <w:gridCol w:w="211"/>
        <w:gridCol w:w="406"/>
        <w:gridCol w:w="109"/>
        <w:gridCol w:w="109"/>
        <w:gridCol w:w="109"/>
        <w:gridCol w:w="109"/>
        <w:gridCol w:w="211"/>
        <w:gridCol w:w="616"/>
        <w:gridCol w:w="109"/>
        <w:gridCol w:w="109"/>
        <w:gridCol w:w="109"/>
        <w:gridCol w:w="109"/>
        <w:gridCol w:w="706"/>
        <w:gridCol w:w="706"/>
        <w:gridCol w:w="1002"/>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Liability:</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Note 16. Income Taxes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in interim periods is based on our estimated annual effective tax rate plus the impact, if any, of discrete items recognized in the interim period. We record cumulative adjustments in the quarter in which a change in the estimated annual effective rate is determined.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income tax expense was $1.2 million and $0.9 million for the three months ended September 30, 2025 and 2024, respectively, and $3.0 million and $7.6 million for the nine months ended September 30, 2025 and 2024, respectively. The difference in income tax expense for the three and nine months ended September 30, 2025 as compared to the corresponding periods in 2024 was driven primarily by an increase in net income from continuing operations before tax and discrete items, including the sale of Fitness Solutions in the nine months ended September 30, 2024.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includes certain changes to the US taxation of foreign activity, including changes to foreign tax credits, global intangible low-taxed income, foreign-derived intangible income, and base erosion and anti-abuse tax, amongst other changes. These changes are generally effective for tax years beginning after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2025. The Company’s tax provision for the nine months ended September 30, 2025 includes the estimated impact of the Act for the period, which was immaterial. The Company will continue to evaluate the impact on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non-cancelable contractual purchase obligations incurred in the normal course of business to help deliver its services and products and provide support to its customers. These contracts with vendors primarily relate to software service, targeted mail costs, third-party fulfillment costs and software hosting. Unrecognized future minimum payments due under these agreements are as follows (in thousands):</w:t>
      </w:r>
    </w:p>
    <w:tbl>
      <w:tblPr>
        <w:tblW w:w="4160" w:type="dxa"/>
        <w:jc w:val="left"/>
        <w:tblInd w:w="0" w:type="dxa"/>
        <w:tblLayout w:type="fixed"/>
        <w:tblCellMar>
          <w:top w:w="28" w:type="dxa"/>
          <w:left w:w="28" w:type="dxa"/>
          <w:bottom w:w="28" w:type="dxa"/>
          <w:right w:w="28" w:type="dxa"/>
        </w:tblCellMar>
      </w:tblPr>
      <w:tblGrid>
        <w:gridCol w:w="1113"/>
        <w:gridCol w:w="977"/>
        <w:gridCol w:w="984"/>
        <w:gridCol w:w="211"/>
        <w:gridCol w:w="721"/>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(remainder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payments due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various lawsuits and legal proceedings which arise in or outside the ordinary course of business. Litigation is subject to inherent uncertainties, and an adverse result in these or other matters may arise from time to time that may harm our business. Accruals for loss contingencies are recorded when a loss is probable, and the amount of such loss can be reasonably estimated. An adverse determination in one or more of these pending matters could have an adverse effect on the Company’s consolidated financial position, results of operations or 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31, 2024, plaintiff Vladimir Gusinsky Revocable Trust filed a putative class action lawsuit in the Court of Chancery of the State of Delaware against the Company, members of its Board and the other parties to its sponsor stockholders agreement, dated June 30, 2021, Providence Strategic Growth II L.P., Providence Strategic Growth II-A L.P., SLA Eclipse Co-Invest, L.P., and SLA CM Eclipse Holdings, L.P. (collectively, the “Sponsor Stockholders”), captioned Vladimir Gusinsky Revocable Trust v. Eric Remer, Penny Baldwin, et. al., Case No. 2024-0077 (Del Ch.). The complaint generally alleges violations of Section 141(a) of the Delaware General Corporation Law (“DGCL”) by providing the Sponsor Stockholders with a veto right over the Board’s ability to hire or fire the Company’s Chief Executive Officer (the “CEO Approval Right”) on the basis that it unlawfully limits the Board’s authority to manage the business and affairs of the Company. The plaintiff seeks declaratory judgment that the CEO Approval Right is invalid and void, other declaratory and equitable relief for the class and/or the Company, attorneys’ and experts’ witness fees and other costs and expenses, and other equitable relief. On June 14, 2024, the Company filed its opening brief in support of its Motion to Dismiss, and on July 15, 2024, Plaintiff opposed that motion. On July 16, 2024, the Court entered a stipulation and order dismissing the director defendants from the action. On August 29, 2024, the remaining defendants, the Company and Sponsor Stockholders (collectively, “Defendants”), filed their reply in support of the Motion to Dismiss, and pursuant to a stipulation between the parties, Plaintiff filed a sur-reply on September 26, 2024, which Defendants filed a response to on October 10, 2024. On October 15, 2024, Defendants filed a Motion to Dismiss for Lack of Subject Matter Jurisdiction, arguing that the claims alleged are not ripe for adjudication and on November 15, 2024 Plaintiff opposed that motion. On December 9, 2024, Defendants filed their reply in support of the Motion to Dismiss for Lack of Subject Matter Jurisdiction. On January 3, 2025, the Court entered a minute order deferring oral argument on the pending Motion to Dismiss until after the disposition of the appeal in Moelis &amp; Company v. West Palm Beach Firefighters’ Pension Fund, Case No. 340, 2024 (Del. Supr.). The Company believes it has meritorious defenses to the claims of the plaintiff and members of the class and any liability for the alleged claims is not currently probable and the potential loss or range of loss is not reasonably estimable.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is party to additional legal proceedings incidental to its business. While the outcome of these additional matters could differ from management’s expectations, the Company does not believe that the resolution of such matters is reasonably likely to have a material effect on its results of operations or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assesses the applicability of nexus in jurisdictions in which the Company sells products and services. As of September 30, 2025 and December 31, 2024, the Company recorded a liability in the amount of $10.0 million and $10.7 million, respectively within current liabilities and other long-term liabilities as a provision for sales and use, gross receipts and goods and services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18. Geographic Areas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long-lived assets by geographic area as of:</w:t>
      </w:r>
    </w:p>
    <w:tbl>
      <w:tblPr>
        <w:tblW w:w="3956" w:type="dxa"/>
        <w:jc w:val="left"/>
        <w:tblInd w:w="0" w:type="dxa"/>
        <w:tblLayout w:type="fixed"/>
        <w:tblCellMar>
          <w:top w:w="28" w:type="dxa"/>
          <w:left w:w="28" w:type="dxa"/>
          <w:bottom w:w="28" w:type="dxa"/>
          <w:right w:w="28" w:type="dxa"/>
        </w:tblCellMar>
      </w:tblPr>
      <w:tblGrid>
        <w:gridCol w:w="451"/>
        <w:gridCol w:w="396"/>
        <w:gridCol w:w="398"/>
        <w:gridCol w:w="243"/>
        <w:gridCol w:w="831"/>
        <w:gridCol w:w="125"/>
        <w:gridCol w:w="109"/>
        <w:gridCol w:w="109"/>
        <w:gridCol w:w="109"/>
        <w:gridCol w:w="230"/>
        <w:gridCol w:w="787"/>
        <w:gridCol w:w="168"/>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19. Segment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operates in a single reportable segment. The segment derives revenue from providing SaaS and other technology-based solutions to help service SMBs optimize their operations, improve customer relationships and experience, and accelerate growth. The Company primarily focuses on three core vertical markets: EverPro for Home Services, EverHealth for Health Services, and EverWell for Wellness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accounting policies of the segment are the same as those described in the summary of significant accounting policies in our Annual Report on Form 10-K for the year ended December 31, 2024. Based on being a single reportable segment company, the Company has disclosed net income (loss) from continuing operations as its primary measure of profit or loss used by the chief operating decision maker (“CODM”), which is reported on the unaudited condensed consolidated statement of operations and comprehensive loss as net income (loss) from continuing operations. The CODM is provided financial information inclusive of net income (loss) from continuing operations, which is used to assess performance of the segment and decide how to allocate resources. The CODM uses net income (loss) from continuing operations, among other metrics, to assist in evaluating the financial performance of the Company and monitoring budget versus actual results. The CODM does not review assets in evaluating segment results, and therefore, such information is not presented. The measure of segment assets is reported on the consolidated balance sheets as total assets.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Disaggregated information is not used for assessing the performance of the Company or for making resource allocation decisions. The CODM reviews financial information presented on an aggregated and consolidated basis, together with revenue information of the three core vertical markets. The software and technology-based solutions provided by the Company are deployed and implemented to customers in a similar manner regardless of industry. See Notes 5. Revenue and 18. Geographic Areas for disaggregated information regarding the Company's revenues and long-lived assets by geography,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tbl>
      <w:tblPr>
        <w:tblW w:w="5685" w:type="dxa"/>
        <w:jc w:val="center"/>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EverCommerce Inc.</w:t>
            </w:r>
          </w:p>
        </w:tc>
      </w:tr>
      <w:tr>
        <w:trPr/>
        <w:tc>
          <w:tcPr>
            <w:tcW w:w="5685"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segment information for revenues, net loss and significant expenses:</w:t>
      </w:r>
    </w:p>
    <w:tbl>
      <w:tblPr>
        <w:tblW w:w="10205" w:type="dxa"/>
        <w:jc w:val="left"/>
        <w:tblInd w:w="0" w:type="dxa"/>
        <w:tblLayout w:type="fixed"/>
        <w:tblCellMar>
          <w:top w:w="28" w:type="dxa"/>
          <w:left w:w="28" w:type="dxa"/>
          <w:bottom w:w="28" w:type="dxa"/>
          <w:right w:w="28" w:type="dxa"/>
        </w:tblCellMar>
      </w:tblPr>
      <w:tblGrid>
        <w:gridCol w:w="1469"/>
        <w:gridCol w:w="1072"/>
        <w:gridCol w:w="1031"/>
        <w:gridCol w:w="233"/>
        <w:gridCol w:w="913"/>
        <w:gridCol w:w="120"/>
        <w:gridCol w:w="120"/>
        <w:gridCol w:w="120"/>
        <w:gridCol w:w="120"/>
        <w:gridCol w:w="233"/>
        <w:gridCol w:w="913"/>
        <w:gridCol w:w="120"/>
        <w:gridCol w:w="120"/>
        <w:gridCol w:w="120"/>
        <w:gridCol w:w="120"/>
        <w:gridCol w:w="233"/>
        <w:gridCol w:w="913"/>
        <w:gridCol w:w="120"/>
        <w:gridCol w:w="120"/>
        <w:gridCol w:w="120"/>
        <w:gridCol w:w="120"/>
        <w:gridCol w:w="233"/>
        <w:gridCol w:w="913"/>
        <w:gridCol w:w="120"/>
        <w:gridCol w:w="109"/>
        <w:gridCol w:w="109"/>
        <w:gridCol w:w="109"/>
        <w:gridCol w:w="162"/>
      </w:tblGrid>
      <w:tr>
        <w:trPr/>
        <w:tc>
          <w:tcPr>
            <w:tcW w:w="14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174,016 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175,708 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advertising</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Communication services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commissions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tools and hosting</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Legal and professional fees </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expenses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149,221 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425,255 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446,158 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(loss) from discontinued operations, net of income tax </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6633" w:type="dxa"/>
            <w:gridSpan w:val="25"/>
            <w:tcBorders/>
          </w:tcPr>
          <w:p>
            <w:pPr>
              <w:pStyle w:val="TableContents"/>
              <w:bidi w:val="0"/>
              <w:spacing w:before="0" w:after="283"/>
              <w:jc w:val="left"/>
              <w:rPr>
                <w:sz w:val="4"/>
                <w:szCs w:val="4"/>
              </w:rPr>
            </w:pPr>
            <w:r>
              <w:rPr>
                <w:sz w:val="4"/>
                <w:szCs w:val="4"/>
              </w:rPr>
            </w:r>
          </w:p>
        </w:tc>
      </w:tr>
      <w:tr>
        <w:trPr/>
        <w:tc>
          <w:tcPr>
            <w:tcW w:w="9716"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significant expense categories and amounts align with information that is regularly reviewed by the CODM.</w:t>
            </w:r>
          </w:p>
        </w:tc>
        <w:tc>
          <w:tcPr>
            <w:tcW w:w="489" w:type="dxa"/>
            <w:gridSpan w:val="4"/>
            <w:tcBorders/>
          </w:tcPr>
          <w:p>
            <w:pPr>
              <w:pStyle w:val="TableContents"/>
              <w:bidi w:val="0"/>
              <w:spacing w:before="0" w:after="283"/>
              <w:jc w:val="left"/>
              <w:rPr>
                <w:sz w:val="4"/>
                <w:szCs w:val="4"/>
              </w:rPr>
            </w:pPr>
            <w:r>
              <w:rPr>
                <w:sz w:val="4"/>
                <w:szCs w:val="4"/>
              </w:rPr>
            </w:r>
          </w:p>
        </w:tc>
      </w:tr>
      <w:tr>
        <w:trPr/>
        <w:tc>
          <w:tcPr>
            <w:tcW w:w="9716" w:type="dxa"/>
            <w:gridSpan w:val="24"/>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include corporate overhead expenses, transaction-related and other non-recurring or unusual costs, facility expenses, bad debt and other miscellaneous cost of services.</w:t>
            </w:r>
          </w:p>
        </w:tc>
        <w:tc>
          <w:tcPr>
            <w:tcW w:w="489" w:type="dxa"/>
            <w:gridSpan w:val="4"/>
            <w:tcBorders/>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Segment Disclosures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Significant Non-cash Items: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72"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are no reconciling items or adjustments between segment revenues, net income (loss), total assets and consolidated revenues, net income (loss) and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20. Subsequent Event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31, 2025, the Company completed the sale of its marketing technology solutions business to Ignite Visibility for approximately $45.0 million in cash, subject to certain closing adjustments, as part of our previously announced strategic review. The marketing technology solutions, collectively known as “EverConnect”, will operate as an integrated business within the Ignite Visibility product set and continue to service its existing customer base. The assets and liabilities of marketing technology solutions are presented as held for sale on our unaudited condensed consolidated balance sheets and their operating results are presented as discontinued operations in our unaudited condensed consolidated statements of operations and comprehensive loss for all periods presented (see Note 4. Acquisitions and Dispositions).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Unless the context requires otherwise, references in this Quarterly Report on Form 10-Q to "EverCommerce," the “Company,” “we,” “us” and “our” refer to EverCommerce Inc. and its consolidated subsidiaries.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Annual Report on Form 10-K for the year ended December 31, 2024 (the “Annual Report on Form 10-K”) filed with the Securities and Exchange Commission (“SEC”) on March 13, 2025. Additionally, our historical results are not necessarily indicative of the results that may be expected for any period in the future. Unless otherwise noted, disclosures within Item 2. Management’s Discussion and Analysis of Financial Condition and Results of Operations relate solely to the Company's continuing operations, which excludes the marketing technology disposal group.</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As of December 31, 2024, we served more than 740,000 customers primarily across three core verticals: EverPro for Home Services; EverHealth for Health Services; and EverWell for Wellness Services. Excluding the customers associated with marketing technology solutions, which we anticipate selling in the year ending December 31, 2025, we served more than 725,000 customers (see Note 3. Discontinued Operations in this Quarterly Report on Form 10-Q). Within our core verticals, our customers operate within numerous micro-verticals, ranging from home service professionals, such as home improvement contractors and home maintenance technicians, to physician practices and therapists within Health Services, to salon owners within Wellness. Our platform provides vertically-tailored SaaS solutions that address service SMBs’ increasingly specialized demands, as well as highly complementary solutions that provide fully-integrated offerings, allowing service SMBs and EverCommerce to succeed in the market, and provide end consumers more convenient service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integrated solutions. These solutions focus on addressing how service SMBs market their services, streamline operations and retain and engage their customers.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Business Management Software: </w:t>
      </w:r>
      <w:r>
        <w:rPr>
          <w:rFonts w:ascii="Times New Roman;serif" w:hAnsi="Times New Roman;serif"/>
          <w:b w:val="false"/>
          <w:color w:val="000000"/>
          <w:sz w:val="20"/>
        </w:rPr>
        <w:t xml:space="preserve">Our vertically-tailored Business Management Software is the system of action at the center of a service business’s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Billing &amp; Payment Solutions: </w:t>
      </w:r>
      <w:r>
        <w:rPr>
          <w:rFonts w:ascii="Times New Roman;serif" w:hAnsi="Times New Roman;serif"/>
          <w:b w:val="false"/>
          <w:color w:val="000000"/>
          <w:sz w:val="20"/>
        </w:rPr>
        <w:t xml:space="preserve">Our Billing &amp; Payment Solutions provide integrated payments, billing and invoicing automation and business 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 </w:t>
      </w:r>
    </w:p>
    <w:p>
      <w:pPr>
        <w:pStyle w:val="TextBody"/>
        <w:bidi w:val="0"/>
        <w:spacing w:lineRule="auto" w:line="288" w:before="120" w:after="283"/>
        <w:ind w:left="0" w:right="0" w:hanging="180"/>
        <w:jc w:val="both"/>
        <w:rPr/>
      </w:pPr>
      <w:r>
        <w:rPr>
          <w:color w:val="000000"/>
        </w:rPr>
        <w:t>•</w:t>
      </w:r>
      <w:r>
        <w:rPr>
          <w:rFonts w:ascii="Times New Roman;serif" w:hAnsi="Times New Roman;serif"/>
          <w:b/>
          <w:i/>
          <w:color w:val="000000"/>
          <w:sz w:val="20"/>
        </w:rPr>
        <w:t xml:space="preserve">Customer Experience Solutions: </w:t>
      </w:r>
      <w:r>
        <w:rPr>
          <w:rFonts w:ascii="Times New Roman;serif" w:hAnsi="Times New Roman;serif"/>
          <w:b w:val="false"/>
          <w:color w:val="000000"/>
          <w:sz w:val="20"/>
        </w:rPr>
        <w:t>Our Customer Experience Solutions modernize how businesses engage and interact with customers by 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insights and manage the customer experience lifecycle. These applications include: customer health scoring, customer support systems, real-time alerts, Net Promoter Score-based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go to market with suites of solutions that are aligned to our three core verticals.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the full scope of our customers’ businesses. This results in a self-reinforcing flywheel effect, enabling us to drive value for our customers and, in turn, improve customer stickiness, increase our market share and fuel our growth.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continuing operations generate two types of revenue: (i) Subscription and Transaction Fees, which are primarily recurring revenue streams, and (ii) Other revenue, which consists primarily of one-time revenue streams. Our recurring revenue generally consists of monthly, quarterly and annual software and maintenance subscriptions and transaction revenue associated with integrated payments and billing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benefits from attractive unit economics. Approximately 97% of our revenue was recurring or re-occurring in both the nine months ended September 30, 2025 and 2024, and we maintained an annualized net revenue retention rate from continuing operations of approximately 97% for both the quarters ended September 30, 2025 and 2024. Our annualized pro forma net revenue retention rate was equal to the annualized net revenue retention rate for the quarters ended September 30, 2025 and 2024, respectively, as the acquisitions and dispositions closed during the prior period were not material to our prior period unaudited condensed consolidated results on a proforma basis. We believe the retention and growth of revenue from our existing customers is a helpful measure of the health of our business and our future growth prospects. Our ability to cross sell additional products and services to our existing customers can increase customer 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calculate our annualized net revenue retention rate based on the average of the annualized net revenue retention rate calculated for each month during the twelve-month period as of the most recent quarter end. Our calculation of net revenue retention rate for any fiscal period includes the positive recurring and re-occurring revenue impacts of selling new solutions to existing customers and the negative impacts of contraction and attrition among this set of customers. The annualized net revenue retention rate for a particular month is calculated as the recurring or re-occurring revenue gained/lost from existing customers, less the recurring or re-occurring revenue lost from cancelled customers as a percentage of total recurring or re-occurring revenue during the corresponding month of the prior year.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2024 is the difference between the recurring or re-occurring revenue generated in November 2024 and the same such revenue generated in November 2023, for customers with a start date prior to December 1, 2023 and no end date or cancelled relationship on or after November 1, 2024.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2024 is the difference between the recurring or re-occurring revenue generated in November 2024 and the same such revenue generated in November 2023, for customers that cancelled on or after November 1, 2023 and before November 1, 2024. The annualized pro forma net revenue retention rate is calculated as the annualized net revenue retention rate adjusted as though acquisitions and dispositions that were closed during the prior period presented were closed on the first day of such period presented. Our annualized net revenue retention rate and pro forma net revenue retention rate may fluctuate as a result of a number of factors, including the growing level of our revenue base, the level of penetration within our customer base, expansion of solutions, new acquisitions and dispositions and our ability to retain our customers. Our calculation of annualized net revenue retention rate and annualized pro forma net revenue retention rate may differ from similarly titled metrics presented by other companies.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Impact of Macroeconomic Climate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macroeconomic climate has seen in the recent years, and may continue to see, pressure from global developments such as international geopolitical conflicts, increased tariffs and proposed tariffs between the United States and other nations, trade restrictions and conflict, terrorism, pandemics or health crises, rising inflation, fluctuations in the value of the US Dollar, rising interest rates and supply chain disruptions. These developments have had and may continue to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late 2024, the Company began a process to review strategic alternatives for our marketing technology solutions. On March 5, 2025, our Board of Directors (“the Board”), in conjunction with our management committed to a plan to sell the our marketing technology solutions. On October 31, 2025, we completed the sale of our marketing technology solutions business for approximately $45 million in cash, subject to certain closing adjustments, concluding the previously announced strategic review (see Note 20. Subsequent Event in this Quarterly Report on Form 10-Q). We determined that our decision to sell marketing technology solutions was considered a strategic shift that will have a major effect on our operations and financial results and met the criteria for classification as discontinued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operations. As a result, the assets and liabilities of marketing technology solutions are presented as held for sale on our unaudited condensed consolidated balance sheets and their operating results are presented as discontinued operations in our unaudited condensed consolidated statements of operations and comprehensive loss for all periods presented. We measured the assets and liabilities of the marketing technology disposal group at estimated fair value less cost to sell and recognized a gain of $2.1 million during the three months ended September 30, 2025, and a goodwill impairment charge of $6.9 million during the nine months ended September 30, 2025, which are included in loss from discontinued operations, net of income tax, on our unaudited condensed consolidated statements of operations and comprehensive 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 of Fitness Solutions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13, 2024, we entered into definitive sale and purchase agreements to sell our fitness solutions, comprised of North American Fitness and UK Fitness (“Fitness Solutions”), to Jonas Software (see Note 4. Acquisitions and Dispositions in this Quarterly Report on Form 10-Q). The sale of North American Fitness closed simultaneously with signing and the sale of UK Fitness closed July 1, 2024. The divestiture did not qualify for reporting as a discontinued operation and therefore, its results were included in our unaudited condensed consolidated financial statements included in this Quarterly Report on Form 10-Q through the applicable date of sale. During the three and nine months ended September 30, 2024, the Company recognized losses of $0.1 million and $5.0 million, respectively, related to the sale of Fitness Solutions, which are included in loss on held for sale and impairments on our unaudited condensed consolidated statements of operations and comprehensive loss. Additionally, the Company recognized a $6.4 million goodwill impairment charge during the nine months ended September 30, 2024 representing the allocated goodwill to Fitness Solutions, which is included in loss on held for sale and impairments on our unaudited condensed consolidated statements of operations and comprehensive loss included in this Quarterly Report on Form 10-Q.</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Acquisition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15, 2025, we acquired 100% of the interest of Joblyt LLC, dba ZyraTalk (“ZyraTalk”), an AI-powered customer engagement solution that combines virtual assistant capabilities with agentic automation platform, for approximately $36.1 million in cash, not inclusive of an additional $6.5 million of contingent consideration to be paid over the next three years related to post-combination employment services. The acquisition helps to establish EverCommerce as an AI-driven innovator, beginning with near-term application in its Home and Field Services vertical, EverPro, and we plan to extend ZyraTalk into broader opportunities across its other verticals (see Note 4. Acquisitions and Dispositions in this Quarterly Report on Form-10-Q).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jc w:val="both"/>
        <w:rPr/>
      </w:pPr>
      <w:r>
        <w:rPr>
          <w:rFonts w:ascii="Times New Roman;serif" w:hAnsi="Times New Roman;serif"/>
          <w:b w:val="false"/>
          <w:color w:val="000000"/>
          <w:sz w:val="20"/>
        </w:rPr>
        <w:t xml:space="preserve">We believe that our performance and future success depends on a number of factors that present significant opportunities for us but also pose risks and challenges. For discussion of these factors, please see Part II, Item 7. </w:t>
      </w:r>
      <w:r>
        <w:rPr>
          <w:color w:val="000000"/>
        </w:rPr>
        <w:t>“</w:t>
      </w:r>
      <w:r>
        <w:rPr>
          <w:rFonts w:ascii="Times New Roman;serif" w:hAnsi="Times New Roman;serif"/>
          <w:b w:val="false"/>
          <w:i/>
          <w:color w:val="000000"/>
          <w:sz w:val="20"/>
        </w:rPr>
        <w:t xml:space="preserve">Management’s Discussion and Analysis of Financial Condition and Results of Operations – </w:t>
      </w:r>
      <w:r>
        <w:rPr>
          <w:rFonts w:ascii="Times New Roman;serif" w:hAnsi="Times New Roman;serif"/>
          <w:b w:val="false"/>
          <w:color w:val="000000"/>
          <w:sz w:val="20"/>
        </w:rPr>
        <w:t xml:space="preserve">Key Factors Affecting Our Performance” included in our Annual Report on Form 10-K. For a discussion about why we consider our Non-GAAP measures useful and a discussion of the material risks and limitations of such measures, please see Part II, Item 7. </w:t>
      </w:r>
      <w:r>
        <w:rPr>
          <w:color w:val="000000"/>
        </w:rPr>
        <w:t>“</w:t>
      </w:r>
      <w:r>
        <w:rPr>
          <w:rFonts w:ascii="Times New Roman;serif" w:hAnsi="Times New Roman;serif"/>
          <w:b w:val="false"/>
          <w:i/>
          <w:color w:val="000000"/>
          <w:sz w:val="20"/>
        </w:rPr>
        <w:t>Management’s Discussion and Analysis of Financial Condition and Results of Operations – Key Business and Financial Metrics – Non-GAAP Financial Measures”</w:t>
      </w:r>
      <w:r>
        <w:rPr>
          <w:color w:val="000000"/>
        </w:rPr>
        <w:t xml:space="preserve"> </w:t>
      </w:r>
      <w:r>
        <w:rPr>
          <w:rFonts w:ascii="Times New Roman;serif" w:hAnsi="Times New Roman;serif"/>
          <w:b w:val="false"/>
          <w:color w:val="000000"/>
          <w:sz w:val="20"/>
        </w:rPr>
        <w:t>included in our Annual Report on Form 10-K.</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Key Business and Financial Metrics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results and measures of performance determined in accordance with accounting principles generally accepted in the United States of America (“U.S. GAAP”), we believe the following key business and non-GAAP financial measures are useful in evaluating and comparing our financial and operational performance over multiple periods, identifying trends affecting our business, formulating business plans and making strategic decisions. Unless otherwise noted, all amounts, percentages and discussions below reflect only the results of operations and financial condition of our continuing operations (see Note 3. Discontinued Operations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 Forma Revenue Growth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 Forma Revenue Growth Rate is a key performance measure that our management uses to assess our consolidated operating performance over time. Management also uses this metric for planning and forecasting purposes.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year-over-year Pro Forma Revenue Growth Rate is calculated as though all acquisitions and divestitures completed as of the end of the latest period were completed as of the first day of the prior year period presented. In calculating Pro Forma Revenue Growth Rate, we add the revenue from acquisitions for the reporting periods prior to the date of acquisition (including estimated purchase accounting adjustments) and exclude revenue from divestitures for the reporting periods prior to the date of divestiture, and then calculate our revenue growth rate between the two reported periods. As a result, Pro Forma Revenue Growth Rate includes pro forma revenue from businesses acquired and excludes revenue from businesses divested of during the period, including revenue generated during periods when we did not yet own the acquired businesses and excludes revenue prior to the divestiture of the business.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including such pre-acquisition revenue and excluding pre-divestiture revenue, Pro Forma Revenue Growth Rate allows 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and divestitures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and divestitures. This metric is particularly useful to management due to the number of acquired entities.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Revenue Growth Rate was 5.3% and 4.6% for the three and nine months ended September 30, 2025, respectively. Total revenues include pre-divestiture revenue from Fitness Solutions, which was divested in 2024 (see Note 4. Acquisitions and Dispositions in this Quarterly Report on Form 10-Q), of $8.1 million, during the nine months ended September 30, 2024. Additionally, total revenues include immaterial post-acquisition revenue from ZyraTalk, which was acquired September 15, 2025 (see Note 4. Acquisitions and Dispositions in this Quarterly Report on Form 10-Q), during the three and nine months ended September 30, 2025. Our Pro Forma Revenue Growth rate was 5.3% and 7.0% for the three and nine months ended September 30, 2025, respectively, reflective of the underlying growth in our business as a result of new customers and providing more solutions to existing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Gross Profit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Gross profit is calculated as total revenue less cost of revenue (exclusive of depreciation and amortization), amortization of developed technology, amortization of capitalized software and depreciation expense (allocated to cost of revenues). We calculate Adjusted Gross Profit as gross profit adjusted to exclude non-cash charges of depreciation and amortization allocated to cost of revenues. Adjusted Gross Profit should be viewed as a measure of operating performance that is a supplement to, and not a substitute for, operating income or loss, net earnings or loss and other U.S. GAAP measures of income (loss) or profitability.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the most directly comparable financial measure calculated in accordance with U.S. GAAP, to Adjusted Gross Profit.</w:t>
      </w:r>
    </w:p>
    <w:tbl>
      <w:tblPr>
        <w:tblW w:w="10205" w:type="dxa"/>
        <w:jc w:val="left"/>
        <w:tblInd w:w="0" w:type="dxa"/>
        <w:tblLayout w:type="fixed"/>
        <w:tblCellMar>
          <w:top w:w="28" w:type="dxa"/>
          <w:left w:w="28" w:type="dxa"/>
          <w:bottom w:w="28" w:type="dxa"/>
          <w:right w:w="28" w:type="dxa"/>
        </w:tblCellMar>
      </w:tblPr>
      <w:tblGrid>
        <w:gridCol w:w="577"/>
        <w:gridCol w:w="473"/>
        <w:gridCol w:w="477"/>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55"/>
      </w:tblGrid>
      <w:tr>
        <w:trPr/>
        <w:tc>
          <w:tcPr>
            <w:tcW w:w="57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4" w:type="dxa"/>
            <w:gridSpan w:val="2"/>
            <w:tcBorders/>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04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32" w:type="dxa"/>
            <w:gridSpan w:val="8"/>
            <w:tcBorders/>
          </w:tcPr>
          <w:p>
            <w:pPr>
              <w:pStyle w:val="TableContents"/>
              <w:bidi w:val="0"/>
              <w:spacing w:before="0" w:after="283"/>
              <w:jc w:val="left"/>
              <w:rPr>
                <w:sz w:val="4"/>
                <w:szCs w:val="4"/>
              </w:rPr>
            </w:pPr>
            <w:r>
              <w:rPr>
                <w:sz w:val="4"/>
                <w:szCs w:val="4"/>
              </w:rPr>
            </w:r>
          </w:p>
        </w:tc>
      </w:tr>
      <w:tr>
        <w:trPr/>
        <w:tc>
          <w:tcPr>
            <w:tcW w:w="15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developed technology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allocated to cost of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from continuing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 from continuing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339,696 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324,794 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is calculated as net income (loss) adjusted to exclude interest and other expense, net, income tax expense (benefit), depreciation and amortization, other amortization, stock-based compensation, and transaction-related and other non-recurring or unusual costs. Other amortization includes amortization for capitalized contract acquisition costs. Transaction-related costs are specific deal-related costs such as legal fees, financial and tax due diligence, consulting and escrow fees. Other non-recurring or unusual costs are expenses such as impairment charges, (gains) losses from divestitures, system implementation costs including amortization of cloud-based software implementation costs, executive separation costs, severance expense related to planned restructuring activities, and costs associated with integration and transformation improvements. Transaction-related and other non-recurring or unusual costs are excluded as they are not representative of our underlying operating performance. Adjusted EBITDA should be viewed as a measure of operating performance that is a supplement to, and not a substitute for, operating income or loss, net earnings or loss and other U.S. GAAP measures of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from continuing operations, the most directly comparable financial measure calculated in accordance with U.S. GAAP, to Adjusted EBITDA from continuing operations.</w:t>
      </w:r>
    </w:p>
    <w:tbl>
      <w:tblPr>
        <w:tblW w:w="10205" w:type="dxa"/>
        <w:jc w:val="left"/>
        <w:tblInd w:w="0" w:type="dxa"/>
        <w:tblLayout w:type="fixed"/>
        <w:tblCellMar>
          <w:top w:w="28" w:type="dxa"/>
          <w:left w:w="28" w:type="dxa"/>
          <w:bottom w:w="28" w:type="dxa"/>
          <w:right w:w="28" w:type="dxa"/>
        </w:tblCellMar>
      </w:tblPr>
      <w:tblGrid>
        <w:gridCol w:w="896"/>
        <w:gridCol w:w="367"/>
        <w:gridCol w:w="368"/>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56"/>
      </w:tblGrid>
      <w:tr>
        <w:trPr/>
        <w:tc>
          <w:tcPr>
            <w:tcW w:w="89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5" w:type="dxa"/>
            <w:gridSpan w:val="2"/>
            <w:tcBorders/>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941"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633" w:type="dxa"/>
            <w:gridSpan w:val="8"/>
            <w:tcBorders/>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and other non-recurring or unusual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from continuing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Description of Certain Components of Financial Data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of the components of our financial results described below relate to continuing operations other than loss from discontinued operations, net of income tax. For additional information concerning our accounting policies, see Note 2. Summary of Significant Accounting Policies in the notes to the consolidated financial statements included in our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jc w:val="both"/>
        <w:rPr/>
      </w:pPr>
      <w:r>
        <w:rPr>
          <w:rFonts w:ascii="Times New Roman;serif" w:hAnsi="Times New Roman;serif"/>
          <w:b w:val="false"/>
          <w:color w:val="000000"/>
          <w:sz w:val="20"/>
        </w:rPr>
        <w:t xml:space="preserve">We derive our revenue from two primary sources which are described in detail below: (i) Subscription and Transaction Fees, which are primarily recurring revenue streams, and (ii) Other revenue, which consists primarily of the sale of distinct professional services and hardware. Our revenue recognition policies are discussed in more detail below under </w:t>
      </w:r>
      <w:r>
        <w:rPr>
          <w:color w:val="000000"/>
        </w:rPr>
        <w:t>“</w:t>
      </w:r>
      <w:r>
        <w:rPr>
          <w:rFonts w:ascii="Times New Roman;serif" w:hAnsi="Times New Roman;serif"/>
          <w:b w:val="false"/>
          <w:i/>
          <w:color w:val="000000"/>
          <w:sz w:val="20"/>
        </w:rPr>
        <w:t>Critical Accounting Policies and Significant Judgments and Estimates.”</w:t>
      </w:r>
    </w:p>
    <w:p>
      <w:pPr>
        <w:pStyle w:val="TextBody"/>
        <w:bidi w:val="0"/>
        <w:spacing w:lineRule="auto" w:line="288" w:before="120" w:after="283"/>
        <w:jc w:val="both"/>
        <w:rPr/>
      </w:pPr>
      <w:r>
        <w:rPr>
          <w:rFonts w:ascii="Times New Roman;serif" w:hAnsi="Times New Roman;serif"/>
          <w:b w:val="false"/>
          <w:i/>
          <w:color w:val="000000"/>
          <w:sz w:val="20"/>
        </w:rPr>
        <w:t>Subscription and Transaction Fees</w:t>
      </w:r>
      <w:r>
        <w:rPr>
          <w:rFonts w:ascii="Times New Roman;serif" w:hAnsi="Times New Roman;serif"/>
          <w:b w:val="false"/>
          <w:color w:val="000000"/>
          <w:sz w:val="20"/>
        </w:rPr>
        <w:t xml:space="preserve">: Revenue includes (i) recurring monthly, quarterly and annual SaaS subscriptions and software license and maintenance fees from the sale of our Business Management, Customer Experience and Billing &amp;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 </w:t>
      </w:r>
    </w:p>
    <w:p>
      <w:pPr>
        <w:pStyle w:val="TextBody"/>
        <w:bidi w:val="0"/>
        <w:spacing w:lineRule="auto" w:line="288" w:before="120" w:after="283"/>
        <w:jc w:val="both"/>
        <w:rPr/>
      </w:pPr>
      <w:r>
        <w:rPr>
          <w:rFonts w:ascii="Times New Roman;serif" w:hAnsi="Times New Roman;serif"/>
          <w:b w:val="false"/>
          <w:i/>
          <w:color w:val="000000"/>
          <w:sz w:val="20"/>
        </w:rPr>
        <w:t>Other</w:t>
      </w:r>
      <w:r>
        <w:rPr>
          <w:rFonts w:ascii="Times New Roman;serif" w:hAnsi="Times New Roman;serif"/>
          <w:b w:val="false"/>
          <w:color w:val="000000"/>
          <w:sz w:val="20"/>
        </w:rPr>
        <w:t xml:space="preserve">: Revenue includes (i) consulting, implementation, training and other professional services; (ii) revenue from various business development partnerships; (iii) event income; and (iv) hardware sales related to our business management or payment software solutions.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third-party fulfillment costs and software hosting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cost of revenue as a percentage of revenue will fluctuate from period to period based on a variety of factors, including the rate of growth of subscription and transaction fees, labor costs, third-party expenses and acquisitions and dispositions. For the three and nine months ended September 30, 2025, revenue from subscription and transaction fees increased 4.3% and 4.3%, respectively, compared to the prior year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expenses will increase in absolute dollars and may increase as a percentage of revenue for the foreseeable future as we continue to increase investments to support our growth.</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increase as a percentage of revenue during 2025 as we continue to dedicate substantial resources to develop, improve and expand the functionality of our solutions.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due to increased costs as a result of being a public company. As we are able to further scale our operations in the future, we would expect that general and administrative expenses would decrease as a percentage of revenue.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primarily relate to intangible assets, property and equipment and capitalized software.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Loss on Held for Sale and Impairments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 on held for sale represents the measurement of a disposal group at the lower of its carrying value or fair value less cost to sell in the period the held for sale criteria are met, and subsequent remeasurement each reporting period the disposal group remains classified as held for sale. Impairments include a goodwill impairment charge representing the allocated goodwill and a loss on disposition from the sale of North American Fitness, representing the difference between the consideration received and the net carrying amount of the assets sold and transaction costs during the three months ended March 31, 2024 (see Note 4. Acquisitions and Dispositions in this Quarterly Report on Form 10-Q). Impairments also include operating lease impairments related to the Company’s decision to cease use of certain leased premises and sublease certain facilities.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and Other Expense, net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and other expense, net, primarily consists of interest expense on long-term debt, net of interest income. It also includes amortization expense of financing costs and discounts, as well as realized and unrealized gains and losses related to interest rate swap agreements.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U.S. GAAP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(Loss) from Discontinued Operations, Net of Income Tax</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 consists of the operating results of marketing technology solutions, including the measurement of the disposal group at the lower of carrying value or estimated fair value less cost to sell. For more information regarding the disposal group, see Note 3. Discontinued Operations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periods presented. The period-to-period comparisons of our historical results are not necessarily indicative of our results of operations that may be expected in the future. The following comparative information for results of operations for all periods presented have been adjusted to reflect discontinued operations related to marketing technology solutions and includes the operating results of Fitness Solutions for all periods through the applicable date of sale.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532"/>
        <w:gridCol w:w="442"/>
        <w:gridCol w:w="44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56"/>
      </w:tblGrid>
      <w:tr>
        <w:trPr/>
        <w:tc>
          <w:tcPr>
            <w:tcW w:w="53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5" w:type="dxa"/>
            <w:gridSpan w:val="2"/>
            <w:tcBorders/>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151"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33" w:type="dxa"/>
            <w:gridSpan w:val="8"/>
            <w:tcBorders/>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depreciation and amortization presented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Product development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 before income tax expense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919"/>
        <w:gridCol w:w="673"/>
        <w:gridCol w:w="629"/>
        <w:gridCol w:w="211"/>
        <w:gridCol w:w="616"/>
        <w:gridCol w:w="109"/>
        <w:gridCol w:w="109"/>
        <w:gridCol w:w="109"/>
        <w:gridCol w:w="109"/>
        <w:gridCol w:w="211"/>
        <w:gridCol w:w="616"/>
        <w:gridCol w:w="109"/>
        <w:gridCol w:w="109"/>
        <w:gridCol w:w="109"/>
        <w:gridCol w:w="109"/>
        <w:gridCol w:w="211"/>
        <w:gridCol w:w="656"/>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56"/>
      </w:tblGrid>
      <w:tr>
        <w:trPr/>
        <w:tc>
          <w:tcPr>
            <w:tcW w:w="91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265" w:type="dxa"/>
            <w:gridSpan w:val="2"/>
            <w:tcBorders/>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5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28" w:type="dxa"/>
            <w:gridSpan w:val="8"/>
            <w:tcBorders/>
          </w:tcPr>
          <w:p>
            <w:pPr>
              <w:pStyle w:val="TableContents"/>
              <w:bidi w:val="0"/>
              <w:spacing w:before="0" w:after="283"/>
              <w:jc w:val="left"/>
              <w:rPr>
                <w:sz w:val="4"/>
                <w:szCs w:val="4"/>
              </w:rPr>
            </w:pPr>
            <w:r>
              <w:rPr>
                <w:sz w:val="4"/>
                <w:szCs w:val="4"/>
              </w:rPr>
            </w:r>
          </w:p>
        </w:tc>
      </w:tr>
      <w:tr>
        <w:trPr/>
        <w:tc>
          <w:tcPr>
            <w:tcW w:w="22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Comparison of the three and nine months ended September 30, 2025 and 2024 (percentage of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key components of operating costs within our results of operations as a percentage of revenue for the three and nine months ended September 30, 2025 compared to the same period in 2024.</w:t>
      </w:r>
    </w:p>
    <w:tbl>
      <w:tblPr>
        <w:tblW w:w="10205" w:type="dxa"/>
        <w:jc w:val="left"/>
        <w:tblInd w:w="0" w:type="dxa"/>
        <w:tblLayout w:type="fixed"/>
        <w:tblCellMar>
          <w:top w:w="28" w:type="dxa"/>
          <w:left w:w="28" w:type="dxa"/>
          <w:bottom w:w="28" w:type="dxa"/>
          <w:right w:w="28" w:type="dxa"/>
        </w:tblCellMar>
      </w:tblPr>
      <w:tblGrid>
        <w:gridCol w:w="1401"/>
        <w:gridCol w:w="1016"/>
        <w:gridCol w:w="1023"/>
        <w:gridCol w:w="255"/>
        <w:gridCol w:w="256"/>
        <w:gridCol w:w="326"/>
        <w:gridCol w:w="121"/>
        <w:gridCol w:w="121"/>
        <w:gridCol w:w="121"/>
        <w:gridCol w:w="255"/>
        <w:gridCol w:w="256"/>
        <w:gridCol w:w="326"/>
        <w:gridCol w:w="109"/>
        <w:gridCol w:w="109"/>
        <w:gridCol w:w="109"/>
        <w:gridCol w:w="220"/>
        <w:gridCol w:w="221"/>
        <w:gridCol w:w="417"/>
        <w:gridCol w:w="109"/>
        <w:gridCol w:w="109"/>
        <w:gridCol w:w="109"/>
        <w:gridCol w:w="255"/>
        <w:gridCol w:w="256"/>
        <w:gridCol w:w="296"/>
        <w:gridCol w:w="118"/>
        <w:gridCol w:w="118"/>
        <w:gridCol w:w="118"/>
        <w:gridCol w:w="255"/>
        <w:gridCol w:w="256"/>
        <w:gridCol w:w="296"/>
        <w:gridCol w:w="109"/>
        <w:gridCol w:w="109"/>
        <w:gridCol w:w="109"/>
        <w:gridCol w:w="220"/>
        <w:gridCol w:w="221"/>
        <w:gridCol w:w="480"/>
      </w:tblGrid>
      <w:tr>
        <w:trPr/>
        <w:tc>
          <w:tcPr>
            <w:tcW w:w="140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3440"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1248" w:type="dxa"/>
            <w:gridSpan w:val="6"/>
            <w:tcBorders/>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development </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revenue growth remains a key focus, we remain committed to continued expansion of gross margin, net income and Adjusted EBITDA through ongoing transformation initiatives. As a percentage of revenue, the combination of cost of revenue, sales and marketing, product development and general and administrative costs declined from 79.4% for the nine months ended September 30, 2024 as compared to 78.0% for the nine months ended September 30, 2025, an improvement of 140 basis points. A discussion on primary drivers of cost reductions resulting in improved margin follows in the subsequent sections.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Revenues</w:t>
      </w:r>
    </w:p>
    <w:tbl>
      <w:tblPr>
        <w:tblW w:w="10205" w:type="dxa"/>
        <w:jc w:val="left"/>
        <w:tblInd w:w="0" w:type="dxa"/>
        <w:tblLayout w:type="fixed"/>
        <w:tblCellMar>
          <w:top w:w="28" w:type="dxa"/>
          <w:left w:w="28" w:type="dxa"/>
          <w:bottom w:w="28" w:type="dxa"/>
          <w:right w:w="28" w:type="dxa"/>
        </w:tblCellMar>
      </w:tblPr>
      <w:tblGrid>
        <w:gridCol w:w="473"/>
        <w:gridCol w:w="415"/>
        <w:gridCol w:w="420"/>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56"/>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3" w:type="dxa"/>
            <w:gridSpan w:val="4"/>
            <w:tcBorders/>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851" w:type="dxa"/>
            <w:gridSpan w:val="10"/>
            <w:tcBorders/>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transaction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418,481 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Revenues increased $7.4 million, or 5.3%, and $19.3 million, or 4.6%, for the three and nine months ended September 30, 2025, respectively, as compared to the same periods in 2024.</w:t>
      </w:r>
      <w:r>
        <w:rPr>
          <w:color w:val="000000"/>
        </w:rPr>
        <w:t xml:space="preserve"> </w:t>
      </w:r>
      <w:r>
        <w:rPr>
          <w:rFonts w:ascii="Times New Roman;serif" w:hAnsi="Times New Roman;serif"/>
          <w:b w:val="false"/>
          <w:color w:val="000000"/>
          <w:sz w:val="20"/>
        </w:rPr>
        <w:t xml:space="preserve">Revenue from subscription and transaction fees increased 4.3% and 4.3% and other revenue increased 37.4% and 13.7% during the three and nine months ended September 30, 2025, respectively, as compared to the prior year periods. The majority of our revenue growth is attributable to the successful delivery of system of action capabilities to our SMBs in our verticals of home services, health and wellness. The subscription and transaction fees revenue increase consists primarily of increases from (a) business management software (b) billing and payment solutions, partially offset by a decrease in (c) revenues associated with our share of rebates from suppliers generated through group purchase programs. Business management software revenues drove a $5.7 million and $15.3 million increase in subscription and transaction fees revenue for the three and nine months ended September 30, 2025, respectively, due to an expansion in take rate and number of customers, and certain price increases across our portfolio. Billing and payment solutions revenues drove an increase of $1.8 million and $3.4 million during the three and nine months ended September 30, 2025, respectively, primarily due to higher transaction volumes processed through our payment platforms, partially offset by lower revenue due to the Fitness Solutions divestiture. Revenues associated with our share of rebates from suppliers generated through group purchasing programs, which is more closely connected to macro-economic impacts than our core business management software, declined by $1.6 million and $1.2 million during the three and nine months ended September 30, 2025, respectively. Subscription and transaction fees revenue also includes pre-divestiture revenue from Fitness Solutions of $8.0 million during the nine months ended September 30, 2024 and immaterial post-acquisition revenue from ZyraTalk for the nine months ended September 30, 2025 (see Note 4. Acquisitions and Dispositions in this Quarterly Report on Form 10-Q). Other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increased $1.4 million and $1.8 million during the three and nine months ended September 30, 2025, respectively, as compared to the same periods in 2024, primarily driven by higher revenues related to project implementation and customer development services.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Cost of Revenues</w:t>
      </w:r>
    </w:p>
    <w:tbl>
      <w:tblPr>
        <w:tblW w:w="10205" w:type="dxa"/>
        <w:jc w:val="left"/>
        <w:tblInd w:w="0" w:type="dxa"/>
        <w:tblLayout w:type="fixed"/>
        <w:tblCellMar>
          <w:top w:w="28" w:type="dxa"/>
          <w:left w:w="28" w:type="dxa"/>
          <w:bottom w:w="28" w:type="dxa"/>
          <w:right w:w="28" w:type="dxa"/>
        </w:tblCellMar>
      </w:tblPr>
      <w:tblGrid>
        <w:gridCol w:w="804"/>
        <w:gridCol w:w="706"/>
        <w:gridCol w:w="708"/>
        <w:gridCol w:w="258"/>
        <w:gridCol w:w="338"/>
        <w:gridCol w:w="338"/>
        <w:gridCol w:w="117"/>
        <w:gridCol w:w="117"/>
        <w:gridCol w:w="117"/>
        <w:gridCol w:w="258"/>
        <w:gridCol w:w="338"/>
        <w:gridCol w:w="338"/>
        <w:gridCol w:w="109"/>
        <w:gridCol w:w="109"/>
        <w:gridCol w:w="109"/>
        <w:gridCol w:w="211"/>
        <w:gridCol w:w="616"/>
        <w:gridCol w:w="109"/>
        <w:gridCol w:w="109"/>
        <w:gridCol w:w="109"/>
        <w:gridCol w:w="109"/>
        <w:gridCol w:w="109"/>
        <w:gridCol w:w="109"/>
        <w:gridCol w:w="255"/>
        <w:gridCol w:w="338"/>
        <w:gridCol w:w="338"/>
        <w:gridCol w:w="116"/>
        <w:gridCol w:w="116"/>
        <w:gridCol w:w="116"/>
        <w:gridCol w:w="255"/>
        <w:gridCol w:w="338"/>
        <w:gridCol w:w="338"/>
        <w:gridCol w:w="109"/>
        <w:gridCol w:w="109"/>
        <w:gridCol w:w="109"/>
        <w:gridCol w:w="211"/>
        <w:gridCol w:w="616"/>
        <w:gridCol w:w="109"/>
        <w:gridCol w:w="109"/>
        <w:gridCol w:w="109"/>
        <w:gridCol w:w="109"/>
        <w:gridCol w:w="160"/>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7" w:type="dxa"/>
            <w:gridSpan w:val="4"/>
            <w:tcBorders/>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237"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750" w:type="dxa"/>
            <w:gridSpan w:val="10"/>
            <w:tcBorders/>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2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33,475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98,058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8"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Cost of revenues increased by $2.9 million, or 9.3%, and $4.4 million, or 4.7%, for the three and nine months ended September 30, 2025, respectively, as compared to the same periods in 2024. The increase for the three-month period was primarily comprised of</w:t>
      </w:r>
      <w:r>
        <w:rPr>
          <w:color w:val="000000"/>
        </w:rPr>
        <w:t xml:space="preserve"> </w:t>
      </w:r>
      <w:r>
        <w:rPr>
          <w:rFonts w:ascii="Times New Roman;serif" w:hAnsi="Times New Roman;serif"/>
          <w:b w:val="false"/>
          <w:color w:val="000000"/>
          <w:sz w:val="20"/>
        </w:rPr>
        <w:t>an additional $1.1 million in communication services expenses, a $0.8 million increase in personnel and compensation expense, a $0.4 million increase in software hosting expenses, $0.2 million increase in application programming interface fees, and $0.2 million increase in campaign mail expense. The increase for the nine-month period was driven primarily by an additional $2.1 million in communication services expenses, $1.0 million in software hosting expenses, $0.7 million in application programming interface fees, $0.6 million in outsourced services, $0.5 million in software and tools, $0.5 million in campaign mail and advertising expenses, $0.3 million in credit card processing fees, and $0.4 million in personnel and compensation expenses, partially offset by a $2.0 million decrease in clearinghouse fees.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074" w:type="dxa"/>
        <w:jc w:val="left"/>
        <w:tblInd w:w="0" w:type="dxa"/>
        <w:tblLayout w:type="fixed"/>
        <w:tblCellMar>
          <w:top w:w="28" w:type="dxa"/>
          <w:left w:w="28" w:type="dxa"/>
          <w:bottom w:w="28" w:type="dxa"/>
          <w:right w:w="28" w:type="dxa"/>
        </w:tblCellMar>
      </w:tblPr>
      <w:tblGrid>
        <w:gridCol w:w="634"/>
        <w:gridCol w:w="558"/>
        <w:gridCol w:w="562"/>
        <w:gridCol w:w="310"/>
        <w:gridCol w:w="338"/>
        <w:gridCol w:w="338"/>
        <w:gridCol w:w="160"/>
        <w:gridCol w:w="160"/>
        <w:gridCol w:w="160"/>
        <w:gridCol w:w="310"/>
        <w:gridCol w:w="338"/>
        <w:gridCol w:w="338"/>
        <w:gridCol w:w="109"/>
        <w:gridCol w:w="109"/>
        <w:gridCol w:w="109"/>
        <w:gridCol w:w="211"/>
        <w:gridCol w:w="691"/>
        <w:gridCol w:w="109"/>
        <w:gridCol w:w="109"/>
        <w:gridCol w:w="109"/>
        <w:gridCol w:w="109"/>
        <w:gridCol w:w="109"/>
        <w:gridCol w:w="109"/>
        <w:gridCol w:w="293"/>
        <w:gridCol w:w="338"/>
        <w:gridCol w:w="338"/>
        <w:gridCol w:w="151"/>
        <w:gridCol w:w="151"/>
        <w:gridCol w:w="151"/>
        <w:gridCol w:w="293"/>
        <w:gridCol w:w="338"/>
        <w:gridCol w:w="338"/>
        <w:gridCol w:w="109"/>
        <w:gridCol w:w="109"/>
        <w:gridCol w:w="109"/>
        <w:gridCol w:w="211"/>
        <w:gridCol w:w="466"/>
        <w:gridCol w:w="109"/>
        <w:gridCol w:w="109"/>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72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594" w:type="dxa"/>
            <w:gridSpan w:val="10"/>
            <w:tcBorders/>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26,526</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85,920</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$2.0 million, or 7.1%, and increased $0.9 million, or 1.0%, for the three and nine months ended September 30, 2025, respectively, as compared to the same periods in 2024. The decrease for the three-month period was driven primarily by a $1.7 million decrease in advertising expense, a $0.6 million decrease in volume from third-party channels, a $0.3 million decrease in professional fees, and a $0.2 million decrease in software and tools, partially offset by an additional $0.8 million in personnel and compensation expenses. The increase for the nine-month period was driven primarily by an additional $2.7 million in personnel and compensation expenses and $0.9 million in consulting and outsourced services, partially offset by a $1.2 million decrease in volume from third-party channels, $0.9 million reduction in advertising expense, and a $0.5 million decrease in software and tools.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Product Development</w:t>
      </w:r>
    </w:p>
    <w:tbl>
      <w:tblPr>
        <w:tblW w:w="10104" w:type="dxa"/>
        <w:jc w:val="left"/>
        <w:tblInd w:w="0" w:type="dxa"/>
        <w:tblLayout w:type="fixed"/>
        <w:tblCellMar>
          <w:top w:w="28" w:type="dxa"/>
          <w:left w:w="28" w:type="dxa"/>
          <w:bottom w:w="28" w:type="dxa"/>
          <w:right w:w="28" w:type="dxa"/>
        </w:tblCellMar>
      </w:tblPr>
      <w:tblGrid>
        <w:gridCol w:w="674"/>
        <w:gridCol w:w="591"/>
        <w:gridCol w:w="594"/>
        <w:gridCol w:w="310"/>
        <w:gridCol w:w="338"/>
        <w:gridCol w:w="338"/>
        <w:gridCol w:w="160"/>
        <w:gridCol w:w="160"/>
        <w:gridCol w:w="160"/>
        <w:gridCol w:w="310"/>
        <w:gridCol w:w="338"/>
        <w:gridCol w:w="338"/>
        <w:gridCol w:w="109"/>
        <w:gridCol w:w="109"/>
        <w:gridCol w:w="109"/>
        <w:gridCol w:w="211"/>
        <w:gridCol w:w="466"/>
        <w:gridCol w:w="109"/>
        <w:gridCol w:w="109"/>
        <w:gridCol w:w="109"/>
        <w:gridCol w:w="109"/>
        <w:gridCol w:w="109"/>
        <w:gridCol w:w="109"/>
        <w:gridCol w:w="293"/>
        <w:gridCol w:w="338"/>
        <w:gridCol w:w="338"/>
        <w:gridCol w:w="151"/>
        <w:gridCol w:w="151"/>
        <w:gridCol w:w="151"/>
        <w:gridCol w:w="293"/>
        <w:gridCol w:w="338"/>
        <w:gridCol w:w="338"/>
        <w:gridCol w:w="109"/>
        <w:gridCol w:w="109"/>
        <w:gridCol w:w="109"/>
        <w:gridCol w:w="211"/>
        <w:gridCol w:w="616"/>
        <w:gridCol w:w="109"/>
        <w:gridCol w:w="109"/>
        <w:gridCol w:w="10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501"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744" w:type="dxa"/>
            <w:gridSpan w:val="10"/>
            <w:tcBorders/>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19,387</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58,847</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development expenses increased by $0.3 million, or 1.3%, and $1.2 million, or 2.0%, for the three and nine months ended September 30, 2025, respectively, as compared to the same periods in 2024. Product developments expenses were relatively consistent in the three-month period as compared to the prior year period and declined as a percentage of revenue by 50 basis points. The increase in the nine-month period was driven primarily by an additional $2.7 million in outsourced services and $0.8 million in software and tools, partially offset by a $2.3 million reduction in personnel and compensation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715"/>
        <w:gridCol w:w="628"/>
        <w:gridCol w:w="629"/>
        <w:gridCol w:w="289"/>
        <w:gridCol w:w="338"/>
        <w:gridCol w:w="338"/>
        <w:gridCol w:w="143"/>
        <w:gridCol w:w="143"/>
        <w:gridCol w:w="143"/>
        <w:gridCol w:w="289"/>
        <w:gridCol w:w="338"/>
        <w:gridCol w:w="338"/>
        <w:gridCol w:w="109"/>
        <w:gridCol w:w="109"/>
        <w:gridCol w:w="109"/>
        <w:gridCol w:w="211"/>
        <w:gridCol w:w="616"/>
        <w:gridCol w:w="109"/>
        <w:gridCol w:w="109"/>
        <w:gridCol w:w="109"/>
        <w:gridCol w:w="109"/>
        <w:gridCol w:w="109"/>
        <w:gridCol w:w="109"/>
        <w:gridCol w:w="278"/>
        <w:gridCol w:w="338"/>
        <w:gridCol w:w="338"/>
        <w:gridCol w:w="137"/>
        <w:gridCol w:w="137"/>
        <w:gridCol w:w="137"/>
        <w:gridCol w:w="278"/>
        <w:gridCol w:w="338"/>
        <w:gridCol w:w="338"/>
        <w:gridCol w:w="109"/>
        <w:gridCol w:w="109"/>
        <w:gridCol w:w="109"/>
        <w:gridCol w:w="211"/>
        <w:gridCol w:w="616"/>
        <w:gridCol w:w="109"/>
        <w:gridCol w:w="109"/>
        <w:gridCol w:w="109"/>
        <w:gridCol w:w="109"/>
        <w:gridCol w:w="157"/>
      </w:tblGrid>
      <w:tr>
        <w:trPr/>
        <w:tc>
          <w:tcPr>
            <w:tcW w:w="7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4" w:type="dxa"/>
            <w:gridSpan w:val="4"/>
            <w:tcBorders/>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86"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747" w:type="dxa"/>
            <w:gridSpan w:val="10"/>
            <w:tcBorders/>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35,362</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98,764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$3.7 million, or 11.8%, and $2.8 million, or 2.9%, for the three and nine months ended September 30, 2025, respectively, as compared to the same periods in 2024. The increase for the three-month period was driven primarily by an additional $4.7 million in professional and legal fees, $1.4 million in outsourced services, $0.7 million in bad debt expense, and $0.2 million in software and tools. These increases were partially offset by a $2.3 million decrease in personnel and compensation expense and a $1.6 million decrease in stock-based compensation expense. The increase for the nine-month period was driven primarily by an additional $1.8 million in professional and legal fees, $2.5 million in outsourced services, $1.5 million in stock-based compensation expense, $0.9 million in bad debt expense, $0.7 million in software and tools, and $0.6 million in capitalized software abandonment expenses. These increases were partially offset by an additional $4.5 million decrease in personnel and compensation expense, a $1.6 million decrease in insurance expense, and a $0.9 million decrease in facility expense. The increases in professional and legal fees for the three and the nine-month periods is primarily associated with transaction-related activity from acquisition and divestitures during 2025 as well as debt modification costs, while the increase in outsourced services is driven by cost optimization efforts utilizing third-party services enabling the reduction in personnel and compensation expense.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676"/>
        <w:gridCol w:w="594"/>
        <w:gridCol w:w="596"/>
        <w:gridCol w:w="278"/>
        <w:gridCol w:w="338"/>
        <w:gridCol w:w="338"/>
        <w:gridCol w:w="133"/>
        <w:gridCol w:w="133"/>
        <w:gridCol w:w="133"/>
        <w:gridCol w:w="278"/>
        <w:gridCol w:w="338"/>
        <w:gridCol w:w="338"/>
        <w:gridCol w:w="109"/>
        <w:gridCol w:w="109"/>
        <w:gridCol w:w="109"/>
        <w:gridCol w:w="211"/>
        <w:gridCol w:w="660"/>
        <w:gridCol w:w="109"/>
        <w:gridCol w:w="109"/>
        <w:gridCol w:w="109"/>
        <w:gridCol w:w="109"/>
        <w:gridCol w:w="109"/>
        <w:gridCol w:w="109"/>
        <w:gridCol w:w="270"/>
        <w:gridCol w:w="338"/>
        <w:gridCol w:w="338"/>
        <w:gridCol w:w="129"/>
        <w:gridCol w:w="129"/>
        <w:gridCol w:w="129"/>
        <w:gridCol w:w="270"/>
        <w:gridCol w:w="338"/>
        <w:gridCol w:w="338"/>
        <w:gridCol w:w="109"/>
        <w:gridCol w:w="109"/>
        <w:gridCol w:w="109"/>
        <w:gridCol w:w="211"/>
        <w:gridCol w:w="765"/>
        <w:gridCol w:w="109"/>
        <w:gridCol w:w="109"/>
        <w:gridCol w:w="109"/>
        <w:gridCol w:w="109"/>
        <w:gridCol w:w="162"/>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9" w:type="dxa"/>
            <w:gridSpan w:val="4"/>
            <w:tcBorders/>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38"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901" w:type="dxa"/>
            <w:gridSpan w:val="10"/>
            <w:tcBorders/>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50,120</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(10,636)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6"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expenses decreased by $3.2 million, or 16.0%, and $10.6 million, or 17.5%, for the three and nine months ended September 30, 2025, respectively, as compared to the same periods in 2024. The decrease for the three and nine-month periods were driven by lower intangible assets’ amortization due to the reduced rate of replacement assets resulting from a reduction in the number of business acquisitions compared to prior periods.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Loss on Held for Sale and Impairments</w:t>
      </w:r>
    </w:p>
    <w:tbl>
      <w:tblPr>
        <w:tblW w:w="10205" w:type="dxa"/>
        <w:jc w:val="left"/>
        <w:tblInd w:w="0" w:type="dxa"/>
        <w:tblLayout w:type="fixed"/>
        <w:tblCellMar>
          <w:top w:w="28" w:type="dxa"/>
          <w:left w:w="28" w:type="dxa"/>
          <w:bottom w:w="28" w:type="dxa"/>
          <w:right w:w="28" w:type="dxa"/>
        </w:tblCellMar>
      </w:tblPr>
      <w:tblGrid>
        <w:gridCol w:w="1061"/>
        <w:gridCol w:w="931"/>
        <w:gridCol w:w="937"/>
        <w:gridCol w:w="302"/>
        <w:gridCol w:w="173"/>
        <w:gridCol w:w="173"/>
        <w:gridCol w:w="153"/>
        <w:gridCol w:w="153"/>
        <w:gridCol w:w="153"/>
        <w:gridCol w:w="302"/>
        <w:gridCol w:w="160"/>
        <w:gridCol w:w="159"/>
        <w:gridCol w:w="109"/>
        <w:gridCol w:w="109"/>
        <w:gridCol w:w="109"/>
        <w:gridCol w:w="211"/>
        <w:gridCol w:w="429"/>
        <w:gridCol w:w="109"/>
        <w:gridCol w:w="109"/>
        <w:gridCol w:w="109"/>
        <w:gridCol w:w="109"/>
        <w:gridCol w:w="109"/>
        <w:gridCol w:w="109"/>
        <w:gridCol w:w="287"/>
        <w:gridCol w:w="158"/>
        <w:gridCol w:w="158"/>
        <w:gridCol w:w="145"/>
        <w:gridCol w:w="145"/>
        <w:gridCol w:w="145"/>
        <w:gridCol w:w="287"/>
        <w:gridCol w:w="338"/>
        <w:gridCol w:w="338"/>
        <w:gridCol w:w="109"/>
        <w:gridCol w:w="109"/>
        <w:gridCol w:w="109"/>
        <w:gridCol w:w="211"/>
        <w:gridCol w:w="788"/>
        <w:gridCol w:w="109"/>
        <w:gridCol w:w="109"/>
        <w:gridCol w:w="109"/>
        <w:gridCol w:w="109"/>
        <w:gridCol w:w="164"/>
      </w:tblGrid>
      <w:tr>
        <w:trPr/>
        <w:tc>
          <w:tcPr>
            <w:tcW w:w="10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91" w:type="dxa"/>
            <w:gridSpan w:val="4"/>
            <w:tcBorders/>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350"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926" w:type="dxa"/>
            <w:gridSpan w:val="10"/>
            <w:tcBorders/>
          </w:tcPr>
          <w:p>
            <w:pPr>
              <w:pStyle w:val="TableContents"/>
              <w:bidi w:val="0"/>
              <w:spacing w:before="0" w:after="283"/>
              <w:jc w:val="left"/>
              <w:rPr>
                <w:sz w:val="4"/>
                <w:szCs w:val="4"/>
              </w:rPr>
            </w:pPr>
            <w:r>
              <w:rPr>
                <w:sz w:val="4"/>
                <w:szCs w:val="4"/>
              </w:rPr>
            </w:r>
          </w:p>
        </w:tc>
      </w:tr>
      <w:tr>
        <w:trPr/>
        <w:tc>
          <w:tcPr>
            <w:tcW w:w="292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held for sale and impairments</w:t>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(11,676)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March 2024, we entered into definitive sale and purchase agreements to sell our Fitness Solutions (see Note 4. Acquisitions and Dispositions in this Quarterly Report on Form 10-Q). During the nine months ended September 30, 2025, we recorded a $0.1 million working capital adjustment related to the disposal of Fitness Solutions. During the three and nine months ended September 30, 2024, we recognized losses of $0.1 million and $5.0 million, respectively, related to the sale of Fitness Solutions. During the nine months ended September 30, 2024, we recognized a goodwill impairment charge of $6.4 million representing allocated goodwill to Fitness Solutions, and right-of-use lease asset impairment charges of $0.4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Interest and Other Expense, net</w:t>
      </w:r>
    </w:p>
    <w:tbl>
      <w:tblPr>
        <w:tblW w:w="10205" w:type="dxa"/>
        <w:jc w:val="left"/>
        <w:tblInd w:w="0" w:type="dxa"/>
        <w:tblLayout w:type="fixed"/>
        <w:tblCellMar>
          <w:top w:w="28" w:type="dxa"/>
          <w:left w:w="28" w:type="dxa"/>
          <w:bottom w:w="28" w:type="dxa"/>
          <w:right w:w="28" w:type="dxa"/>
        </w:tblCellMar>
      </w:tblPr>
      <w:tblGrid>
        <w:gridCol w:w="715"/>
        <w:gridCol w:w="629"/>
        <w:gridCol w:w="631"/>
        <w:gridCol w:w="288"/>
        <w:gridCol w:w="285"/>
        <w:gridCol w:w="286"/>
        <w:gridCol w:w="142"/>
        <w:gridCol w:w="142"/>
        <w:gridCol w:w="142"/>
        <w:gridCol w:w="288"/>
        <w:gridCol w:w="338"/>
        <w:gridCol w:w="338"/>
        <w:gridCol w:w="109"/>
        <w:gridCol w:w="109"/>
        <w:gridCol w:w="109"/>
        <w:gridCol w:w="211"/>
        <w:gridCol w:w="670"/>
        <w:gridCol w:w="109"/>
        <w:gridCol w:w="109"/>
        <w:gridCol w:w="109"/>
        <w:gridCol w:w="109"/>
        <w:gridCol w:w="109"/>
        <w:gridCol w:w="109"/>
        <w:gridCol w:w="277"/>
        <w:gridCol w:w="338"/>
        <w:gridCol w:w="338"/>
        <w:gridCol w:w="136"/>
        <w:gridCol w:w="136"/>
        <w:gridCol w:w="136"/>
        <w:gridCol w:w="277"/>
        <w:gridCol w:w="338"/>
        <w:gridCol w:w="338"/>
        <w:gridCol w:w="109"/>
        <w:gridCol w:w="109"/>
        <w:gridCol w:w="109"/>
        <w:gridCol w:w="211"/>
        <w:gridCol w:w="670"/>
        <w:gridCol w:w="109"/>
        <w:gridCol w:w="109"/>
        <w:gridCol w:w="109"/>
        <w:gridCol w:w="109"/>
        <w:gridCol w:w="16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8" w:type="dxa"/>
            <w:gridSpan w:val="4"/>
            <w:tcBorders/>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425"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805" w:type="dxa"/>
            <w:gridSpan w:val="10"/>
            <w:tcBorders/>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expense, net</w:t>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8,902</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(9,430)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30,459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33,675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and other expense, net, decreased by $9.4 million, or 51.4%, and decreased $3.2 million, or 9.6%, for the three and nine months ended September 30, 2025, respectively, as compared to the same periods in 2024, with the changes primarily driven by volatility of interest rates and foreign currency. The decrease for the three-month period was driven primarily by a decrease in unrealized loss on interest rate swaps of $8.1 million and a $2.1 million decrease in interest expense, partially offset by a $0.6 million unfavorable change in unrealized foreign currency gain (loss). The decrease for the nine-month period was driven primarily by a $5.7 million decrease in interest expense, a $0.7 million increase in interest income and a $0.5 million increase in unrealized foreign currency gain, partially offset by an increase in unrealized loss on interest rate swaps of $3.8 million. The decline in interest expense in both the three and nine-month periods is a result of lower variable base interest rates on the Company’s Credit Facilities (as defined below), the amendment to the Term Loan (as defined below) in the fourth quarter 2024 and third quarter 2025 resulting in a reduction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margin and the removal of the credit spread adjustment, and the swap executed in the third quarter 2024 to covert $125.0 million of the floating rate component of our Term Loan to a fixed rate (see Note 11. Long-Term Debt in this Quarterly report on Form 10-Q).</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9715" w:type="dxa"/>
        <w:jc w:val="left"/>
        <w:tblInd w:w="0" w:type="dxa"/>
        <w:tblLayout w:type="fixed"/>
        <w:tblCellMar>
          <w:top w:w="28" w:type="dxa"/>
          <w:left w:w="28" w:type="dxa"/>
          <w:bottom w:w="28" w:type="dxa"/>
          <w:right w:w="28" w:type="dxa"/>
        </w:tblCellMar>
      </w:tblPr>
      <w:tblGrid>
        <w:gridCol w:w="625"/>
        <w:gridCol w:w="548"/>
        <w:gridCol w:w="552"/>
        <w:gridCol w:w="310"/>
        <w:gridCol w:w="344"/>
        <w:gridCol w:w="346"/>
        <w:gridCol w:w="160"/>
        <w:gridCol w:w="160"/>
        <w:gridCol w:w="160"/>
        <w:gridCol w:w="310"/>
        <w:gridCol w:w="269"/>
        <w:gridCol w:w="271"/>
        <w:gridCol w:w="109"/>
        <w:gridCol w:w="109"/>
        <w:gridCol w:w="109"/>
        <w:gridCol w:w="211"/>
        <w:gridCol w:w="541"/>
        <w:gridCol w:w="109"/>
        <w:gridCol w:w="109"/>
        <w:gridCol w:w="109"/>
        <w:gridCol w:w="109"/>
        <w:gridCol w:w="293"/>
        <w:gridCol w:w="344"/>
        <w:gridCol w:w="346"/>
        <w:gridCol w:w="151"/>
        <w:gridCol w:w="151"/>
        <w:gridCol w:w="151"/>
        <w:gridCol w:w="293"/>
        <w:gridCol w:w="344"/>
        <w:gridCol w:w="346"/>
        <w:gridCol w:w="109"/>
        <w:gridCol w:w="109"/>
        <w:gridCol w:w="109"/>
        <w:gridCol w:w="347"/>
        <w:gridCol w:w="284"/>
        <w:gridCol w:w="287"/>
        <w:gridCol w:w="109"/>
        <w:gridCol w:w="109"/>
        <w:gridCol w:w="109"/>
        <w:gridCol w:w="154"/>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09"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(3,002)</w:t>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(7,564)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4,562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Income tax expense increased</w:t>
      </w:r>
      <w:r>
        <w:rPr>
          <w:color w:val="000000"/>
        </w:rPr>
        <w:t xml:space="preserve"> </w:t>
      </w:r>
      <w:r>
        <w:rPr>
          <w:rFonts w:ascii="Times New Roman;serif" w:hAnsi="Times New Roman;serif"/>
          <w:b w:val="false"/>
          <w:color w:val="000000"/>
          <w:sz w:val="20"/>
        </w:rPr>
        <w:t>by $0.3 million and decreased by $4.6 million for the three and nine months ended September 30, 2025, respectively, as compared to the corresponding periods in 2024, with the change driven primarily by an increase in net income from continuing operations before tax and discrete items, including the sale of Fitness Solutions during the nine months ended September 30, 2024.</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(Loss) from Discontinued Operations, Net of Income Tax</w:t>
      </w:r>
    </w:p>
    <w:tbl>
      <w:tblPr>
        <w:tblW w:w="10205" w:type="dxa"/>
        <w:jc w:val="left"/>
        <w:tblInd w:w="0" w:type="dxa"/>
        <w:tblLayout w:type="fixed"/>
        <w:tblCellMar>
          <w:top w:w="28" w:type="dxa"/>
          <w:left w:w="28" w:type="dxa"/>
          <w:bottom w:w="28" w:type="dxa"/>
          <w:right w:w="28" w:type="dxa"/>
        </w:tblCellMar>
      </w:tblPr>
      <w:tblGrid>
        <w:gridCol w:w="1022"/>
        <w:gridCol w:w="896"/>
        <w:gridCol w:w="901"/>
        <w:gridCol w:w="273"/>
        <w:gridCol w:w="285"/>
        <w:gridCol w:w="286"/>
        <w:gridCol w:w="130"/>
        <w:gridCol w:w="130"/>
        <w:gridCol w:w="130"/>
        <w:gridCol w:w="273"/>
        <w:gridCol w:w="200"/>
        <w:gridCol w:w="200"/>
        <w:gridCol w:w="109"/>
        <w:gridCol w:w="109"/>
        <w:gridCol w:w="109"/>
        <w:gridCol w:w="211"/>
        <w:gridCol w:w="616"/>
        <w:gridCol w:w="109"/>
        <w:gridCol w:w="109"/>
        <w:gridCol w:w="109"/>
        <w:gridCol w:w="109"/>
        <w:gridCol w:w="109"/>
        <w:gridCol w:w="109"/>
        <w:gridCol w:w="266"/>
        <w:gridCol w:w="252"/>
        <w:gridCol w:w="253"/>
        <w:gridCol w:w="126"/>
        <w:gridCol w:w="126"/>
        <w:gridCol w:w="126"/>
        <w:gridCol w:w="266"/>
        <w:gridCol w:w="327"/>
        <w:gridCol w:w="328"/>
        <w:gridCol w:w="109"/>
        <w:gridCol w:w="109"/>
        <w:gridCol w:w="109"/>
        <w:gridCol w:w="211"/>
        <w:gridCol w:w="466"/>
        <w:gridCol w:w="109"/>
        <w:gridCol w:w="109"/>
        <w:gridCol w:w="109"/>
        <w:gridCol w:w="109"/>
        <w:gridCol w:w="161"/>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9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88" w:type="dxa"/>
            <w:gridSpan w:val="4"/>
            <w:tcBorders/>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785"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1601" w:type="dxa"/>
            <w:gridSpan w:val="10"/>
            <w:tcBorders/>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5,312</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income tax was income of $5.4 million during the three months ended September 30, 2025 compared to an immaterial loss during the three months ended September 30, 2024. Loss from discontinued operations decreased $0.2 million during the nine months ended September 30, 2025, as compared to the same period in 2024. Discontinued operations for all periods presented consists of the operating results of marketing technology solutions. The increase in income from discontinued operations in the three-month period was due primarily to the discontinuation of depreciation and amortization upon classification of assets as held for sale, and a decrease in valuation allowance of $2.1 million to adjust the marketing technology disposal group to estimated fair value less cost to sell. The increase in loss from discontinued operations during the nine-month period was due to an impairment charge of $9.0 million, comprised of a goodwill impairment charge of $6.9 million. We did not have similar expenses during the nine months ended September 30, 2024, (see Note 3. Discontinued Operations in this Quarterly Report on Form 10-Q). This was partially offset by the discontinuation of depreciation and amortization upon classification of assets as held for sale.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date, our primary sources of liquidity have been net cash provided by operating activities, proceeds from equity issuances and proceeds from long-term debt.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utilize liquidity for items such as strategic investments in the ongoing transformation of our business and infrastructure, business acquisitions and share repurchases authorized through our Repurchase Program (defined below). Absent significant deterioration of market conditions, we expect that working capital requirements, capital expenditures, acquisitions, the Company’s Repurchase Program, debt servicing and lease obligations will be our principal needs for liquidity going forward.</w:t>
      </w:r>
    </w:p>
    <w:p>
      <w:pPr>
        <w:pStyle w:val="TextBody"/>
        <w:bidi w:val="0"/>
        <w:spacing w:lineRule="auto" w:line="288" w:before="120" w:after="283"/>
        <w:jc w:val="both"/>
        <w:rPr/>
      </w:pPr>
      <w:r>
        <w:rPr>
          <w:rFonts w:ascii="Times New Roman;serif" w:hAnsi="Times New Roman;serif"/>
          <w:b w:val="false"/>
          <w:color w:val="000000"/>
          <w:sz w:val="20"/>
        </w:rPr>
        <w:t>As of September 30, 2025, we had cash, cash equivalents and restricted cash, including cash and restricted cash classified as held for sale, of $107.3 million, $155.0 million of available borrowing capacity under our Revolver (as defined below) and $528.0 million outstanding under our Term Loan. We believe that our existing cash, cash equivalents and restricted cash, availability under our Credit Facilities,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If needed, additional funds may not be available on terms favorable to us, or at all. If we are unable to raise additional funds when desired, our business, financial condition and results of operations could be adversely affected. See Part II, Item 1A. “</w:t>
      </w:r>
      <w:r>
        <w:rPr>
          <w:rFonts w:ascii="Times New Roman;serif" w:hAnsi="Times New Roman;serif"/>
          <w:b w:val="false"/>
          <w:i/>
          <w:color w:val="000000"/>
          <w:sz w:val="20"/>
        </w:rPr>
        <w:t>Risk Factors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cash flow data, inclusive of continuing and discontinued operations, for the periods indicated therein:</w:t>
      </w:r>
    </w:p>
    <w:tbl>
      <w:tblPr>
        <w:tblW w:w="8093" w:type="dxa"/>
        <w:jc w:val="left"/>
        <w:tblInd w:w="0" w:type="dxa"/>
        <w:tblLayout w:type="fixed"/>
        <w:tblCellMar>
          <w:top w:w="28" w:type="dxa"/>
          <w:left w:w="28" w:type="dxa"/>
          <w:bottom w:w="28" w:type="dxa"/>
          <w:right w:w="28" w:type="dxa"/>
        </w:tblCellMar>
      </w:tblPr>
      <w:tblGrid>
        <w:gridCol w:w="2014"/>
        <w:gridCol w:w="1773"/>
        <w:gridCol w:w="1777"/>
        <w:gridCol w:w="211"/>
        <w:gridCol w:w="796"/>
        <w:gridCol w:w="109"/>
        <w:gridCol w:w="109"/>
        <w:gridCol w:w="109"/>
        <w:gridCol w:w="109"/>
        <w:gridCol w:w="211"/>
        <w:gridCol w:w="72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Nine months ended </w:t>
              <w:br/>
              <w:t>September 30,</w:t>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(51,341)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 changes on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Operating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$90.2 million for the nine months ended September 30, 2025, compared to $64.8 million for the nine months ended September 30, 2024. Changes in net cash provided by operating activities resulted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cash provided by operating activities for the nine months ended September 30, 2025 compared to the nine months ended September 30, 2024 was primarily due to lower costs as a result of our transformation and optimization initiatives comprised of lower costs directly related to the delivery of our services and products of $8.7 million, higher cash collections from our subscription and transaction fees, which includes revenues from payment processing, of approximately $7.5 million, lower interest payments of $5.8 million, a reduction in general overhead expenses, including personnel expenses, to support our business of $1.8 million, lower taxes paid of $0.8 million, and higher interest income of $0.8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Investing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net cash used in investing activities of $56.5 million was related primarily to the acquisition of ZyraTalk, net of cash acquired, for approximately $35.9 million, costs to develop software of $20.9 million, proceeds from the disposition of Fitness Solutions held in escrow of $2.3 million, and $1.9 million for purchases of property and equipment.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used in investing activities of $7.7 million was related primarily to costs to develop software of $13.1 million and $1.2 million for purchases of property and equipment, partially offset by proceeds from the sale of Fitness Solutions, net of transaction costs, cash and restricted cash sold for approximately $6.6 million.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Cash Flow from Financing Activities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net cash used in financing activities of $62.3 million was related primarily to the repurchase and retirement of shares of our common stock of $60.5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2024, net cash used in financing activities of $51.3 million was related primarily to the repurchase and retirement of shares of our common stock of $50.6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our repurchase and retirement of shares of our common stock, refer to Note 12. Equity in the notes to the unaudited condensed consolidated financial statements included in this Quarterly Report on Form 10-Q.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party to a credit agreement, as amended, that provides for one term loan for an aggregate principal amount of $529.4 million (the “Term Loan”), a revolver with a capacity of $155.0 million (the “Revolver”) and a sub-limit of the Revolver available for letters of credit up to an aggregate face amount of $20.0 million. These debt arrangements are collectively referred to herein as the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With respect to ABR borrowings, interest payments are due on a quarterly basis on the last business day of each March, June, September and December. With respect to Eurocurrency borrowings, interest payments are due on the 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13, 2024, the Company entered into an amendment (the “2024 Amendment”) to the Credit Facilities to reduce the applicable margin and remove the credit spread adjustment from the existing Term Loan in their entirety in an aggregate principal amount of $533.5 million. Following the 2024 Amendment, the Term Loan bears interest, at the borrower’s election, at (x) a forward-looking term rate based upon the secured overnight financing rate (“SOFR”) plus an applicable margin of 2.50%, with a minimum forward-looking SOFR rate 0.50% or (y) Alternative Base Rate (“ABR”) plus an applicable margin of 1.50%, with a minimum ABR of 1.50%, in each case, with no step-downs. The credit spread adjustment was removed in connection with the 2024 Amendment. The refinanced Term Loan priced at par and refinanced all of the existing term loans outstanding under the Credit Agreement immediately prior to giving effect to the 2024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as of June 10, 2025, the Company entered into an additional amendment to the Credit Facilities to reduce the commitments outstanding under the Revolver, extend the maturity of a portion of such commitments and reduce the applicable margin with respect to extended revolving loans. As a result of the amendment, commitments under the Revolver were reduced from $190.0 million to $155.0 million. With respect to $125.0 million of such commitments, (i) the maturity date was extended to January 6, 2028 and (ii) the applicable margin for (x) Term SOFR loans was reduced to 2.50% and (y) Alternate Base Rate loans was reduced to 1.50%, in each case, subject to a single 0.25% step-down based on the Company’s first lien net leverage ratio. With respect to the remaining $30.0 million of such commitments, (i) the maturity date remains July 6, 2026 and (ii) the applicable margin was unchanged.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29, 2025, the Company entered into an amendment to the Credit Facilities (the “2025 Amendment”) to, among other things, refinance the existing Term Loan in an aggregate principal amount of $529.4 million. The 2025 Amendment, among other things, (i) extends the maturity date of the Term Loan to July 6, 2031, and (ii) reduces the applicable margin by 25 basis points with respect to all term loans. The Term Loan bears interest, at the Borrower’s election, at (x) Term SOFR (as defined in the Credit Agreement) plus an applicable margin of 2.25%, with a minimum Term SOFR rate of 0.50% or (y) ABR (as defined in the Credit Agreement) plus an applicable margin of 1.25%, with a minimum Alternate Base Rate of 1.50%, in each case, with no step-downs. The refinanced Term Loan priced at par and refinanced the existing term loan outstanding under the Credit Agreement immediately prior to giving effect to the 2025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2025 Amendment, with respect to $125.0 million of commitments under the existing $155.0 million Revolver, (i) the maturity date was extended to July 29, 2030 and (ii) the applicable margin for (x) Term SOFR loans was reduced to 2.00% and (y) Alternate Base Rate loans was reduced to 1.00%, in each case, subject to one 25 basis points step-up based on the Company’s first lien net leverage ratio. Other than the changes noted above, the terms and conditions of all commitments at closing as well as those extending beyond the original maturity date remain the same as the existing Revolver. Accordingly, $155.0 million of availability remains under the Revolver until July 6, 2026 and then reduces to $125.0 million through July 29, 2030.</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entered into the following interest rate swap agreements in connection with our Credit Facilities to convert a portion of the floating rate component of the Term Loan from a floating rate to fixed rate:</w:t>
      </w:r>
    </w:p>
    <w:tbl>
      <w:tblPr>
        <w:tblW w:w="9403"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504"/>
        <w:gridCol w:w="504"/>
        <w:gridCol w:w="506"/>
        <w:gridCol w:w="109"/>
        <w:gridCol w:w="109"/>
        <w:gridCol w:w="109"/>
        <w:gridCol w:w="308"/>
        <w:gridCol w:w="308"/>
        <w:gridCol w:w="650"/>
        <w:gridCol w:w="109"/>
        <w:gridCol w:w="109"/>
        <w:gridCol w:w="109"/>
        <w:gridCol w:w="211"/>
        <w:gridCol w:w="826"/>
        <w:gridCol w:w="109"/>
        <w:gridCol w:w="109"/>
        <w:gridCol w:w="109"/>
        <w:gridCol w:w="109"/>
        <w:gridCol w:w="485"/>
        <w:gridCol w:w="1590"/>
        <w:gridCol w:w="3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Effective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Fixed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Asset (Liability) Fair Value at</w:t>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3.951 </w:t>
            </w:r>
          </w:p>
        </w:tc>
        <w:tc>
          <w:tcPr>
            <w:tcW w:w="6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6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Revolver has a variable commitment fee, which is based on our first lien leverage ratio. We expect the commitment fee to range from 0.25% to 0.375% per annum. We are obligated to pay a fixed fronting fee for letters of credit of 0.125% per annum.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Amounts borrowed under the Revolver may be repaid and re-borrowed through maturity of the Revolver in July 2030. The Term Loan matures in July 2031. The Term Loan may be repaid or prepaid but may not be re-borrowed.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was $528.0 million outstanding under our Credit Facilities, all of which was related to the Term Loan as no amounts were outstanding under the Revolver. The effective interest rate on the Term Loan was approximately 6.95% for the three months ended September 30, 2025, excluding the effect of any interest rate swap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the covenants under the Credit Facilities.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Stock Repurchase Program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14, 2022, our Board of Directors approved the stock repurchase program (as subsequently amended,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 Repurchases under the program may be made in the open market, in privately negotiated transactions or otherwise, with the amount and timing of repurchases to be determined at the Company’s discretion, depending on market conditions and corporate needs. The Repurchase Program does not obligate the Company to acquire any particular amount of common stock and may be modified, suspended or terminated at any time at the discretion of the Board. The Company expects to fund repurchases with existing cash on hand.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repurchased and retired 2.6 million and 5.7 million shares of common stock for approximately $29.1 million and $60.9 million, including transaction fees and taxes, during the three and nine months ended September 30, 2025, respectively. As of September 30, 2025, $22.3 million remained available under the Repurchase Program.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obligations as of September 30, 2025 from those disclosed in our Annual Report on Form 10-K, other than the above changes with respect to our Credit Facilities.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Notes 10. Leases, 11. Long-Term Debt and 17. Commitments and Contingencies in the notes to the unaudited condensed consolidated financial statements included in this Quarterly Report on Form 10-Q for a discussion of our operating leases, debt and contractual obligations, respectively.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Critical Accounting Policies and Significant Judgments and Estimates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 </w:t>
      </w:r>
    </w:p>
    <w:p>
      <w:pPr>
        <w:pStyle w:val="TextBody"/>
        <w:bidi w:val="0"/>
        <w:spacing w:lineRule="auto" w:line="288" w:before="120" w:after="283"/>
        <w:jc w:val="both"/>
        <w:rPr/>
      </w:pPr>
      <w:r>
        <w:rPr>
          <w:rFonts w:ascii="Times New Roman;serif" w:hAnsi="Times New Roman;serif"/>
          <w:b w:val="false"/>
          <w:color w:val="000000"/>
          <w:sz w:val="20"/>
        </w:rPr>
        <w:t xml:space="preserve">Our critical accounting policies are described in Part II, Item 7. </w:t>
      </w:r>
      <w:r>
        <w:rPr>
          <w:color w:val="000000"/>
        </w:rPr>
        <w:t>“</w:t>
      </w:r>
      <w:r>
        <w:rPr>
          <w:rFonts w:ascii="Times New Roman;serif" w:hAnsi="Times New Roman;serif"/>
          <w:b w:val="false"/>
          <w:i/>
          <w:color w:val="000000"/>
          <w:sz w:val="20"/>
        </w:rPr>
        <w:t>Management’s Discussion and Analysis of Financial Condition and Results of Operations—Critical Accounting Policies”</w:t>
      </w:r>
      <w:r>
        <w:rPr>
          <w:color w:val="000000"/>
        </w:rPr>
        <w:t xml:space="preserve"> </w:t>
      </w:r>
      <w:r>
        <w:rPr>
          <w:rFonts w:ascii="Times New Roman;serif" w:hAnsi="Times New Roman;serif"/>
          <w:b w:val="false"/>
          <w:color w:val="000000"/>
          <w:sz w:val="20"/>
        </w:rPr>
        <w:t>in our Annual Report on Form 10-K. During the nine months ended September 30, 2025, there were no material changes to our critical accounting policies from those discussed in our Annual Report on Form 10-K.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in the notes to the unaudited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Election Under the Jumpstart Our Business Startups Act of 2012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currently qualifies as an “emerging growth company” under the Jumpstart Our Business Startups Act of 2012 (“JOBS Act”). Accordingly, the Company is provided the option to adopt new or revised accounting guidance either (i) within the same periods as those otherwise applicable to non-emerging growth companies or (ii) within the same time periods as private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both"/>
        <w:rPr/>
      </w:pPr>
      <w:r>
        <w:rPr>
          <w:rFonts w:ascii="Times New Roman;serif" w:hAnsi="Times New Roman;serif"/>
          <w:b w:val="false"/>
          <w:color w:val="000000"/>
          <w:sz w:val="20"/>
        </w:rPr>
        <w:t xml:space="preserve">There have been no material changes to our disclosures regarding market risk as described in our Annual Report on Form 10-K under the heading Part II, Item 7A. </w:t>
      </w:r>
      <w:r>
        <w:rPr>
          <w:color w:val="000000"/>
        </w:rPr>
        <w:t>“</w:t>
      </w:r>
      <w:r>
        <w:rPr>
          <w:rFonts w:ascii="Times New Roman;serif" w:hAnsi="Times New Roman;serif"/>
          <w:b w:val="false"/>
          <w:i/>
          <w:color w:val="000000"/>
          <w:sz w:val="20"/>
        </w:rPr>
        <w:t>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September 30, 2025, our disclosure controls and procedures were not effective at the reasonable assurance level, due to the material weakness in our internal control over financial reporting as described in Part II, Item 9A</w:t>
      </w:r>
      <w:r>
        <w:rPr>
          <w:rFonts w:ascii="Times New Roman;serif" w:hAnsi="Times New Roman;serif"/>
          <w:b w:val="false"/>
          <w:i/>
          <w:color w:val="000000"/>
          <w:sz w:val="20"/>
        </w:rPr>
        <w:t>. “Controls and Procedures”</w:t>
      </w:r>
      <w:r>
        <w:rPr>
          <w:color w:val="000000"/>
        </w:rPr>
        <w:t xml:space="preserve"> </w:t>
      </w:r>
      <w:r>
        <w:rPr>
          <w:rFonts w:ascii="Times New Roman;serif" w:hAnsi="Times New Roman;serif"/>
          <w:b w:val="false"/>
          <w:color w:val="000000"/>
          <w:sz w:val="20"/>
        </w:rPr>
        <w:t>in our</w:t>
      </w:r>
      <w:r>
        <w:rPr>
          <w:color w:val="000000"/>
        </w:rPr>
        <w:t xml:space="preserve"> </w:t>
      </w:r>
      <w:r>
        <w:rPr>
          <w:rFonts w:ascii="Times New Roman;serif" w:hAnsi="Times New Roman;serif"/>
          <w:b w:val="false"/>
          <w:color w:val="000000"/>
          <w:sz w:val="20"/>
        </w:rPr>
        <w:t xml:space="preserve">Annual Report on Form 10-K for the year ended December 31, 2024.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We continue to work to remediate our material weakness in our internal control over financial reporting as described in Part II, Item 9A</w:t>
      </w:r>
      <w:r>
        <w:rPr>
          <w:rFonts w:ascii="Times New Roman;serif" w:hAnsi="Times New Roman;serif"/>
          <w:b w:val="false"/>
          <w:i/>
          <w:color w:val="000000"/>
          <w:sz w:val="20"/>
        </w:rPr>
        <w:t>. “Controls and Procedures”</w:t>
      </w:r>
      <w:r>
        <w:rPr>
          <w:color w:val="000000"/>
        </w:rPr>
        <w:t xml:space="preserve"> </w:t>
      </w:r>
      <w:r>
        <w:rPr>
          <w:rFonts w:ascii="Times New Roman;serif" w:hAnsi="Times New Roman;serif"/>
          <w:b w:val="false"/>
          <w:color w:val="000000"/>
          <w:sz w:val="20"/>
        </w:rPr>
        <w:t>in our</w:t>
      </w:r>
      <w:r>
        <w:rPr>
          <w:color w:val="000000"/>
        </w:rPr>
        <w:t xml:space="preserve"> </w:t>
      </w:r>
      <w:r>
        <w:rPr>
          <w:rFonts w:ascii="Times New Roman;serif" w:hAnsi="Times New Roman;serif"/>
          <w:b w:val="false"/>
          <w:color w:val="000000"/>
          <w:sz w:val="20"/>
        </w:rPr>
        <w:t>Annual Report on Form 10-K for the year ended December 31, 2024. There were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See Note 17. Commitments and Contingencies in the notes to the unaudited condensed consolidated financial statements included in this Quarterly Report on Form 10-Q for a discussion of material legal proceedings. 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jc w:val="both"/>
        <w:rPr/>
      </w:pPr>
      <w:r>
        <w:rPr>
          <w:rFonts w:ascii="Times New Roman;serif" w:hAnsi="Times New Roman;serif"/>
          <w:b w:val="false"/>
          <w:color w:val="000000"/>
          <w:sz w:val="20"/>
        </w:rPr>
        <w:t>In addition to the information set forth in this Quarterly Report on Form 10-Q, you should carefully consider the risk factors disclosed in Part I, Item 1A.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of our Annual Report on Form 10-K. There have been no material changes to our risk factors from those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Sales of Unregistered Securities; Purchases of Equity Securities by the Issuer or Affiliated Purchaser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repurchased approximately $29.1 million in shares of our common stock under our Repurchase Program, including transaction fees and taxes. The stock repurchase activity under our Repurchase Program during the three months ended September 30, 2025 was as follows:</w:t>
      </w:r>
    </w:p>
    <w:tbl>
      <w:tblPr>
        <w:tblW w:w="10205" w:type="dxa"/>
        <w:jc w:val="left"/>
        <w:tblInd w:w="0" w:type="dxa"/>
        <w:tblLayout w:type="fixed"/>
        <w:tblCellMar>
          <w:top w:w="28" w:type="dxa"/>
          <w:left w:w="28" w:type="dxa"/>
          <w:bottom w:w="28" w:type="dxa"/>
          <w:right w:w="28" w:type="dxa"/>
        </w:tblCellMar>
      </w:tblPr>
      <w:tblGrid>
        <w:gridCol w:w="856"/>
        <w:gridCol w:w="423"/>
        <w:gridCol w:w="428"/>
        <w:gridCol w:w="627"/>
        <w:gridCol w:w="426"/>
        <w:gridCol w:w="427"/>
        <w:gridCol w:w="109"/>
        <w:gridCol w:w="109"/>
        <w:gridCol w:w="109"/>
        <w:gridCol w:w="211"/>
        <w:gridCol w:w="616"/>
        <w:gridCol w:w="109"/>
        <w:gridCol w:w="109"/>
        <w:gridCol w:w="109"/>
        <w:gridCol w:w="109"/>
        <w:gridCol w:w="945"/>
        <w:gridCol w:w="766"/>
        <w:gridCol w:w="769"/>
        <w:gridCol w:w="109"/>
        <w:gridCol w:w="109"/>
        <w:gridCol w:w="109"/>
        <w:gridCol w:w="508"/>
        <w:gridCol w:w="1737"/>
        <w:gridCol w:w="376"/>
      </w:tblGrid>
      <w:tr>
        <w:trPr/>
        <w:tc>
          <w:tcPr>
            <w:tcW w:w="85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Average</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price paid</w:t>
            </w:r>
          </w:p>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Total number of shares purchased as part of publicly announced plans or programs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Approximate dollar value of shares that may yet be purchased under the plans or programs </w:t>
            </w:r>
            <w:r>
              <w:rPr>
                <w:rFonts w:ascii="Times New Roman;serif" w:hAnsi="Times New Roman;serif"/>
                <w:b w:val="false"/>
                <w:color w:val="000000"/>
                <w:sz w:val="12"/>
              </w:rPr>
              <w:t>(1)</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per share and share amounts)</w:t>
            </w:r>
          </w:p>
        </w:tc>
      </w:tr>
      <w:tr>
        <w:trPr/>
        <w:tc>
          <w:tcPr>
            <w:tcW w:w="1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July 1, 2025 - July 31, 2025</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991,482 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991,482 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40,262 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August 1, 2025 - August 31, 2025</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841,815 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841,815 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31,152 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September 1, 2025 - September 30, 2025</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765,422 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765,422 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17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22,274 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color w:val="000000"/>
          <w:sz w:val="20"/>
        </w:rPr>
        <w:t>(1)</w:t>
      </w:r>
      <w:r>
        <w:rPr>
          <w:rFonts w:ascii="Times New Roman;serif" w:hAnsi="Times New Roman;serif"/>
          <w:b w:val="false"/>
          <w:color w:val="000000"/>
          <w:sz w:val="20"/>
        </w:rPr>
        <w:t>On June 14, 2022, our Board approved the Repurchase Program with authorization to purchase up to $50.0 million in shares of the Company’s common stock through the expiration of the program on December 21, 2022. On November 7, 2022, November 5, 2023, May 21, 2024, May 1, 2025 and November 4, 2025 our Board increased the authorization of the Repurchase Program by an additional $50.0 million in shares of the Company’s common stock on each date for a total authorization to repurchase up to $300.0 million in shares of the Company’s common stock through December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the Board. The Company expects to fund repurchases with existing cash on hand.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20, 2025, Matt Feierstein, our President, entered into a Rule 10b5-1 trading arrangement (the “Feierstein 10b5-1 Sales Plan”) intended to satisfy the affirmative defense conditions of Rule 10b5-1(c) for the sale of up to 420,000 shares of the Company’s common stock held by Mr. Feierstein, until December 31, 2026 or upon the occurrence of certain events described in the Feierstein 10b5-1 Sales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 other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8"/>
        <w:gridCol w:w="245"/>
        <w:gridCol w:w="246"/>
        <w:gridCol w:w="109"/>
        <w:gridCol w:w="109"/>
        <w:gridCol w:w="109"/>
        <w:gridCol w:w="1391"/>
        <w:gridCol w:w="1366"/>
        <w:gridCol w:w="1370"/>
        <w:gridCol w:w="109"/>
        <w:gridCol w:w="109"/>
        <w:gridCol w:w="109"/>
        <w:gridCol w:w="175"/>
        <w:gridCol w:w="175"/>
        <w:gridCol w:w="176"/>
        <w:gridCol w:w="109"/>
        <w:gridCol w:w="109"/>
        <w:gridCol w:w="109"/>
        <w:gridCol w:w="239"/>
        <w:gridCol w:w="216"/>
        <w:gridCol w:w="153"/>
        <w:gridCol w:w="109"/>
        <w:gridCol w:w="109"/>
        <w:gridCol w:w="109"/>
        <w:gridCol w:w="225"/>
        <w:gridCol w:w="225"/>
        <w:gridCol w:w="226"/>
        <w:gridCol w:w="109"/>
        <w:gridCol w:w="109"/>
        <w:gridCol w:w="109"/>
        <w:gridCol w:w="195"/>
        <w:gridCol w:w="195"/>
        <w:gridCol w:w="196"/>
        <w:gridCol w:w="109"/>
        <w:gridCol w:w="109"/>
        <w:gridCol w:w="109"/>
        <w:gridCol w:w="276"/>
        <w:gridCol w:w="276"/>
        <w:gridCol w:w="399"/>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w:t>
            </w:r>
          </w:p>
        </w:tc>
      </w:tr>
      <w:tr>
        <w:trPr/>
        <w:tc>
          <w:tcPr>
            <w:tcW w:w="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Furnished</w:t>
              <w:br/>
              <w:t>Herewith</w:t>
            </w:r>
          </w:p>
        </w:tc>
      </w:tr>
      <w:tr>
        <w:trPr/>
        <w:tc>
          <w:tcPr>
            <w:tcW w:w="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2">
              <w:r>
                <w:rPr>
                  <w:rStyle w:val="InternetLink"/>
                  <w:rFonts w:ascii="Times New Roman;serif" w:hAnsi="Times New Roman;serif"/>
                  <w:b w:val="false"/>
                  <w:color w:val="0000FF"/>
                  <w:sz w:val="18"/>
                  <w:u w:val="single"/>
                </w:rPr>
                <w:t>Amended and Restated Certificate of Incorporation of EverCommerce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7/9/2021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3">
              <w:r>
                <w:rPr>
                  <w:rStyle w:val="InternetLink"/>
                  <w:rFonts w:ascii="Times New Roman;serif" w:hAnsi="Times New Roman;serif"/>
                  <w:b w:val="false"/>
                  <w:color w:val="0000FF"/>
                  <w:sz w:val="18"/>
                  <w:u w:val="single"/>
                </w:rPr>
                <w:t>Amended and Restated Bylaws of EverCommerce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001-40575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7/9/2021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r:id="rId4">
              <w:r>
                <w:rPr>
                  <w:rStyle w:val="InternetLink"/>
                  <w:rFonts w:ascii="Times New Roman;serif" w:hAnsi="Times New Roman;serif"/>
                  <w:b w:val="false"/>
                  <w:color w:val="0000FF"/>
                  <w:sz w:val="18"/>
                  <w:u w:val="single"/>
                </w:rPr>
                <w:t>Amendment No. 5, dated as of July 29, 2025 to the Credit Agreement, dated as of July 6, 2021, among EverCommerce Intermediate Inc., EverCommerce Solutions Inc., Royal Bank of Canada, as administrative agent and collateral agent, and the other parties and lenders party thereto.</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001-40575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7/30/2025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1-certificationofchief.htm">
              <w:r>
                <w:rPr>
                  <w:rStyle w:val="InternetLink"/>
                  <w:rFonts w:ascii="Times New Roman;serif" w:hAnsi="Times New Roman;serif"/>
                  <w:b w:val="false"/>
                  <w:color w:val="0000FF"/>
                  <w:sz w:val="18"/>
                  <w:u w:val="single"/>
                </w:rPr>
                <w:t>Certification of Chief Executive Officer pursuant to Rule 13a-14(a)/15d-14(a)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12-certificationofchief.htm">
              <w:r>
                <w:rPr>
                  <w:rStyle w:val="InternetLink"/>
                  <w:rFonts w:ascii="Times New Roman;serif" w:hAnsi="Times New Roman;serif"/>
                  <w:b w:val="false"/>
                  <w:color w:val="0000FF"/>
                  <w:sz w:val="18"/>
                  <w:u w:val="single"/>
                </w:rPr>
                <w:t>Certification of Chief Financial Officer pursuant to Rule 13a-14(a)/15d-14(a)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1-certificationofchief.htm">
              <w:r>
                <w:rPr>
                  <w:rStyle w:val="InternetLink"/>
                  <w:rFonts w:ascii="Times New Roman;serif" w:hAnsi="Times New Roman;serif"/>
                  <w:b w:val="false"/>
                  <w:color w:val="0000FF"/>
                  <w:sz w:val="18"/>
                  <w:u w:val="single"/>
                </w:rPr>
                <w:t>Certification of Chief Executive Officer pursuant to 18 U.S.C. Section 1350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ex322-certificationofchief.htm">
              <w:r>
                <w:rPr>
                  <w:rStyle w:val="InternetLink"/>
                  <w:rFonts w:ascii="Times New Roman;serif" w:hAnsi="Times New Roman;serif"/>
                  <w:b w:val="false"/>
                  <w:color w:val="0000FF"/>
                  <w:sz w:val="18"/>
                  <w:u w:val="single"/>
                </w:rPr>
                <w:t>Certification of Chief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1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both"/>
        <w:rPr/>
      </w:pPr>
      <w:r>
        <w:rPr/>
      </w:r>
    </w:p>
    <w:tbl>
      <w:tblPr>
        <w:tblW w:w="6041" w:type="dxa"/>
        <w:jc w:val="left"/>
        <w:tblInd w:w="0" w:type="dxa"/>
        <w:tblLayout w:type="fixed"/>
        <w:tblCellMar>
          <w:top w:w="28" w:type="dxa"/>
          <w:left w:w="28" w:type="dxa"/>
          <w:bottom w:w="28" w:type="dxa"/>
          <w:right w:w="28" w:type="dxa"/>
        </w:tblCellMar>
      </w:tblPr>
      <w:tblGrid>
        <w:gridCol w:w="783"/>
        <w:gridCol w:w="685"/>
        <w:gridCol w:w="692"/>
        <w:gridCol w:w="109"/>
        <w:gridCol w:w="109"/>
        <w:gridCol w:w="109"/>
        <w:gridCol w:w="345"/>
        <w:gridCol w:w="345"/>
        <w:gridCol w:w="345"/>
        <w:gridCol w:w="734"/>
        <w:gridCol w:w="734"/>
        <w:gridCol w:w="1051"/>
      </w:tblGrid>
      <w:tr>
        <w:trPr/>
        <w:tc>
          <w:tcPr>
            <w:tcW w:w="7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EVERCOMMERCE INC.</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Date: November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i/>
                <w:color w:val="000000"/>
                <w:sz w:val="20"/>
                <w:shd w:fill="FFFFFF" w:val="clear"/>
              </w:rPr>
              <w:t>(</w:t>
            </w:r>
            <w:r>
              <w:rPr>
                <w:rFonts w:ascii="Times New Roman;serif" w:hAnsi="Times New Roman;serif"/>
                <w:b w:val="false"/>
                <w:i/>
                <w:color w:val="000000"/>
                <w:sz w:val="20"/>
              </w:rPr>
              <w:t>Principal Financial Officer</w:t>
            </w:r>
            <w:r>
              <w:rPr>
                <w:rFonts w:ascii="Times New Roman;serif" w:hAnsi="Times New Roman;serif"/>
                <w:b w:val="false"/>
                <w:i/>
                <w:color w:val="000000"/>
                <w:sz w:val="20"/>
                <w:shd w:fill="FFFFFF" w:val="clear"/>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Eric Remer, certify that: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EverCommerce Inc.;</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left"/>
        <w:rPr/>
      </w:pPr>
      <w:r>
        <w:rPr/>
      </w:r>
    </w:p>
    <w:tbl>
      <w:tblPr>
        <w:tblW w:w="608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954"/>
        <w:gridCol w:w="954"/>
        <w:gridCol w:w="134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40" w:before="240" w:after="283"/>
        <w:jc w:val="both"/>
        <w:rPr>
          <w:rFonts w:ascii="Times New Roman;serif" w:hAnsi="Times New Roman;serif"/>
          <w:b w:val="false"/>
          <w:color w:val="000000"/>
          <w:sz w:val="20"/>
        </w:rPr>
      </w:pPr>
      <w:r>
        <w:rPr>
          <w:rFonts w:ascii="Times New Roman;serif" w:hAnsi="Times New Roman;serif"/>
          <w:b w:val="false"/>
          <w:color w:val="000000"/>
          <w:sz w:val="20"/>
        </w:rPr>
        <w:t>I, Ryan H. Siurek, certify that: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EverCommerce Inc.;</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24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490"/>
        <w:jc w:val="both"/>
        <w:rPr/>
      </w:pPr>
      <w:r>
        <w:rPr/>
      </w:r>
    </w:p>
    <w:tbl>
      <w:tblPr>
        <w:tblW w:w="539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51"/>
        <w:gridCol w:w="751"/>
        <w:gridCol w:w="106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EverCommerce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608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954"/>
        <w:gridCol w:w="954"/>
        <w:gridCol w:w="134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Eric Remer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Eric Remer</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40" w:before="240" w:after="283"/>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EverCommerce Inc. (the “Company”) for the period ended September 30, 2025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40" w:before="240" w:after="283"/>
        <w:ind w:left="0" w:right="0" w:hanging="49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490"/>
        <w:jc w:val="both"/>
        <w:rPr/>
      </w:pPr>
      <w:r>
        <w:rPr/>
      </w:r>
    </w:p>
    <w:tbl>
      <w:tblPr>
        <w:tblW w:w="539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134"/>
        <w:gridCol w:w="134"/>
        <w:gridCol w:w="136"/>
        <w:gridCol w:w="751"/>
        <w:gridCol w:w="751"/>
        <w:gridCol w:w="106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Ryan H. Siurek</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Ryan H. Siurek</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53145/000114036121023912/nt10022251x16_ex3-1.htm" TargetMode="External"/><Relationship Id="rId3" Type="http://schemas.openxmlformats.org/officeDocument/2006/relationships/hyperlink" Target="https://www.sec.gov/Archives/edgar/data/0001853145/000114036121023912/nt10022251x16_ex3-2.htm" TargetMode="External"/><Relationship Id="rId4" Type="http://schemas.openxmlformats.org/officeDocument/2006/relationships/hyperlink" Target="https://www.sec.gov/Archives/edgar/data/1853145/000185314525000030/amendmentno5tothecreditagr.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25717</Words>
  <Characters>145331</Characters>
  <CharactersWithSpaces>169235</CharactersWithSpaces>
  <Paragraphs>3378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