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jc w:val="center"/>
        <w:ind w:right="20"/>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6"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6"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 to ___________________</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001-40575</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EverCommerce Inc.</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9" w:lineRule="exact"/>
        <w:rPr>
          <w:sz w:val="24"/>
          <w:szCs w:val="24"/>
          <w:color w:val="auto"/>
        </w:rPr>
      </w:pPr>
    </w:p>
    <w:tbl>
      <w:tblPr>
        <w:tblLayout w:type="fixed"/>
        <w:tblInd w:w="2660" w:type="dxa"/>
        <w:tblCellMar>
          <w:top w:w="0" w:type="dxa"/>
          <w:left w:w="0" w:type="dxa"/>
          <w:bottom w:w="0" w:type="dxa"/>
          <w:right w:w="0" w:type="dxa"/>
        </w:tblCellMar>
      </w:tblPr>
      <w:tr>
        <w:trPr>
          <w:trHeight w:val="234"/>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right"/>
              <w:ind w:right="850"/>
              <w:spacing w:after="0"/>
              <w:rPr>
                <w:sz w:val="20"/>
                <w:szCs w:val="20"/>
                <w:color w:val="auto"/>
              </w:rPr>
            </w:pPr>
            <w:r>
              <w:rPr>
                <w:rFonts w:ascii="Arial" w:cs="Arial" w:eastAsia="Arial" w:hAnsi="Arial"/>
                <w:sz w:val="18"/>
                <w:szCs w:val="18"/>
                <w:b w:val="1"/>
                <w:bCs w:val="1"/>
                <w:color w:val="auto"/>
              </w:rPr>
              <w:t>81-4063248</w:t>
            </w:r>
          </w:p>
        </w:tc>
        <w:tc>
          <w:tcPr>
            <w:tcW w:w="0" w:type="dxa"/>
            <w:vAlign w:val="bottom"/>
          </w:tcPr>
          <w:p>
            <w:pPr>
              <w:spacing w:after="0"/>
              <w:rPr>
                <w:sz w:val="1"/>
                <w:szCs w:val="1"/>
                <w:color w:val="auto"/>
              </w:rPr>
            </w:pPr>
          </w:p>
        </w:tc>
      </w:tr>
      <w:tr>
        <w:trPr>
          <w:trHeight w:val="198"/>
        </w:trPr>
        <w:tc>
          <w:tcPr>
            <w:tcW w:w="3680" w:type="dxa"/>
            <w:vAlign w:val="bottom"/>
          </w:tcPr>
          <w:p>
            <w:pPr>
              <w:jc w:val="center"/>
              <w:ind w:right="630"/>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3460" w:type="dxa"/>
            <w:vAlign w:val="bottom"/>
            <w:vMerge w:val="restart"/>
          </w:tcPr>
          <w:p>
            <w:pPr>
              <w:jc w:val="center"/>
              <w:ind w:left="610"/>
              <w:spacing w:after="0"/>
              <w:rPr>
                <w:sz w:val="20"/>
                <w:szCs w:val="20"/>
                <w:color w:val="auto"/>
              </w:rPr>
            </w:pPr>
            <w:r>
              <w:rPr>
                <w:rFonts w:ascii="Arial" w:cs="Arial" w:eastAsia="Arial" w:hAnsi="Arial"/>
                <w:sz w:val="18"/>
                <w:szCs w:val="18"/>
                <w:b w:val="1"/>
                <w:bCs w:val="1"/>
                <w:color w:val="auto"/>
                <w:w w:val="93"/>
              </w:rPr>
              <w:t>(I.R.S. Employer Identification No.)</w:t>
            </w:r>
          </w:p>
        </w:tc>
        <w:tc>
          <w:tcPr>
            <w:tcW w:w="0" w:type="dxa"/>
            <w:vAlign w:val="bottom"/>
          </w:tcPr>
          <w:p>
            <w:pPr>
              <w:spacing w:after="0"/>
              <w:rPr>
                <w:sz w:val="1"/>
                <w:szCs w:val="1"/>
                <w:color w:val="auto"/>
              </w:rPr>
            </w:pPr>
          </w:p>
        </w:tc>
      </w:tr>
      <w:tr>
        <w:trPr>
          <w:trHeight w:val="140"/>
        </w:trPr>
        <w:tc>
          <w:tcPr>
            <w:tcW w:w="3680" w:type="dxa"/>
            <w:vAlign w:val="bottom"/>
            <w:vMerge w:val="restart"/>
          </w:tcPr>
          <w:p>
            <w:pPr>
              <w:jc w:val="center"/>
              <w:ind w:right="630"/>
              <w:spacing w:after="0"/>
              <w:rPr>
                <w:sz w:val="20"/>
                <w:szCs w:val="20"/>
                <w:color w:val="auto"/>
              </w:rPr>
            </w:pPr>
            <w:r>
              <w:rPr>
                <w:rFonts w:ascii="Arial" w:cs="Arial" w:eastAsia="Arial" w:hAnsi="Arial"/>
                <w:sz w:val="18"/>
                <w:szCs w:val="18"/>
                <w:b w:val="1"/>
                <w:bCs w:val="1"/>
                <w:color w:val="auto"/>
                <w:w w:val="91"/>
              </w:rPr>
              <w:t>incorporation or organization)</w:t>
            </w:r>
          </w:p>
        </w:tc>
        <w:tc>
          <w:tcPr>
            <w:tcW w:w="3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0"/>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3601 Walnut Street, Suite 400</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Denver, Colorado</w:t>
            </w:r>
          </w:p>
        </w:tc>
        <w:tc>
          <w:tcPr>
            <w:tcW w:w="3460" w:type="dxa"/>
            <w:vAlign w:val="bottom"/>
          </w:tcPr>
          <w:p>
            <w:pPr>
              <w:jc w:val="right"/>
              <w:ind w:right="1050"/>
              <w:spacing w:after="0"/>
              <w:rPr>
                <w:sz w:val="20"/>
                <w:szCs w:val="20"/>
                <w:color w:val="auto"/>
              </w:rPr>
            </w:pPr>
            <w:r>
              <w:rPr>
                <w:rFonts w:ascii="Arial" w:cs="Arial" w:eastAsia="Arial" w:hAnsi="Arial"/>
                <w:sz w:val="18"/>
                <w:szCs w:val="18"/>
                <w:b w:val="1"/>
                <w:bCs w:val="1"/>
                <w:color w:val="auto"/>
              </w:rPr>
              <w:t>80205</w:t>
            </w:r>
          </w:p>
        </w:tc>
        <w:tc>
          <w:tcPr>
            <w:tcW w:w="0" w:type="dxa"/>
            <w:vAlign w:val="bottom"/>
          </w:tcPr>
          <w:p>
            <w:pPr>
              <w:spacing w:after="0"/>
              <w:rPr>
                <w:sz w:val="1"/>
                <w:szCs w:val="1"/>
                <w:color w:val="auto"/>
              </w:rPr>
            </w:pPr>
          </w:p>
        </w:tc>
      </w:tr>
      <w:tr>
        <w:trPr>
          <w:trHeight w:val="243"/>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460" w:type="dxa"/>
            <w:vAlign w:val="bottom"/>
          </w:tcPr>
          <w:p>
            <w:pPr>
              <w:jc w:val="center"/>
              <w:ind w:left="61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bl>
    <w:p>
      <w:pPr>
        <w:spacing w:after="0" w:line="3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(720) 647-4948</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0"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EVCM</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10" w:lineRule="exact"/>
        <w:rPr>
          <w:sz w:val="24"/>
          <w:szCs w:val="24"/>
          <w:color w:val="auto"/>
        </w:rPr>
      </w:pPr>
    </w:p>
    <w:p>
      <w:pPr>
        <w:jc w:val="both"/>
        <w:ind w:right="20"/>
        <w:spacing w:after="0" w:line="22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right="20"/>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both"/>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Non-accelerated filer</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303"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5, 2021, there were 195,361,459 shares of the registrant’s common stock, par value $0.00001,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896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20" w:type="dxa"/>
            <w:vAlign w:val="bottom"/>
            <w:tcBorders>
              <w:bottom w:val="single" w:sz="8" w:color="CCEEFF"/>
            </w:tcBorders>
          </w:tcPr>
          <w:p>
            <w:pPr>
              <w:spacing w:after="0"/>
              <w:rPr>
                <w:sz w:val="24"/>
                <w:szCs w:val="24"/>
                <w:color w:val="auto"/>
              </w:rPr>
            </w:pPr>
          </w:p>
        </w:tc>
        <w:tc>
          <w:tcPr>
            <w:tcW w:w="896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89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140"/>
              <w:spacing w:after="0"/>
              <w:rPr>
                <w:rFonts w:ascii="Arial" w:cs="Arial" w:eastAsia="Arial" w:hAnsi="Arial"/>
                <w:sz w:val="18"/>
                <w:szCs w:val="18"/>
                <w:color w:val="auto"/>
              </w:rPr>
            </w:pPr>
            <w:hyperlink w:anchor="page6">
              <w:r>
                <w:rPr>
                  <w:rFonts w:ascii="Arial" w:cs="Arial" w:eastAsia="Arial" w:hAnsi="Arial"/>
                  <w:sz w:val="18"/>
                  <w:szCs w:val="18"/>
                  <w:color w:val="auto"/>
                </w:rPr>
                <w:t>Item 1.</w:t>
              </w:r>
            </w:hyperlink>
          </w:p>
        </w:tc>
        <w:tc>
          <w:tcPr>
            <w:tcW w:w="8960" w:type="dxa"/>
            <w:vAlign w:val="bottom"/>
          </w:tcPr>
          <w:p>
            <w:pPr>
              <w:ind w:left="32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Financial Statements (unaudited)</w:t>
              </w:r>
            </w:hyperlink>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16"/>
                <w:szCs w:val="16"/>
                <w:color w:val="auto"/>
              </w:rPr>
            </w:pPr>
          </w:p>
        </w:tc>
        <w:tc>
          <w:tcPr>
            <w:tcW w:w="8960" w:type="dxa"/>
            <w:vAlign w:val="bottom"/>
            <w:shd w:val="clear" w:color="auto" w:fill="CCEEFF"/>
          </w:tcPr>
          <w:p>
            <w:pPr>
              <w:ind w:left="320"/>
              <w:spacing w:after="0" w:line="189" w:lineRule="exact"/>
              <w:rPr>
                <w:rFonts w:ascii="Arial" w:cs="Arial" w:eastAsia="Arial" w:hAnsi="Arial"/>
                <w:sz w:val="18"/>
                <w:szCs w:val="18"/>
                <w:color w:val="auto"/>
              </w:rPr>
            </w:pPr>
            <w:hyperlink w:anchor="page7">
              <w:r>
                <w:rPr>
                  <w:rFonts w:ascii="Arial" w:cs="Arial" w:eastAsia="Arial" w:hAnsi="Arial"/>
                  <w:sz w:val="18"/>
                  <w:szCs w:val="18"/>
                  <w:color w:val="auto"/>
                </w:rPr>
                <w:t xml:space="preserve">Condensed Consolidated Balance Sheets as of </w:t>
              </w:r>
            </w:hyperlink>
            <w:r>
              <w:rPr>
                <w:rFonts w:ascii="Arial" w:cs="Arial" w:eastAsia="Arial" w:hAnsi="Arial"/>
                <w:sz w:val="18"/>
                <w:szCs w:val="18"/>
                <w:color w:val="auto"/>
              </w:rPr>
              <w:t xml:space="preserve">September 30, 2021 </w:t>
            </w:r>
            <w:hyperlink w:anchor="page7">
              <w:r>
                <w:rPr>
                  <w:rFonts w:ascii="Arial" w:cs="Arial" w:eastAsia="Arial" w:hAnsi="Arial"/>
                  <w:sz w:val="18"/>
                  <w:szCs w:val="18"/>
                  <w:color w:val="auto"/>
                </w:rPr>
                <w:t xml:space="preserve">(unaudited) and </w:t>
              </w:r>
            </w:hyperlink>
            <w:r>
              <w:rPr>
                <w:rFonts w:ascii="Arial" w:cs="Arial" w:eastAsia="Arial" w:hAnsi="Arial"/>
                <w:sz w:val="18"/>
                <w:szCs w:val="18"/>
                <w:color w:val="auto"/>
              </w:rPr>
              <w:t>December 31, 2020</w:t>
            </w:r>
          </w:p>
        </w:tc>
        <w:tc>
          <w:tcPr>
            <w:tcW w:w="660" w:type="dxa"/>
            <w:vAlign w:val="bottom"/>
            <w:gridSpan w:val="4"/>
            <w:shd w:val="clear" w:color="auto" w:fill="CCEEFF"/>
          </w:tcPr>
          <w:p>
            <w:pPr>
              <w:jc w:val="center"/>
              <w:ind w:left="41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89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20" w:type="dxa"/>
            <w:vAlign w:val="bottom"/>
          </w:tcPr>
          <w:p>
            <w:pPr>
              <w:spacing w:after="0"/>
              <w:rPr>
                <w:sz w:val="15"/>
                <w:szCs w:val="15"/>
                <w:color w:val="auto"/>
              </w:rPr>
            </w:pPr>
          </w:p>
        </w:tc>
        <w:tc>
          <w:tcPr>
            <w:tcW w:w="8960" w:type="dxa"/>
            <w:vAlign w:val="bottom"/>
          </w:tcPr>
          <w:p>
            <w:pPr>
              <w:ind w:left="320"/>
              <w:spacing w:after="0" w:line="176" w:lineRule="exact"/>
              <w:rPr>
                <w:rFonts w:ascii="Arial" w:cs="Arial" w:eastAsia="Arial" w:hAnsi="Arial"/>
                <w:sz w:val="18"/>
                <w:szCs w:val="18"/>
                <w:color w:val="auto"/>
                <w:w w:val="90"/>
              </w:rPr>
            </w:pPr>
            <w:hyperlink w:anchor="page8">
              <w:r>
                <w:rPr>
                  <w:rFonts w:ascii="Arial" w:cs="Arial" w:eastAsia="Arial" w:hAnsi="Arial"/>
                  <w:sz w:val="18"/>
                  <w:szCs w:val="18"/>
                  <w:color w:val="auto"/>
                  <w:w w:val="90"/>
                </w:rPr>
                <w:t xml:space="preserve">Condensed Consolidated Statements of Operations and Comprehensive Loss (unaudited) for the </w:t>
              </w:r>
            </w:hyperlink>
            <w:r>
              <w:rPr>
                <w:rFonts w:ascii="Arial" w:cs="Arial" w:eastAsia="Arial" w:hAnsi="Arial"/>
                <w:sz w:val="18"/>
                <w:szCs w:val="18"/>
                <w:color w:val="auto"/>
                <w:w w:val="90"/>
              </w:rPr>
              <w:t>three and nine months</w:t>
            </w:r>
          </w:p>
        </w:tc>
        <w:tc>
          <w:tcPr>
            <w:tcW w:w="660" w:type="dxa"/>
            <w:vAlign w:val="bottom"/>
            <w:gridSpan w:val="4"/>
            <w:vMerge w:val="restart"/>
          </w:tcPr>
          <w:p>
            <w:pPr>
              <w:jc w:val="center"/>
              <w:ind w:left="41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3</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8960" w:type="dxa"/>
            <w:vAlign w:val="bottom"/>
          </w:tcPr>
          <w:p>
            <w:pPr>
              <w:ind w:left="48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ended September 30, 2021 </w:t>
            </w:r>
            <w:hyperlink w:anchor="page8">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66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20" w:type="dxa"/>
            <w:vAlign w:val="bottom"/>
            <w:shd w:val="clear" w:color="auto" w:fill="CCEEFF"/>
          </w:tcPr>
          <w:p>
            <w:pPr>
              <w:spacing w:after="0"/>
              <w:rPr>
                <w:sz w:val="15"/>
                <w:szCs w:val="15"/>
                <w:color w:val="auto"/>
              </w:rPr>
            </w:pPr>
          </w:p>
        </w:tc>
        <w:tc>
          <w:tcPr>
            <w:tcW w:w="89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2"/>
              </w:rPr>
              <w:t>Condensed Consolidated Statements of Convertible Preferred Stock and Stockholders’ Equity (Deficit) (unaudited) for</w:t>
            </w: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spacing w:after="0"/>
              <w:rPr>
                <w:sz w:val="19"/>
                <w:szCs w:val="19"/>
                <w:color w:val="auto"/>
              </w:rPr>
            </w:pPr>
          </w:p>
        </w:tc>
        <w:tc>
          <w:tcPr>
            <w:tcW w:w="8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three and nine months ended September 30, 2021 and 2020</w:t>
            </w: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8960" w:type="dxa"/>
            <w:vAlign w:val="bottom"/>
          </w:tcPr>
          <w:p>
            <w:pPr>
              <w:ind w:left="320"/>
              <w:spacing w:after="0" w:line="176" w:lineRule="exact"/>
              <w:rPr>
                <w:rFonts w:ascii="Arial" w:cs="Arial" w:eastAsia="Arial" w:hAnsi="Arial"/>
                <w:sz w:val="18"/>
                <w:szCs w:val="18"/>
                <w:color w:val="auto"/>
                <w:w w:val="92"/>
              </w:rPr>
            </w:pPr>
            <w:hyperlink w:anchor="page11">
              <w:r>
                <w:rPr>
                  <w:rFonts w:ascii="Arial" w:cs="Arial" w:eastAsia="Arial" w:hAnsi="Arial"/>
                  <w:sz w:val="18"/>
                  <w:szCs w:val="18"/>
                  <w:color w:val="auto"/>
                  <w:w w:val="92"/>
                </w:rPr>
                <w:t xml:space="preserve">Condensed Consolidated Statements of Cash Flows (unaudited) for the </w:t>
              </w:r>
            </w:hyperlink>
            <w:r>
              <w:rPr>
                <w:rFonts w:ascii="Arial" w:cs="Arial" w:eastAsia="Arial" w:hAnsi="Arial"/>
                <w:sz w:val="18"/>
                <w:szCs w:val="18"/>
                <w:color w:val="auto"/>
                <w:w w:val="92"/>
              </w:rPr>
              <w:t xml:space="preserve">nine months ended September 30, 2021 </w:t>
            </w:r>
            <w:hyperlink w:anchor="page11">
              <w:r>
                <w:rPr>
                  <w:rFonts w:ascii="Arial" w:cs="Arial" w:eastAsia="Arial" w:hAnsi="Arial"/>
                  <w:sz w:val="18"/>
                  <w:szCs w:val="18"/>
                  <w:color w:val="auto"/>
                  <w:w w:val="92"/>
                </w:rPr>
                <w:t>and</w:t>
              </w:r>
            </w:hyperlink>
          </w:p>
        </w:tc>
        <w:tc>
          <w:tcPr>
            <w:tcW w:w="660" w:type="dxa"/>
            <w:vAlign w:val="bottom"/>
            <w:gridSpan w:val="4"/>
            <w:vMerge w:val="restart"/>
          </w:tcPr>
          <w:p>
            <w:pPr>
              <w:jc w:val="center"/>
              <w:ind w:left="41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6</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8960" w:type="dxa"/>
            <w:vAlign w:val="bottom"/>
          </w:tcPr>
          <w:p>
            <w:pPr>
              <w:ind w:left="480"/>
              <w:spacing w:after="0" w:line="189" w:lineRule="exact"/>
              <w:rPr>
                <w:sz w:val="20"/>
                <w:szCs w:val="20"/>
                <w:color w:val="auto"/>
              </w:rPr>
            </w:pPr>
            <w:r>
              <w:rPr>
                <w:rFonts w:ascii="Arial" w:cs="Arial" w:eastAsia="Arial" w:hAnsi="Arial"/>
                <w:sz w:val="18"/>
                <w:szCs w:val="18"/>
                <w:color w:val="auto"/>
              </w:rPr>
              <w:t>2020</w:t>
            </w:r>
          </w:p>
        </w:tc>
        <w:tc>
          <w:tcPr>
            <w:tcW w:w="66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spacing w:after="0"/>
              <w:rPr>
                <w:sz w:val="16"/>
                <w:szCs w:val="16"/>
                <w:color w:val="auto"/>
              </w:rPr>
            </w:pPr>
          </w:p>
        </w:tc>
        <w:tc>
          <w:tcPr>
            <w:tcW w:w="8960" w:type="dxa"/>
            <w:vAlign w:val="bottom"/>
            <w:shd w:val="clear" w:color="auto" w:fill="CCEEFF"/>
          </w:tcPr>
          <w:p>
            <w:pPr>
              <w:ind w:left="320"/>
              <w:spacing w:after="0" w:line="189" w:lineRule="exact"/>
              <w:rPr>
                <w:rFonts w:ascii="Arial" w:cs="Arial" w:eastAsia="Arial" w:hAnsi="Arial"/>
                <w:sz w:val="18"/>
                <w:szCs w:val="18"/>
                <w:color w:val="auto"/>
              </w:rPr>
            </w:pPr>
            <w:hyperlink w:anchor="page13">
              <w:r>
                <w:rPr>
                  <w:rFonts w:ascii="Arial" w:cs="Arial" w:eastAsia="Arial" w:hAnsi="Arial"/>
                  <w:sz w:val="18"/>
                  <w:szCs w:val="18"/>
                  <w:color w:val="auto"/>
                </w:rPr>
                <w:t>Notes to Condensed Consolidated Financial Statements (unaudited)</w:t>
              </w:r>
            </w:hyperlink>
          </w:p>
        </w:tc>
        <w:tc>
          <w:tcPr>
            <w:tcW w:w="660" w:type="dxa"/>
            <w:vAlign w:val="bottom"/>
            <w:gridSpan w:val="4"/>
            <w:shd w:val="clear" w:color="auto" w:fill="CCEEFF"/>
          </w:tcPr>
          <w:p>
            <w:pPr>
              <w:jc w:val="center"/>
              <w:ind w:left="410"/>
              <w:spacing w:after="0" w:line="189"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8</w:t>
              </w:r>
            </w:hyperlink>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89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Pr>
          <w:p>
            <w:pPr>
              <w:ind w:left="140"/>
              <w:spacing w:after="0" w:line="189" w:lineRule="exact"/>
              <w:rPr>
                <w:rFonts w:ascii="Arial" w:cs="Arial" w:eastAsia="Arial" w:hAnsi="Arial"/>
                <w:sz w:val="18"/>
                <w:szCs w:val="18"/>
                <w:color w:val="auto"/>
              </w:rPr>
            </w:pPr>
            <w:hyperlink w:anchor="page38">
              <w:r>
                <w:rPr>
                  <w:rFonts w:ascii="Arial" w:cs="Arial" w:eastAsia="Arial" w:hAnsi="Arial"/>
                  <w:sz w:val="18"/>
                  <w:szCs w:val="18"/>
                  <w:color w:val="auto"/>
                </w:rPr>
                <w:t>Item 2.</w:t>
              </w:r>
            </w:hyperlink>
          </w:p>
        </w:tc>
        <w:tc>
          <w:tcPr>
            <w:tcW w:w="8960" w:type="dxa"/>
            <w:vAlign w:val="bottom"/>
          </w:tcPr>
          <w:p>
            <w:pPr>
              <w:ind w:left="320"/>
              <w:spacing w:after="0" w:line="189" w:lineRule="exact"/>
              <w:rPr>
                <w:rFonts w:ascii="Arial" w:cs="Arial" w:eastAsia="Arial" w:hAnsi="Arial"/>
                <w:sz w:val="18"/>
                <w:szCs w:val="18"/>
                <w:color w:val="auto"/>
              </w:rPr>
            </w:pPr>
            <w:hyperlink w:anchor="page38">
              <w:r>
                <w:rPr>
                  <w:rFonts w:ascii="Arial" w:cs="Arial" w:eastAsia="Arial" w:hAnsi="Arial"/>
                  <w:sz w:val="18"/>
                  <w:szCs w:val="18"/>
                  <w:color w:val="auto"/>
                </w:rPr>
                <w:t>Management’s Discussion and Analysis of Financial Condition and Results of Operations</w:t>
              </w:r>
            </w:hyperlink>
          </w:p>
        </w:tc>
        <w:tc>
          <w:tcPr>
            <w:tcW w:w="1160" w:type="dxa"/>
            <w:vAlign w:val="bottom"/>
            <w:gridSpan w:val="5"/>
          </w:tcPr>
          <w:p>
            <w:pPr>
              <w:jc w:val="center"/>
              <w:ind w:right="20"/>
              <w:spacing w:after="0" w:line="189"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140"/>
              <w:spacing w:after="0" w:line="189" w:lineRule="exact"/>
              <w:rPr>
                <w:rFonts w:ascii="Arial" w:cs="Arial" w:eastAsia="Arial" w:hAnsi="Arial"/>
                <w:sz w:val="18"/>
                <w:szCs w:val="18"/>
                <w:color w:val="auto"/>
              </w:rPr>
            </w:pPr>
            <w:hyperlink w:anchor="page59">
              <w:r>
                <w:rPr>
                  <w:rFonts w:ascii="Arial" w:cs="Arial" w:eastAsia="Arial" w:hAnsi="Arial"/>
                  <w:sz w:val="18"/>
                  <w:szCs w:val="18"/>
                  <w:color w:val="auto"/>
                </w:rPr>
                <w:t>Item 3.</w:t>
              </w:r>
            </w:hyperlink>
          </w:p>
        </w:tc>
        <w:tc>
          <w:tcPr>
            <w:tcW w:w="8960" w:type="dxa"/>
            <w:vAlign w:val="bottom"/>
            <w:shd w:val="clear" w:color="auto" w:fill="CCEEFF"/>
          </w:tcPr>
          <w:p>
            <w:pPr>
              <w:ind w:left="320"/>
              <w:spacing w:after="0" w:line="189" w:lineRule="exact"/>
              <w:rPr>
                <w:rFonts w:ascii="Arial" w:cs="Arial" w:eastAsia="Arial" w:hAnsi="Arial"/>
                <w:sz w:val="18"/>
                <w:szCs w:val="18"/>
                <w:color w:val="auto"/>
              </w:rPr>
            </w:pPr>
            <w:hyperlink w:anchor="page59">
              <w:r>
                <w:rPr>
                  <w:rFonts w:ascii="Arial" w:cs="Arial" w:eastAsia="Arial" w:hAnsi="Arial"/>
                  <w:sz w:val="18"/>
                  <w:szCs w:val="18"/>
                  <w:color w:val="auto"/>
                </w:rPr>
                <w:t>Quantitative and Qualitative Disclosures About Market Risk</w:t>
              </w:r>
            </w:hyperlink>
          </w:p>
        </w:tc>
        <w:tc>
          <w:tcPr>
            <w:tcW w:w="48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center"/>
              <w:ind w:right="500"/>
              <w:spacing w:after="0" w:line="189"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53</w:t>
              </w:r>
            </w:hyperlink>
          </w:p>
        </w:tc>
        <w:tc>
          <w:tcPr>
            <w:tcW w:w="0" w:type="dxa"/>
            <w:vAlign w:val="bottom"/>
          </w:tcPr>
          <w:p>
            <w:pPr>
              <w:spacing w:after="0"/>
              <w:rPr>
                <w:sz w:val="1"/>
                <w:szCs w:val="1"/>
                <w:color w:val="auto"/>
              </w:rPr>
            </w:pP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89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Pr>
          <w:p>
            <w:pPr>
              <w:ind w:left="140"/>
              <w:spacing w:after="0" w:line="189" w:lineRule="exact"/>
              <w:rPr>
                <w:rFonts w:ascii="Arial" w:cs="Arial" w:eastAsia="Arial" w:hAnsi="Arial"/>
                <w:sz w:val="18"/>
                <w:szCs w:val="18"/>
                <w:color w:val="auto"/>
              </w:rPr>
            </w:pPr>
            <w:hyperlink w:anchor="page59">
              <w:r>
                <w:rPr>
                  <w:rFonts w:ascii="Arial" w:cs="Arial" w:eastAsia="Arial" w:hAnsi="Arial"/>
                  <w:sz w:val="18"/>
                  <w:szCs w:val="18"/>
                  <w:color w:val="auto"/>
                </w:rPr>
                <w:t>Item 4.</w:t>
              </w:r>
            </w:hyperlink>
          </w:p>
        </w:tc>
        <w:tc>
          <w:tcPr>
            <w:tcW w:w="8960" w:type="dxa"/>
            <w:vAlign w:val="bottom"/>
          </w:tcPr>
          <w:p>
            <w:pPr>
              <w:ind w:left="320"/>
              <w:spacing w:after="0" w:line="189" w:lineRule="exact"/>
              <w:rPr>
                <w:rFonts w:ascii="Arial" w:cs="Arial" w:eastAsia="Arial" w:hAnsi="Arial"/>
                <w:sz w:val="18"/>
                <w:szCs w:val="18"/>
                <w:color w:val="auto"/>
              </w:rPr>
            </w:pPr>
            <w:hyperlink w:anchor="page59">
              <w:r>
                <w:rPr>
                  <w:rFonts w:ascii="Arial" w:cs="Arial" w:eastAsia="Arial" w:hAnsi="Arial"/>
                  <w:sz w:val="18"/>
                  <w:szCs w:val="18"/>
                  <w:color w:val="auto"/>
                </w:rPr>
                <w:t>Controls and Procedures</w:t>
              </w:r>
            </w:hyperlink>
          </w:p>
        </w:tc>
        <w:tc>
          <w:tcPr>
            <w:tcW w:w="480" w:type="dxa"/>
            <w:vAlign w:val="bottom"/>
          </w:tcPr>
          <w:p>
            <w:pPr>
              <w:spacing w:after="0"/>
              <w:rPr>
                <w:sz w:val="16"/>
                <w:szCs w:val="16"/>
                <w:color w:val="auto"/>
              </w:rPr>
            </w:pPr>
          </w:p>
        </w:tc>
        <w:tc>
          <w:tcPr>
            <w:tcW w:w="680" w:type="dxa"/>
            <w:vAlign w:val="bottom"/>
            <w:gridSpan w:val="4"/>
          </w:tcPr>
          <w:p>
            <w:pPr>
              <w:jc w:val="center"/>
              <w:ind w:right="500"/>
              <w:spacing w:after="0" w:line="189"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53</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shd w:val="clear" w:color="auto" w:fill="CCEEFF"/>
          </w:tcPr>
          <w:p>
            <w:pPr>
              <w:spacing w:after="0"/>
              <w:rPr>
                <w:sz w:val="23"/>
                <w:szCs w:val="23"/>
                <w:color w:val="auto"/>
              </w:rPr>
            </w:pPr>
          </w:p>
        </w:tc>
        <w:tc>
          <w:tcPr>
            <w:tcW w:w="89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rFonts w:ascii="Arial" w:cs="Arial" w:eastAsia="Arial" w:hAnsi="Arial"/>
                <w:sz w:val="18"/>
                <w:szCs w:val="18"/>
                <w:b w:val="1"/>
                <w:bCs w:val="1"/>
                <w:color w:val="auto"/>
              </w:rPr>
            </w:pPr>
            <w:hyperlink w:anchor="page59">
              <w:r>
                <w:rPr>
                  <w:rFonts w:ascii="Arial" w:cs="Arial" w:eastAsia="Arial" w:hAnsi="Arial"/>
                  <w:sz w:val="18"/>
                  <w:szCs w:val="18"/>
                  <w:b w:val="1"/>
                  <w:bCs w:val="1"/>
                  <w:color w:val="auto"/>
                </w:rPr>
                <w:t>PART II</w:t>
              </w:r>
            </w:hyperlink>
          </w:p>
        </w:tc>
        <w:tc>
          <w:tcPr>
            <w:tcW w:w="8960" w:type="dxa"/>
            <w:vAlign w:val="bottom"/>
          </w:tcPr>
          <w:p>
            <w:pPr>
              <w:ind w:left="320"/>
              <w:spacing w:after="0"/>
              <w:rPr>
                <w:rFonts w:ascii="Arial" w:cs="Arial" w:eastAsia="Arial" w:hAnsi="Arial"/>
                <w:sz w:val="18"/>
                <w:szCs w:val="18"/>
                <w:b w:val="1"/>
                <w:bCs w:val="1"/>
                <w:color w:val="auto"/>
              </w:rPr>
            </w:pPr>
            <w:hyperlink w:anchor="page59">
              <w:r>
                <w:rPr>
                  <w:rFonts w:ascii="Arial" w:cs="Arial" w:eastAsia="Arial" w:hAnsi="Arial"/>
                  <w:sz w:val="18"/>
                  <w:szCs w:val="18"/>
                  <w:b w:val="1"/>
                  <w:bCs w:val="1"/>
                  <w:color w:val="auto"/>
                </w:rPr>
                <w:t>OTHER INFORMATION</w:t>
              </w:r>
            </w:hyperlink>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ind w:left="140"/>
              <w:spacing w:after="0" w:line="189" w:lineRule="exact"/>
              <w:rPr>
                <w:rFonts w:ascii="Arial" w:cs="Arial" w:eastAsia="Arial" w:hAnsi="Arial"/>
                <w:sz w:val="18"/>
                <w:szCs w:val="18"/>
                <w:color w:val="auto"/>
              </w:rPr>
            </w:pPr>
            <w:hyperlink w:anchor="page60">
              <w:r>
                <w:rPr>
                  <w:rFonts w:ascii="Arial" w:cs="Arial" w:eastAsia="Arial" w:hAnsi="Arial"/>
                  <w:sz w:val="18"/>
                  <w:szCs w:val="18"/>
                  <w:color w:val="auto"/>
                </w:rPr>
                <w:t>Item 1.</w:t>
              </w:r>
            </w:hyperlink>
          </w:p>
        </w:tc>
        <w:tc>
          <w:tcPr>
            <w:tcW w:w="8960" w:type="dxa"/>
            <w:vAlign w:val="bottom"/>
            <w:shd w:val="clear" w:color="auto" w:fill="CCEEFF"/>
          </w:tcPr>
          <w:p>
            <w:pPr>
              <w:ind w:left="320"/>
              <w:spacing w:after="0" w:line="189" w:lineRule="exact"/>
              <w:rPr>
                <w:rFonts w:ascii="Arial" w:cs="Arial" w:eastAsia="Arial" w:hAnsi="Arial"/>
                <w:sz w:val="18"/>
                <w:szCs w:val="18"/>
                <w:color w:val="auto"/>
              </w:rPr>
            </w:pPr>
            <w:hyperlink w:anchor="page60">
              <w:r>
                <w:rPr>
                  <w:rFonts w:ascii="Arial" w:cs="Arial" w:eastAsia="Arial" w:hAnsi="Arial"/>
                  <w:sz w:val="18"/>
                  <w:szCs w:val="18"/>
                  <w:color w:val="auto"/>
                </w:rPr>
                <w:t>Legal Proceedings</w:t>
              </w:r>
            </w:hyperlink>
          </w:p>
        </w:tc>
        <w:tc>
          <w:tcPr>
            <w:tcW w:w="48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center"/>
              <w:ind w:right="500"/>
              <w:spacing w:after="0" w:line="189"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54</w:t>
              </w:r>
            </w:hyperlink>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89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Pr>
          <w:p>
            <w:pPr>
              <w:ind w:left="140"/>
              <w:spacing w:after="0" w:line="189" w:lineRule="exact"/>
              <w:rPr>
                <w:rFonts w:ascii="Arial" w:cs="Arial" w:eastAsia="Arial" w:hAnsi="Arial"/>
                <w:sz w:val="18"/>
                <w:szCs w:val="18"/>
                <w:color w:val="auto"/>
              </w:rPr>
            </w:pPr>
            <w:hyperlink w:anchor="page60">
              <w:r>
                <w:rPr>
                  <w:rFonts w:ascii="Arial" w:cs="Arial" w:eastAsia="Arial" w:hAnsi="Arial"/>
                  <w:sz w:val="18"/>
                  <w:szCs w:val="18"/>
                  <w:color w:val="auto"/>
                </w:rPr>
                <w:t>Item 1A.</w:t>
              </w:r>
            </w:hyperlink>
          </w:p>
        </w:tc>
        <w:tc>
          <w:tcPr>
            <w:tcW w:w="8960" w:type="dxa"/>
            <w:vAlign w:val="bottom"/>
          </w:tcPr>
          <w:p>
            <w:pPr>
              <w:ind w:left="320"/>
              <w:spacing w:after="0" w:line="189" w:lineRule="exact"/>
              <w:rPr>
                <w:rFonts w:ascii="Arial" w:cs="Arial" w:eastAsia="Arial" w:hAnsi="Arial"/>
                <w:sz w:val="18"/>
                <w:szCs w:val="18"/>
                <w:color w:val="auto"/>
              </w:rPr>
            </w:pPr>
            <w:hyperlink w:anchor="page60">
              <w:r>
                <w:rPr>
                  <w:rFonts w:ascii="Arial" w:cs="Arial" w:eastAsia="Arial" w:hAnsi="Arial"/>
                  <w:sz w:val="18"/>
                  <w:szCs w:val="18"/>
                  <w:color w:val="auto"/>
                </w:rPr>
                <w:t>Risk Factors</w:t>
              </w:r>
            </w:hyperlink>
          </w:p>
        </w:tc>
        <w:tc>
          <w:tcPr>
            <w:tcW w:w="480" w:type="dxa"/>
            <w:vAlign w:val="bottom"/>
          </w:tcPr>
          <w:p>
            <w:pPr>
              <w:spacing w:after="0"/>
              <w:rPr>
                <w:sz w:val="16"/>
                <w:szCs w:val="16"/>
                <w:color w:val="auto"/>
              </w:rPr>
            </w:pPr>
          </w:p>
        </w:tc>
        <w:tc>
          <w:tcPr>
            <w:tcW w:w="680" w:type="dxa"/>
            <w:vAlign w:val="bottom"/>
            <w:gridSpan w:val="4"/>
          </w:tcPr>
          <w:p>
            <w:pPr>
              <w:jc w:val="center"/>
              <w:ind w:right="500"/>
              <w:spacing w:after="0" w:line="189"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54</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140"/>
              <w:spacing w:after="0" w:line="189" w:lineRule="exact"/>
              <w:rPr>
                <w:rFonts w:ascii="Arial" w:cs="Arial" w:eastAsia="Arial" w:hAnsi="Arial"/>
                <w:sz w:val="18"/>
                <w:szCs w:val="18"/>
                <w:color w:val="auto"/>
              </w:rPr>
            </w:pPr>
            <w:hyperlink w:anchor="page97">
              <w:r>
                <w:rPr>
                  <w:rFonts w:ascii="Arial" w:cs="Arial" w:eastAsia="Arial" w:hAnsi="Arial"/>
                  <w:sz w:val="18"/>
                  <w:szCs w:val="18"/>
                  <w:color w:val="auto"/>
                </w:rPr>
                <w:t>Item 2.</w:t>
              </w:r>
            </w:hyperlink>
          </w:p>
        </w:tc>
        <w:tc>
          <w:tcPr>
            <w:tcW w:w="8960" w:type="dxa"/>
            <w:vAlign w:val="bottom"/>
            <w:shd w:val="clear" w:color="auto" w:fill="CCEEFF"/>
          </w:tcPr>
          <w:p>
            <w:pPr>
              <w:ind w:left="320"/>
              <w:spacing w:after="0" w:line="189" w:lineRule="exact"/>
              <w:rPr>
                <w:rFonts w:ascii="Arial" w:cs="Arial" w:eastAsia="Arial" w:hAnsi="Arial"/>
                <w:sz w:val="18"/>
                <w:szCs w:val="18"/>
                <w:color w:val="auto"/>
              </w:rPr>
            </w:pPr>
            <w:hyperlink w:anchor="page97">
              <w:r>
                <w:rPr>
                  <w:rFonts w:ascii="Arial" w:cs="Arial" w:eastAsia="Arial" w:hAnsi="Arial"/>
                  <w:sz w:val="18"/>
                  <w:szCs w:val="18"/>
                  <w:color w:val="auto"/>
                </w:rPr>
                <w:t>Unregistered Sales of Equity Securities and Use of Proceeds</w:t>
              </w:r>
            </w:hyperlink>
          </w:p>
        </w:tc>
        <w:tc>
          <w:tcPr>
            <w:tcW w:w="48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center"/>
              <w:ind w:right="500"/>
              <w:spacing w:after="0" w:line="189" w:lineRule="exact"/>
              <w:rPr>
                <w:rFonts w:ascii="Arial" w:cs="Arial" w:eastAsia="Arial" w:hAnsi="Arial"/>
                <w:sz w:val="18"/>
                <w:szCs w:val="18"/>
                <w:color w:val="0000FF"/>
                <w:w w:val="89"/>
              </w:rPr>
            </w:pPr>
            <w:hyperlink w:anchor="page97">
              <w:r>
                <w:rPr>
                  <w:rFonts w:ascii="Arial" w:cs="Arial" w:eastAsia="Arial" w:hAnsi="Arial"/>
                  <w:sz w:val="18"/>
                  <w:szCs w:val="18"/>
                  <w:color w:val="0000FF"/>
                  <w:w w:val="89"/>
                </w:rPr>
                <w:t>91</w:t>
              </w:r>
            </w:hyperlink>
          </w:p>
        </w:tc>
        <w:tc>
          <w:tcPr>
            <w:tcW w:w="0" w:type="dxa"/>
            <w:vAlign w:val="bottom"/>
          </w:tcPr>
          <w:p>
            <w:pPr>
              <w:spacing w:after="0"/>
              <w:rPr>
                <w:sz w:val="1"/>
                <w:szCs w:val="1"/>
                <w:color w:val="auto"/>
              </w:rPr>
            </w:pP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89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Pr>
          <w:p>
            <w:pPr>
              <w:ind w:left="140"/>
              <w:spacing w:after="0" w:line="189" w:lineRule="exact"/>
              <w:rPr>
                <w:rFonts w:ascii="Arial" w:cs="Arial" w:eastAsia="Arial" w:hAnsi="Arial"/>
                <w:sz w:val="18"/>
                <w:szCs w:val="18"/>
                <w:color w:val="auto"/>
              </w:rPr>
            </w:pPr>
            <w:hyperlink w:anchor="page98">
              <w:r>
                <w:rPr>
                  <w:rFonts w:ascii="Arial" w:cs="Arial" w:eastAsia="Arial" w:hAnsi="Arial"/>
                  <w:sz w:val="18"/>
                  <w:szCs w:val="18"/>
                  <w:color w:val="auto"/>
                </w:rPr>
                <w:t>Item 3.</w:t>
              </w:r>
            </w:hyperlink>
          </w:p>
        </w:tc>
        <w:tc>
          <w:tcPr>
            <w:tcW w:w="8960" w:type="dxa"/>
            <w:vAlign w:val="bottom"/>
          </w:tcPr>
          <w:p>
            <w:pPr>
              <w:ind w:left="320"/>
              <w:spacing w:after="0" w:line="189" w:lineRule="exact"/>
              <w:rPr>
                <w:rFonts w:ascii="Arial" w:cs="Arial" w:eastAsia="Arial" w:hAnsi="Arial"/>
                <w:sz w:val="18"/>
                <w:szCs w:val="18"/>
                <w:color w:val="auto"/>
              </w:rPr>
            </w:pPr>
            <w:hyperlink w:anchor="page98">
              <w:r>
                <w:rPr>
                  <w:rFonts w:ascii="Arial" w:cs="Arial" w:eastAsia="Arial" w:hAnsi="Arial"/>
                  <w:sz w:val="18"/>
                  <w:szCs w:val="18"/>
                  <w:color w:val="auto"/>
                </w:rPr>
                <w:t>Defaults Upon Senior Securities</w:t>
              </w:r>
            </w:hyperlink>
          </w:p>
        </w:tc>
        <w:tc>
          <w:tcPr>
            <w:tcW w:w="480" w:type="dxa"/>
            <w:vAlign w:val="bottom"/>
          </w:tcPr>
          <w:p>
            <w:pPr>
              <w:spacing w:after="0"/>
              <w:rPr>
                <w:sz w:val="16"/>
                <w:szCs w:val="16"/>
                <w:color w:val="auto"/>
              </w:rPr>
            </w:pPr>
          </w:p>
        </w:tc>
        <w:tc>
          <w:tcPr>
            <w:tcW w:w="680" w:type="dxa"/>
            <w:vAlign w:val="bottom"/>
            <w:gridSpan w:val="4"/>
          </w:tcPr>
          <w:p>
            <w:pPr>
              <w:jc w:val="center"/>
              <w:ind w:right="500"/>
              <w:spacing w:after="0" w:line="189"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92</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140"/>
              <w:spacing w:after="0" w:line="189" w:lineRule="exact"/>
              <w:rPr>
                <w:rFonts w:ascii="Arial" w:cs="Arial" w:eastAsia="Arial" w:hAnsi="Arial"/>
                <w:sz w:val="18"/>
                <w:szCs w:val="18"/>
                <w:color w:val="auto"/>
              </w:rPr>
            </w:pPr>
            <w:hyperlink w:anchor="page98">
              <w:r>
                <w:rPr>
                  <w:rFonts w:ascii="Arial" w:cs="Arial" w:eastAsia="Arial" w:hAnsi="Arial"/>
                  <w:sz w:val="18"/>
                  <w:szCs w:val="18"/>
                  <w:color w:val="auto"/>
                </w:rPr>
                <w:t>Item 4.</w:t>
              </w:r>
            </w:hyperlink>
          </w:p>
        </w:tc>
        <w:tc>
          <w:tcPr>
            <w:tcW w:w="8960" w:type="dxa"/>
            <w:vAlign w:val="bottom"/>
            <w:shd w:val="clear" w:color="auto" w:fill="CCEEFF"/>
          </w:tcPr>
          <w:p>
            <w:pPr>
              <w:ind w:left="320"/>
              <w:spacing w:after="0" w:line="189" w:lineRule="exact"/>
              <w:rPr>
                <w:rFonts w:ascii="Arial" w:cs="Arial" w:eastAsia="Arial" w:hAnsi="Arial"/>
                <w:sz w:val="18"/>
                <w:szCs w:val="18"/>
                <w:color w:val="auto"/>
              </w:rPr>
            </w:pPr>
            <w:hyperlink w:anchor="page98">
              <w:r>
                <w:rPr>
                  <w:rFonts w:ascii="Arial" w:cs="Arial" w:eastAsia="Arial" w:hAnsi="Arial"/>
                  <w:sz w:val="18"/>
                  <w:szCs w:val="18"/>
                  <w:color w:val="auto"/>
                </w:rPr>
                <w:t>Mine Safety Disclosures</w:t>
              </w:r>
            </w:hyperlink>
          </w:p>
        </w:tc>
        <w:tc>
          <w:tcPr>
            <w:tcW w:w="48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center"/>
              <w:ind w:right="500"/>
              <w:spacing w:after="0" w:line="189"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92</w:t>
              </w:r>
            </w:hyperlink>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89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Pr>
          <w:p>
            <w:pPr>
              <w:ind w:left="140"/>
              <w:spacing w:after="0" w:line="189" w:lineRule="exact"/>
              <w:rPr>
                <w:rFonts w:ascii="Arial" w:cs="Arial" w:eastAsia="Arial" w:hAnsi="Arial"/>
                <w:sz w:val="18"/>
                <w:szCs w:val="18"/>
                <w:color w:val="auto"/>
              </w:rPr>
            </w:pPr>
            <w:hyperlink w:anchor="page98">
              <w:r>
                <w:rPr>
                  <w:rFonts w:ascii="Arial" w:cs="Arial" w:eastAsia="Arial" w:hAnsi="Arial"/>
                  <w:sz w:val="18"/>
                  <w:szCs w:val="18"/>
                  <w:color w:val="auto"/>
                </w:rPr>
                <w:t>Item 5.</w:t>
              </w:r>
            </w:hyperlink>
          </w:p>
        </w:tc>
        <w:tc>
          <w:tcPr>
            <w:tcW w:w="8960" w:type="dxa"/>
            <w:vAlign w:val="bottom"/>
          </w:tcPr>
          <w:p>
            <w:pPr>
              <w:ind w:left="320"/>
              <w:spacing w:after="0" w:line="189" w:lineRule="exact"/>
              <w:rPr>
                <w:rFonts w:ascii="Arial" w:cs="Arial" w:eastAsia="Arial" w:hAnsi="Arial"/>
                <w:sz w:val="18"/>
                <w:szCs w:val="18"/>
                <w:color w:val="auto"/>
              </w:rPr>
            </w:pPr>
            <w:hyperlink w:anchor="page98">
              <w:r>
                <w:rPr>
                  <w:rFonts w:ascii="Arial" w:cs="Arial" w:eastAsia="Arial" w:hAnsi="Arial"/>
                  <w:sz w:val="18"/>
                  <w:szCs w:val="18"/>
                  <w:color w:val="auto"/>
                </w:rPr>
                <w:t>Other Information</w:t>
              </w:r>
            </w:hyperlink>
          </w:p>
        </w:tc>
        <w:tc>
          <w:tcPr>
            <w:tcW w:w="480" w:type="dxa"/>
            <w:vAlign w:val="bottom"/>
          </w:tcPr>
          <w:p>
            <w:pPr>
              <w:spacing w:after="0"/>
              <w:rPr>
                <w:sz w:val="16"/>
                <w:szCs w:val="16"/>
                <w:color w:val="auto"/>
              </w:rPr>
            </w:pPr>
          </w:p>
        </w:tc>
        <w:tc>
          <w:tcPr>
            <w:tcW w:w="680" w:type="dxa"/>
            <w:vAlign w:val="bottom"/>
            <w:gridSpan w:val="4"/>
          </w:tcPr>
          <w:p>
            <w:pPr>
              <w:jc w:val="center"/>
              <w:ind w:right="500"/>
              <w:spacing w:after="0" w:line="189"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92</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140"/>
              <w:spacing w:after="0" w:line="189" w:lineRule="exact"/>
              <w:rPr>
                <w:rFonts w:ascii="Arial" w:cs="Arial" w:eastAsia="Arial" w:hAnsi="Arial"/>
                <w:sz w:val="18"/>
                <w:szCs w:val="18"/>
                <w:color w:val="auto"/>
              </w:rPr>
            </w:pPr>
            <w:hyperlink w:anchor="page98">
              <w:r>
                <w:rPr>
                  <w:rFonts w:ascii="Arial" w:cs="Arial" w:eastAsia="Arial" w:hAnsi="Arial"/>
                  <w:sz w:val="18"/>
                  <w:szCs w:val="18"/>
                  <w:color w:val="auto"/>
                </w:rPr>
                <w:t>Item 6.</w:t>
              </w:r>
            </w:hyperlink>
          </w:p>
        </w:tc>
        <w:tc>
          <w:tcPr>
            <w:tcW w:w="8960" w:type="dxa"/>
            <w:vAlign w:val="bottom"/>
            <w:shd w:val="clear" w:color="auto" w:fill="CCEEFF"/>
          </w:tcPr>
          <w:p>
            <w:pPr>
              <w:ind w:left="320"/>
              <w:spacing w:after="0" w:line="189" w:lineRule="exact"/>
              <w:rPr>
                <w:rFonts w:ascii="Arial" w:cs="Arial" w:eastAsia="Arial" w:hAnsi="Arial"/>
                <w:sz w:val="18"/>
                <w:szCs w:val="18"/>
                <w:color w:val="auto"/>
              </w:rPr>
            </w:pPr>
            <w:hyperlink w:anchor="page98">
              <w:r>
                <w:rPr>
                  <w:rFonts w:ascii="Arial" w:cs="Arial" w:eastAsia="Arial" w:hAnsi="Arial"/>
                  <w:sz w:val="18"/>
                  <w:szCs w:val="18"/>
                  <w:color w:val="auto"/>
                </w:rPr>
                <w:t>Exhibits</w:t>
              </w:r>
            </w:hyperlink>
          </w:p>
        </w:tc>
        <w:tc>
          <w:tcPr>
            <w:tcW w:w="48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center"/>
              <w:ind w:right="500"/>
              <w:spacing w:after="0" w:line="189"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92</w:t>
              </w:r>
            </w:hyperlink>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89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Pr>
          <w:p>
            <w:pPr>
              <w:ind w:left="20"/>
              <w:spacing w:after="0" w:line="189" w:lineRule="exact"/>
              <w:rPr>
                <w:rFonts w:ascii="Arial" w:cs="Arial" w:eastAsia="Arial" w:hAnsi="Arial"/>
                <w:sz w:val="18"/>
                <w:szCs w:val="18"/>
                <w:color w:val="auto"/>
              </w:rPr>
            </w:pPr>
            <w:hyperlink w:anchor="page99">
              <w:r>
                <w:rPr>
                  <w:rFonts w:ascii="Arial" w:cs="Arial" w:eastAsia="Arial" w:hAnsi="Arial"/>
                  <w:sz w:val="18"/>
                  <w:szCs w:val="18"/>
                  <w:color w:val="auto"/>
                </w:rPr>
                <w:t>Signatures</w:t>
              </w:r>
            </w:hyperlink>
          </w:p>
        </w:tc>
        <w:tc>
          <w:tcPr>
            <w:tcW w:w="8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gridSpan w:val="4"/>
          </w:tcPr>
          <w:p>
            <w:pPr>
              <w:jc w:val="center"/>
              <w:ind w:right="500"/>
              <w:spacing w:after="0" w:line="189" w:lineRule="exact"/>
              <w:rPr>
                <w:rFonts w:ascii="Arial" w:cs="Arial" w:eastAsia="Arial" w:hAnsi="Arial"/>
                <w:sz w:val="18"/>
                <w:szCs w:val="18"/>
                <w:color w:val="0000FF"/>
                <w:w w:val="89"/>
              </w:rPr>
            </w:pPr>
            <w:hyperlink w:anchor="page99">
              <w:r>
                <w:rPr>
                  <w:rFonts w:ascii="Arial" w:cs="Arial" w:eastAsia="Arial" w:hAnsi="Arial"/>
                  <w:sz w:val="18"/>
                  <w:szCs w:val="18"/>
                  <w:color w:val="0000FF"/>
                  <w:w w:val="89"/>
                </w:rPr>
                <w:t>94</w:t>
              </w:r>
            </w:hyperlink>
          </w:p>
        </w:tc>
        <w:tc>
          <w:tcPr>
            <w:tcW w:w="0" w:type="dxa"/>
            <w:vAlign w:val="bottom"/>
          </w:tcPr>
          <w:p>
            <w:pPr>
              <w:spacing w:after="0"/>
              <w:rPr>
                <w:sz w:val="1"/>
                <w:szCs w:val="1"/>
                <w:color w:val="auto"/>
              </w:rPr>
            </w:pPr>
          </w:p>
        </w:tc>
      </w:tr>
      <w:tr>
        <w:trPr>
          <w:trHeight w:val="1526"/>
        </w:trPr>
        <w:tc>
          <w:tcPr>
            <w:tcW w:w="1120" w:type="dxa"/>
            <w:vAlign w:val="bottom"/>
            <w:tcBorders>
              <w:bottom w:val="single" w:sz="8" w:color="9A9A9A"/>
            </w:tcBorders>
          </w:tcPr>
          <w:p>
            <w:pPr>
              <w:spacing w:after="0"/>
              <w:rPr>
                <w:sz w:val="24"/>
                <w:szCs w:val="24"/>
                <w:color w:val="auto"/>
              </w:rPr>
            </w:pPr>
          </w:p>
        </w:tc>
        <w:tc>
          <w:tcPr>
            <w:tcW w:w="8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plans, market growth and our objectives for future operations.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on Form 10-Q for the quarter ended September 30, 2021.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202" w:lineRule="exact"/>
        <w:rPr>
          <w:sz w:val="20"/>
          <w:szCs w:val="20"/>
          <w:color w:val="auto"/>
        </w:rPr>
      </w:pPr>
    </w:p>
    <w:p>
      <w:pPr>
        <w:ind w:left="660" w:hanging="328"/>
        <w:spacing w:after="0" w:line="22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our evolving business make it difficult to evaluate our future prospects and the risks and challenges we may encounter.</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growth rates may not be sustainable or indicative of future growth and we expect our growth rate to slow.</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experienced net losses in the past and we may not achieve profitability in the future.</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continue to experience significant quarterly and annual fluctuations in our operating results due to a number of factors, which makes our future operating results difficult to predict.</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reduce our rate of acquisitions and may be unsuccessful in achieving continued growth through acquisitions.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and profits generated through acquisitions may be less than anticipated, and we may fail to uncover all liabilities of acquisition targets.</w:t>
      </w:r>
    </w:p>
    <w:p>
      <w:pPr>
        <w:spacing w:after="0" w:line="5" w:lineRule="exact"/>
        <w:rPr>
          <w:rFonts w:ascii="Arial" w:cs="Arial" w:eastAsia="Arial" w:hAnsi="Arial"/>
          <w:sz w:val="16"/>
          <w:szCs w:val="16"/>
          <w:color w:val="auto"/>
        </w:rPr>
      </w:pP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order to support the growth of our business and our acquisition strategy, we may need to incur additional indebtedness or seek capital through new equity or debt financings.</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continue to expand our share of our existing vertical markets or expand into new vertical markets, which would inhibit our ability to grow and increase our profitability.</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intense competition in each of the industries in which we operate, which could negatively impact our business, results of operations and financial condition and cause our market share to decline.</w:t>
      </w:r>
    </w:p>
    <w:p>
      <w:pPr>
        <w:ind w:left="660" w:right="2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industries in which we operate are rapidly evolving and subject to consolidation and the market for technology-enabled services that empower small- and medium-sized businesses is relatively immature and unproven.</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economic and political risk, the business cycles of our clients and changes in the overall level of consumer and commercial spending, which could negatively impact our business, financial condition and results of operations.</w:t>
      </w:r>
    </w:p>
    <w:p>
      <w:pPr>
        <w:jc w:val="both"/>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payment card networks, such as Visa and MasterCard, and payment processors, such as Worldpay and PayPal, and if we fail to comply with the applicable requirements of our payment network or payment processors, they can seek to fine us, suspend us or terminate our registrations through our bank sponsors.</w:t>
      </w:r>
    </w:p>
    <w:p>
      <w:pPr>
        <w:jc w:val="both"/>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or perceived errors, failures or bugs in our solutions could adversely affect our business, results of operations, financial condition and growth prospects.</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Unauthorized disclosure, destruction or modification of data, disruption of our software or services could expose us to liability, protracted and costly litigation and damage our reputation.</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total addressable market is subject to inherent challenges and uncertainties.</w:t>
      </w:r>
    </w:p>
    <w:p>
      <w:pPr>
        <w:ind w:left="660" w:right="2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and utilization of our solutions.</w:t>
      </w:r>
    </w:p>
    <w:p>
      <w:pPr>
        <w:ind w:left="660" w:right="20" w:hanging="328"/>
        <w:spacing w:after="0" w:line="24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systems and our third-party providers’ systems may fail, or our third-party providers may discontinue providing their services or technology generally or to us specifically, which in either case could interrupt our business, cause us to lose business and increase our costs.</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lower margin solutions and services grow at a faster rate than our higher margin solutions and services, we may experience lower aggregate profitability and margins.</w:t>
      </w:r>
    </w:p>
    <w:p>
      <w:pPr>
        <w:jc w:val="both"/>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outbreak of the novel strain of coronavirus disease has impacted, and a future pandemic, epidemic or outbreak of an infectious disease in the United States could impact, our business, financial condition and results of operations, as well as the business or operations of third parties with whom we conduct business.</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adequately protect or enforce, and we may incur significant costs in enforcing or defending, our intellectual property and other proprietary rights.</w:t>
      </w:r>
    </w:p>
    <w:p>
      <w:pPr>
        <w:ind w:left="660" w:right="2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patent, trademark and other intellectual property infringement claims, which may be time-consuming, and cause us to incur significant liability and increase our costs of doing business.</w:t>
      </w:r>
    </w:p>
    <w:p>
      <w:pPr>
        <w:jc w:val="both"/>
        <w:ind w:left="660" w:hanging="328"/>
        <w:spacing w:after="0" w:line="22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governmental regulation and other legal obligations, including those related privacy, data protection and information security and the healthcare industry, and our actual or perceived failure to comply with such regulations and obligations could harm our business. Compliance with such laws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ind w:left="328"/>
        <w:spacing w:after="0"/>
        <w:rPr>
          <w:sz w:val="20"/>
          <w:szCs w:val="20"/>
          <w:color w:val="auto"/>
        </w:rPr>
      </w:pPr>
      <w:r>
        <w:rPr>
          <w:rFonts w:ascii="Arial" w:cs="Arial" w:eastAsia="Arial" w:hAnsi="Arial"/>
          <w:sz w:val="18"/>
          <w:szCs w:val="18"/>
          <w:color w:val="auto"/>
        </w:rPr>
        <w:t>also impair our efforts to maintain and expand our customer and user bases, and thereby decrease our revenue.</w:t>
      </w:r>
    </w:p>
    <w:p>
      <w:pPr>
        <w:ind w:left="328" w:right="20" w:hanging="328"/>
        <w:spacing w:after="0" w:line="232"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parties to our sponsor stockholders agreement, who also hold a significant portion of our common stock, control the direction of our business and such parties’ ownership of our common stock prevent you and other stockholders from influencing significant decisions.</w:t>
      </w:r>
    </w:p>
    <w:p>
      <w:pPr>
        <w:jc w:val="both"/>
        <w:ind w:left="328" w:hanging="328"/>
        <w:spacing w:after="0" w:line="228"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“controlled company” under the corporate governance rules of The Nasdaq Stock Market and, as a result, qualify for, and intend to rely on, exemptions from certain corporate governance requirements. You do not have the same protections afforded to stockholders of companies that are subject to such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871855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0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7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96,035</w:t>
            </w:r>
          </w:p>
        </w:tc>
        <w:tc>
          <w:tcPr>
            <w:tcW w:w="0" w:type="dxa"/>
            <w:vAlign w:val="bottom"/>
          </w:tcPr>
          <w:p>
            <w:pPr>
              <w:spacing w:after="0"/>
              <w:rPr>
                <w:sz w:val="1"/>
                <w:szCs w:val="1"/>
                <w:color w:val="auto"/>
              </w:rPr>
            </w:pPr>
          </w:p>
        </w:tc>
      </w:tr>
      <w:tr>
        <w:trPr>
          <w:trHeight w:val="230"/>
        </w:trPr>
        <w:tc>
          <w:tcPr>
            <w:tcW w:w="752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Accounts receivable, net of allowance for doubtful accounts of $1.8 million and $1.0 million at</w:t>
            </w:r>
          </w:p>
        </w:tc>
        <w:tc>
          <w:tcPr>
            <w:tcW w:w="24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31,699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24,966</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September 30, 2021 and December 31, 2020, respectively</w:t>
            </w:r>
          </w:p>
        </w:tc>
        <w:tc>
          <w:tcPr>
            <w:tcW w:w="24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00"/>
              <w:spacing w:after="0"/>
              <w:rPr>
                <w:sz w:val="20"/>
                <w:szCs w:val="20"/>
                <w:color w:val="auto"/>
              </w:rPr>
            </w:pPr>
            <w:r>
              <w:rPr>
                <w:rFonts w:ascii="Arial" w:cs="Arial" w:eastAsia="Arial" w:hAnsi="Arial"/>
                <w:sz w:val="18"/>
                <w:szCs w:val="18"/>
                <w:color w:val="auto"/>
              </w:rPr>
              <w:t>Contract assets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13,595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0" w:type="dxa"/>
            <w:vAlign w:val="bottom"/>
          </w:tcPr>
          <w:p>
            <w:pPr>
              <w:spacing w:after="0"/>
              <w:rPr>
                <w:sz w:val="1"/>
                <w:szCs w:val="1"/>
                <w:color w:val="auto"/>
              </w:rPr>
            </w:pPr>
          </w:p>
        </w:tc>
      </w:tr>
      <w:tr>
        <w:trPr>
          <w:trHeight w:val="223"/>
        </w:trPr>
        <w:tc>
          <w:tcPr>
            <w:tcW w:w="7520" w:type="dxa"/>
            <w:vAlign w:val="bottom"/>
          </w:tcPr>
          <w:p>
            <w:pPr>
              <w:ind w:left="2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162,654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143,828</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14,705</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Capitalized software, net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w:t>
            </w:r>
          </w:p>
        </w:tc>
        <w:tc>
          <w:tcPr>
            <w:tcW w:w="0" w:type="dxa"/>
            <w:vAlign w:val="bottom"/>
          </w:tcPr>
          <w:p>
            <w:pPr>
              <w:spacing w:after="0"/>
              <w:rPr>
                <w:sz w:val="1"/>
                <w:szCs w:val="1"/>
                <w:color w:val="auto"/>
              </w:rPr>
            </w:pPr>
          </w:p>
        </w:tc>
      </w:tr>
      <w:tr>
        <w:trPr>
          <w:trHeight w:val="230"/>
        </w:trPr>
        <w:tc>
          <w:tcPr>
            <w:tcW w:w="7520" w:type="dxa"/>
            <w:vAlign w:val="bottom"/>
          </w:tcPr>
          <w:p>
            <w:pPr>
              <w:ind w:left="10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25,793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14,102</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470,729</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796,218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668,151</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1,326,631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1,183,756</w:t>
            </w:r>
          </w:p>
        </w:tc>
        <w:tc>
          <w:tcPr>
            <w:tcW w:w="0" w:type="dxa"/>
            <w:vAlign w:val="bottom"/>
          </w:tcPr>
          <w:p>
            <w:pPr>
              <w:spacing w:after="0"/>
              <w:rPr>
                <w:sz w:val="1"/>
                <w:szCs w:val="1"/>
                <w:color w:val="auto"/>
              </w:rPr>
            </w:pPr>
          </w:p>
        </w:tc>
      </w:tr>
      <w:tr>
        <w:trPr>
          <w:trHeight w:val="223"/>
        </w:trPr>
        <w:tc>
          <w:tcPr>
            <w:tcW w:w="752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1,327,584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404"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7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11,131</w:t>
            </w:r>
          </w:p>
        </w:tc>
        <w:tc>
          <w:tcPr>
            <w:tcW w:w="0" w:type="dxa"/>
            <w:vAlign w:val="bottom"/>
          </w:tcPr>
          <w:p>
            <w:pPr>
              <w:spacing w:after="0"/>
              <w:rPr>
                <w:sz w:val="1"/>
                <w:szCs w:val="1"/>
                <w:color w:val="auto"/>
              </w:rPr>
            </w:pPr>
          </w:p>
        </w:tc>
      </w:tr>
      <w:tr>
        <w:trPr>
          <w:trHeight w:val="230"/>
        </w:trPr>
        <w:tc>
          <w:tcPr>
            <w:tcW w:w="7520" w:type="dxa"/>
            <w:vAlign w:val="bottom"/>
          </w:tcPr>
          <w:p>
            <w:pPr>
              <w:ind w:left="100"/>
              <w:spacing w:after="0"/>
              <w:rPr>
                <w:sz w:val="20"/>
                <w:szCs w:val="20"/>
                <w:color w:val="auto"/>
              </w:rPr>
            </w:pPr>
            <w:r>
              <w:rPr>
                <w:rFonts w:ascii="Arial" w:cs="Arial" w:eastAsia="Arial" w:hAnsi="Arial"/>
                <w:sz w:val="18"/>
                <w:szCs w:val="18"/>
                <w:color w:val="auto"/>
              </w:rPr>
              <w:t>Accrued expenses and other</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41,637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46,408</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0" w:type="dxa"/>
            <w:vAlign w:val="bottom"/>
          </w:tcPr>
          <w:p>
            <w:pPr>
              <w:spacing w:after="0"/>
              <w:rPr>
                <w:sz w:val="1"/>
                <w:szCs w:val="1"/>
                <w:color w:val="auto"/>
              </w:rPr>
            </w:pPr>
          </w:p>
        </w:tc>
      </w:tr>
      <w:tr>
        <w:trPr>
          <w:trHeight w:val="229"/>
        </w:trPr>
        <w:tc>
          <w:tcPr>
            <w:tcW w:w="7520" w:type="dxa"/>
            <w:vAlign w:val="bottom"/>
          </w:tcPr>
          <w:p>
            <w:pPr>
              <w:ind w:left="100"/>
              <w:spacing w:after="0"/>
              <w:rPr>
                <w:sz w:val="20"/>
                <w:szCs w:val="20"/>
                <w:color w:val="auto"/>
              </w:rPr>
            </w:pPr>
            <w:r>
              <w:rPr>
                <w:rFonts w:ascii="Arial" w:cs="Arial" w:eastAsia="Arial" w:hAnsi="Arial"/>
                <w:sz w:val="18"/>
                <w:szCs w:val="18"/>
                <w:color w:val="auto"/>
              </w:rPr>
              <w:t>Customer deposits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8,247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23"/>
        </w:trPr>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87,620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86,701</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00"/>
              <w:spacing w:after="0"/>
              <w:rPr>
                <w:sz w:val="20"/>
                <w:szCs w:val="20"/>
                <w:color w:val="auto"/>
              </w:rPr>
            </w:pPr>
            <w:r>
              <w:rPr>
                <w:rFonts w:ascii="Arial" w:cs="Arial" w:eastAsia="Arial" w:hAnsi="Arial"/>
                <w:sz w:val="18"/>
                <w:szCs w:val="18"/>
                <w:color w:val="auto"/>
              </w:rPr>
              <w:t>Deferred tax liability, net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19,632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10,766</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deferred revenue</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30"/>
        </w:trPr>
        <w:tc>
          <w:tcPr>
            <w:tcW w:w="7520" w:type="dxa"/>
            <w:vAlign w:val="bottom"/>
          </w:tcPr>
          <w:p>
            <w:pPr>
              <w:ind w:left="100"/>
              <w:spacing w:after="0"/>
              <w:rPr>
                <w:sz w:val="20"/>
                <w:szCs w:val="20"/>
                <w:color w:val="auto"/>
              </w:rPr>
            </w:pPr>
            <w:r>
              <w:rPr>
                <w:rFonts w:ascii="Arial" w:cs="Arial" w:eastAsia="Arial" w:hAnsi="Arial"/>
                <w:sz w:val="18"/>
                <w:szCs w:val="18"/>
                <w:color w:val="auto"/>
              </w:rPr>
              <w:t>Long-term debt, net of current maturities and deferred financing costs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378,789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691,038</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17,626</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non-current liabilities</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721,727</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808,428</w:t>
            </w:r>
          </w:p>
        </w:tc>
        <w:tc>
          <w:tcPr>
            <w:tcW w:w="0" w:type="dxa"/>
            <w:vAlign w:val="bottom"/>
          </w:tcPr>
          <w:p>
            <w:pPr>
              <w:spacing w:after="0"/>
              <w:rPr>
                <w:sz w:val="1"/>
                <w:szCs w:val="1"/>
                <w:color w:val="auto"/>
              </w:rPr>
            </w:pPr>
          </w:p>
        </w:tc>
      </w:tr>
      <w:tr>
        <w:trPr>
          <w:trHeight w:val="34"/>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15)</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7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100"/>
              <w:spacing w:after="0" w:line="176" w:lineRule="exact"/>
              <w:rPr>
                <w:sz w:val="20"/>
                <w:szCs w:val="20"/>
                <w:color w:val="auto"/>
              </w:rPr>
            </w:pPr>
            <w:r>
              <w:rPr>
                <w:rFonts w:ascii="Arial" w:cs="Arial" w:eastAsia="Arial" w:hAnsi="Arial"/>
                <w:sz w:val="18"/>
                <w:szCs w:val="18"/>
                <w:color w:val="auto"/>
                <w:w w:val="91"/>
              </w:rPr>
              <w:t>Series B convertible preferred stock, $0.00001 par value, no shares authorized, issued or outstanding</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260"/>
              <w:spacing w:after="0" w:line="176" w:lineRule="exact"/>
              <w:rPr>
                <w:sz w:val="20"/>
                <w:szCs w:val="20"/>
                <w:color w:val="auto"/>
              </w:rPr>
            </w:pPr>
            <w:r>
              <w:rPr>
                <w:rFonts w:ascii="Arial" w:cs="Arial" w:eastAsia="Arial" w:hAnsi="Arial"/>
                <w:sz w:val="18"/>
                <w:szCs w:val="18"/>
                <w:color w:val="auto"/>
                <w:w w:val="98"/>
              </w:rPr>
              <w:t>as of September 30, 2021; 75,000,000 shares authorized and 72,225,754 shares issued and</w:t>
            </w:r>
          </w:p>
        </w:tc>
        <w:tc>
          <w:tcPr>
            <w:tcW w:w="240" w:type="dxa"/>
            <w:vAlign w:val="bottom"/>
          </w:tcPr>
          <w:p>
            <w:pPr>
              <w:spacing w:after="0"/>
              <w:rPr>
                <w:sz w:val="15"/>
                <w:szCs w:val="15"/>
                <w:color w:val="auto"/>
              </w:rPr>
            </w:pPr>
          </w:p>
        </w:tc>
        <w:tc>
          <w:tcPr>
            <w:tcW w:w="1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745,046</w:t>
            </w: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Arial" w:cs="Arial" w:eastAsia="Arial" w:hAnsi="Arial"/>
                <w:sz w:val="18"/>
                <w:szCs w:val="18"/>
                <w:color w:val="auto"/>
              </w:rPr>
              <w:t>outstanding (liquidation preference of $745.0 million) as of December 31, 2020</w:t>
            </w:r>
          </w:p>
        </w:tc>
        <w:tc>
          <w:tcPr>
            <w:tcW w:w="24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5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Series A convertible preferred stock, $0.00001 par value, no shares authorized, issued or outstanding</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8"/>
              </w:rPr>
              <w:t>as of September 30, 2021; 50,000,000 shares authorized and 44,957,786 shares issued and</w:t>
            </w:r>
          </w:p>
        </w:tc>
        <w:tc>
          <w:tcPr>
            <w:tcW w:w="240" w:type="dxa"/>
            <w:vAlign w:val="bottom"/>
            <w:shd w:val="clear" w:color="auto" w:fill="CCEEFF"/>
          </w:tcPr>
          <w:p>
            <w:pPr>
              <w:spacing w:after="0"/>
              <w:rPr>
                <w:sz w:val="15"/>
                <w:szCs w:val="15"/>
                <w:color w:val="auto"/>
              </w:rPr>
            </w:pPr>
          </w:p>
        </w:tc>
        <w:tc>
          <w:tcPr>
            <w:tcW w:w="1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163,264</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outstanding (liquidation preference of $163.3 million) as of December 31, 2020</w:t>
            </w:r>
          </w:p>
        </w:tc>
        <w:tc>
          <w:tcPr>
            <w:tcW w:w="240" w:type="dxa"/>
            <w:vAlign w:val="bottom"/>
            <w:shd w:val="clear" w:color="auto" w:fill="CCEEFF"/>
          </w:tcPr>
          <w:p>
            <w:pPr>
              <w:spacing w:after="0"/>
              <w:rPr>
                <w:sz w:val="19"/>
                <w:szCs w:val="19"/>
                <w:color w:val="auto"/>
              </w:rPr>
            </w:pPr>
          </w:p>
        </w:tc>
        <w:tc>
          <w:tcPr>
            <w:tcW w:w="16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680"/>
              <w:spacing w:after="0"/>
              <w:rPr>
                <w:sz w:val="20"/>
                <w:szCs w:val="20"/>
                <w:color w:val="auto"/>
              </w:rPr>
            </w:pPr>
            <w:r>
              <w:rPr>
                <w:rFonts w:ascii="Arial" w:cs="Arial" w:eastAsia="Arial" w:hAnsi="Arial"/>
                <w:sz w:val="18"/>
                <w:szCs w:val="18"/>
                <w:b w:val="1"/>
                <w:bCs w:val="1"/>
                <w:color w:val="auto"/>
              </w:rPr>
              <w:t>Total convertible preferred stock</w:t>
            </w: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908,310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100"/>
              <w:spacing w:after="0" w:line="176" w:lineRule="exact"/>
              <w:rPr>
                <w:sz w:val="20"/>
                <w:szCs w:val="20"/>
                <w:color w:val="auto"/>
              </w:rPr>
            </w:pPr>
            <w:r>
              <w:rPr>
                <w:rFonts w:ascii="Arial" w:cs="Arial" w:eastAsia="Arial" w:hAnsi="Arial"/>
                <w:sz w:val="18"/>
                <w:szCs w:val="18"/>
                <w:color w:val="auto"/>
                <w:w w:val="89"/>
              </w:rPr>
              <w:t>Preferred stock, $0.00001 par value, 50,000,000 shares authorized and no shares issued or outstanding</w:t>
            </w:r>
          </w:p>
        </w:tc>
        <w:tc>
          <w:tcPr>
            <w:tcW w:w="240" w:type="dxa"/>
            <w:vAlign w:val="bottom"/>
          </w:tcPr>
          <w:p>
            <w:pPr>
              <w:spacing w:after="0"/>
              <w:rPr>
                <w:sz w:val="15"/>
                <w:szCs w:val="15"/>
                <w:color w:val="auto"/>
              </w:rPr>
            </w:pPr>
          </w:p>
        </w:tc>
        <w:tc>
          <w:tcPr>
            <w:tcW w:w="1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Arial" w:cs="Arial" w:eastAsia="Arial" w:hAnsi="Arial"/>
                <w:sz w:val="18"/>
                <w:szCs w:val="18"/>
                <w:color w:val="auto"/>
              </w:rPr>
              <w:t>as of September 30, 2021</w:t>
            </w:r>
          </w:p>
        </w:tc>
        <w:tc>
          <w:tcPr>
            <w:tcW w:w="24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5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Common stock, $0.00001 par value, 2,000,000,000 and 185,000,000 shares authorized and</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195,356,459 and 43,073,327 shares issued and outstanding at September 30, 2021 and</w:t>
            </w:r>
          </w:p>
        </w:tc>
        <w:tc>
          <w:tcPr>
            <w:tcW w:w="24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December 31, 2020, respectively</w:t>
            </w:r>
          </w:p>
        </w:tc>
        <w:tc>
          <w:tcPr>
            <w:tcW w:w="24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40,564</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(508,499)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(431,264)</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stockholders’ equity (deficit)</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983,797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(389,154)</w:t>
            </w:r>
          </w:p>
        </w:tc>
        <w:tc>
          <w:tcPr>
            <w:tcW w:w="0" w:type="dxa"/>
            <w:vAlign w:val="bottom"/>
          </w:tcPr>
          <w:p>
            <w:pPr>
              <w:spacing w:after="0"/>
              <w:rPr>
                <w:sz w:val="1"/>
                <w:szCs w:val="1"/>
                <w:color w:val="auto"/>
              </w:rPr>
            </w:pPr>
          </w:p>
        </w:tc>
      </w:tr>
      <w:tr>
        <w:trPr>
          <w:trHeight w:val="223"/>
        </w:trPr>
        <w:tc>
          <w:tcPr>
            <w:tcW w:w="7520" w:type="dxa"/>
            <w:vAlign w:val="bottom"/>
          </w:tcPr>
          <w:p>
            <w:pPr>
              <w:ind w:left="760"/>
              <w:spacing w:after="0"/>
              <w:rPr>
                <w:sz w:val="20"/>
                <w:szCs w:val="20"/>
                <w:color w:val="auto"/>
              </w:rPr>
            </w:pPr>
            <w:r>
              <w:rPr>
                <w:rFonts w:ascii="Arial" w:cs="Arial" w:eastAsia="Arial" w:hAnsi="Arial"/>
                <w:sz w:val="18"/>
                <w:szCs w:val="18"/>
                <w:b w:val="1"/>
                <w:bCs w:val="1"/>
                <w:color w:val="auto"/>
              </w:rPr>
              <w:t>Total liabilities, convertible preferred stock and stockholders’ equity (deficit)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1,327,584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6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EverCommerce Inc.</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760" w:type="dxa"/>
            <w:vAlign w:val="bottom"/>
            <w:gridSpan w:val="9"/>
          </w:tcPr>
          <w:p>
            <w:pPr>
              <w:jc w:val="center"/>
              <w:ind w:left="235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Loss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8"/>
          </w:tcPr>
          <w:p>
            <w:pPr>
              <w:jc w:val="center"/>
              <w:ind w:left="2650"/>
              <w:spacing w:after="0"/>
              <w:rPr>
                <w:sz w:val="20"/>
                <w:szCs w:val="20"/>
                <w:color w:val="auto"/>
              </w:rPr>
            </w:pPr>
            <w:r>
              <w:rPr>
                <w:rFonts w:ascii="Arial" w:cs="Arial" w:eastAsia="Arial" w:hAnsi="Arial"/>
                <w:sz w:val="18"/>
                <w:szCs w:val="18"/>
                <w:b w:val="1"/>
                <w:bCs w:val="1"/>
                <w:color w:val="auto"/>
                <w:w w:val="88"/>
              </w:rPr>
              <w:t>(in thousands, except per share and share amounts)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6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4"/>
                <w:szCs w:val="24"/>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9"/>
                <w:szCs w:val="19"/>
                <w:color w:val="auto"/>
              </w:rPr>
            </w:pPr>
          </w:p>
        </w:tc>
        <w:tc>
          <w:tcPr>
            <w:tcW w:w="24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Subscription and transaction fees</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91,788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60,017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252,119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168,413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Marketing technology solutions</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revenues</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3"/>
            <w:shd w:val="clear" w:color="auto" w:fill="CCEEFF"/>
          </w:tcPr>
          <w:p>
            <w:pPr>
              <w:ind w:left="80"/>
              <w:spacing w:after="0" w:line="176" w:lineRule="exact"/>
              <w:rPr>
                <w:sz w:val="20"/>
                <w:szCs w:val="20"/>
                <w:color w:val="auto"/>
              </w:rPr>
            </w:pPr>
            <w:r>
              <w:rPr>
                <w:rFonts w:ascii="Arial" w:cs="Arial" w:eastAsia="Arial" w:hAnsi="Arial"/>
                <w:sz w:val="18"/>
                <w:szCs w:val="18"/>
                <w:color w:val="auto"/>
              </w:rPr>
              <w:t>Cost of revenues (exclusive of depreciation and amortization presented</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42,958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29,480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119,488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86,372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separately below)</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67,647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79,796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operating expenses</w:t>
            </w:r>
          </w:p>
        </w:tc>
        <w:tc>
          <w:tcPr>
            <w:tcW w:w="1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loss</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on debt extinguishment</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440"/>
              <w:spacing w:after="0"/>
              <w:rPr>
                <w:sz w:val="20"/>
                <w:szCs w:val="20"/>
                <w:color w:val="auto"/>
              </w:rPr>
            </w:pPr>
            <w:r>
              <w:rPr>
                <w:rFonts w:ascii="Arial" w:cs="Arial" w:eastAsia="Arial" w:hAnsi="Arial"/>
                <w:sz w:val="18"/>
                <w:szCs w:val="18"/>
                <w:b w:val="1"/>
                <w:bCs w:val="1"/>
                <w:color w:val="auto"/>
              </w:rPr>
              <w:t>Net loss before income tax benefit</w:t>
            </w:r>
          </w:p>
        </w:tc>
        <w:tc>
          <w:tcPr>
            <w:tcW w:w="1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(37,928)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(81,417)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540"/>
              <w:spacing w:after="0"/>
              <w:rPr>
                <w:sz w:val="20"/>
                <w:szCs w:val="20"/>
                <w:color w:val="auto"/>
              </w:rPr>
            </w:pPr>
            <w:r>
              <w:rPr>
                <w:rFonts w:ascii="Arial" w:cs="Arial" w:eastAsia="Arial" w:hAnsi="Arial"/>
                <w:sz w:val="18"/>
                <w:szCs w:val="18"/>
                <w:b w:val="1"/>
                <w:bCs w:val="1"/>
                <w:color w:val="auto"/>
              </w:rPr>
              <w:t>Net loss</w:t>
            </w:r>
          </w:p>
        </w:tc>
        <w:tc>
          <w:tcPr>
            <w:tcW w:w="12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(5,444)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(77,235)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 currency translation gains (losses), net</w:t>
            </w:r>
          </w:p>
        </w:tc>
        <w:tc>
          <w:tcPr>
            <w:tcW w:w="1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Comprehensive loss</w:t>
            </w: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(5,444)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(77,235)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net loss (see Note 12)</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Net loss attributable to common stockholders</w:t>
            </w:r>
          </w:p>
        </w:tc>
        <w:tc>
          <w:tcPr>
            <w:tcW w:w="1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(36,906)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(92,340)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8"/>
              </w:rPr>
              <w:t>Net loss per share attributable to common stockholders:</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120"/>
              <w:spacing w:after="0" w:line="203" w:lineRule="exact"/>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80" w:type="dxa"/>
            <w:vAlign w:val="bottom"/>
            <w:gridSpan w:val="3"/>
          </w:tcPr>
          <w:p>
            <w:pPr>
              <w:spacing w:after="0" w:line="176" w:lineRule="exact"/>
              <w:rPr>
                <w:sz w:val="20"/>
                <w:szCs w:val="20"/>
                <w:color w:val="auto"/>
              </w:rPr>
            </w:pPr>
            <w:r>
              <w:rPr>
                <w:rFonts w:ascii="Arial" w:cs="Arial" w:eastAsia="Arial" w:hAnsi="Arial"/>
                <w:sz w:val="18"/>
                <w:szCs w:val="18"/>
                <w:color w:val="auto"/>
                <w:w w:val="93"/>
              </w:rPr>
              <w:t>Weighted-average shares of common stock outstanding used in computing net</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140"/>
              <w:spacing w:after="0"/>
              <w:rPr>
                <w:sz w:val="20"/>
                <w:szCs w:val="20"/>
                <w:color w:val="auto"/>
              </w:rPr>
            </w:pPr>
            <w:r>
              <w:rPr>
                <w:rFonts w:ascii="Arial" w:cs="Arial" w:eastAsia="Arial" w:hAnsi="Arial"/>
                <w:sz w:val="18"/>
                <w:szCs w:val="18"/>
                <w:color w:val="auto"/>
              </w:rPr>
              <w:t>loss per share attributable to common stockholders:</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187,994,437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41,694,762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91,655,461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41,335,411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120"/>
              <w:spacing w:after="0" w:line="203" w:lineRule="exact"/>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187,994,437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41,694,762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91,655,461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41,335,411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Convertible Preferred Stock and Stockholders’ Equity (Deficit)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Balance at December 31, 2020</w:t>
      </w:r>
    </w:p>
    <w:p>
      <w:pPr>
        <w:spacing w:after="0" w:line="42" w:lineRule="exact"/>
        <w:rPr>
          <w:sz w:val="20"/>
          <w:szCs w:val="20"/>
          <w:color w:val="auto"/>
        </w:rPr>
      </w:pPr>
    </w:p>
    <w:p>
      <w:pPr>
        <w:ind w:left="260" w:right="80" w:hanging="161"/>
        <w:spacing w:after="0" w:line="309" w:lineRule="auto"/>
        <w:rPr>
          <w:sz w:val="20"/>
          <w:szCs w:val="20"/>
          <w:color w:val="auto"/>
        </w:rPr>
      </w:pPr>
      <w:r>
        <w:rPr>
          <w:rFonts w:ascii="Arial" w:cs="Arial" w:eastAsia="Arial" w:hAnsi="Arial"/>
          <w:sz w:val="10"/>
          <w:szCs w:val="10"/>
          <w:color w:val="auto"/>
        </w:rPr>
        <w:t>Rollover equity in consideration of net assets acquired</w:t>
      </w:r>
    </w:p>
    <w:p>
      <w:pPr>
        <w:spacing w:after="0" w:line="1" w:lineRule="exact"/>
        <w:rPr>
          <w:sz w:val="20"/>
          <w:szCs w:val="20"/>
          <w:color w:val="auto"/>
        </w:rPr>
      </w:pPr>
    </w:p>
    <w:p>
      <w:pPr>
        <w:ind w:left="100" w:right="360"/>
        <w:spacing w:after="0" w:line="366" w:lineRule="auto"/>
        <w:rPr>
          <w:sz w:val="20"/>
          <w:szCs w:val="20"/>
          <w:color w:val="auto"/>
        </w:rPr>
      </w:pPr>
      <w:r>
        <w:rPr>
          <w:rFonts w:ascii="Arial" w:cs="Arial" w:eastAsia="Arial" w:hAnsi="Arial"/>
          <w:sz w:val="10"/>
          <w:szCs w:val="10"/>
          <w:color w:val="auto"/>
        </w:rPr>
        <w:t>Stock-based compensation Stock option exercises</w:t>
      </w:r>
    </w:p>
    <w:p>
      <w:pPr>
        <w:ind w:left="260" w:right="280" w:hanging="161"/>
        <w:spacing w:after="0" w:line="226" w:lineRule="auto"/>
        <w:rPr>
          <w:sz w:val="20"/>
          <w:szCs w:val="20"/>
          <w:color w:val="auto"/>
        </w:rPr>
      </w:pPr>
      <w:r>
        <w:rPr>
          <w:rFonts w:ascii="Arial" w:cs="Arial" w:eastAsia="Arial" w:hAnsi="Arial"/>
          <w:sz w:val="13"/>
          <w:szCs w:val="13"/>
          <w:color w:val="auto"/>
        </w:rPr>
        <w:t>Foreign currency translation gains, net</w:t>
      </w:r>
    </w:p>
    <w:p>
      <w:pPr>
        <w:spacing w:after="0" w:line="15" w:lineRule="exact"/>
        <w:rPr>
          <w:sz w:val="20"/>
          <w:szCs w:val="20"/>
          <w:color w:val="auto"/>
        </w:rPr>
      </w:pPr>
    </w:p>
    <w:p>
      <w:pPr>
        <w:jc w:val="both"/>
        <w:ind w:left="260" w:right="20" w:hanging="161"/>
        <w:spacing w:after="0" w:line="215" w:lineRule="auto"/>
        <w:rPr>
          <w:sz w:val="20"/>
          <w:szCs w:val="20"/>
          <w:color w:val="auto"/>
        </w:rPr>
      </w:pPr>
      <w:r>
        <w:rPr>
          <w:rFonts w:ascii="Arial" w:cs="Arial" w:eastAsia="Arial" w:hAnsi="Arial"/>
          <w:sz w:val="13"/>
          <w:szCs w:val="13"/>
          <w:color w:val="auto"/>
        </w:rPr>
        <w:t>Accretion of Series B convertible preferred stock to redemption value</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Net loss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March 31, 2021</w:t>
      </w:r>
    </w:p>
    <w:p>
      <w:pPr>
        <w:spacing w:after="0" w:line="30" w:lineRule="exact"/>
        <w:rPr>
          <w:sz w:val="20"/>
          <w:szCs w:val="20"/>
          <w:color w:val="auto"/>
        </w:rPr>
      </w:pPr>
    </w:p>
    <w:p>
      <w:pPr>
        <w:ind w:left="260" w:right="60" w:hanging="161"/>
        <w:spacing w:after="0" w:line="226" w:lineRule="auto"/>
        <w:rPr>
          <w:sz w:val="20"/>
          <w:szCs w:val="20"/>
          <w:color w:val="auto"/>
        </w:rPr>
      </w:pPr>
      <w:r>
        <w:rPr>
          <w:rFonts w:ascii="Arial" w:cs="Arial" w:eastAsia="Arial" w:hAnsi="Arial"/>
          <w:sz w:val="13"/>
          <w:szCs w:val="13"/>
          <w:color w:val="auto"/>
        </w:rPr>
        <w:t>Issuance of convertible preferred stock, net</w:t>
      </w:r>
    </w:p>
    <w:p>
      <w:pPr>
        <w:spacing w:after="0" w:line="15" w:lineRule="exact"/>
        <w:rPr>
          <w:sz w:val="20"/>
          <w:szCs w:val="20"/>
          <w:color w:val="auto"/>
        </w:rPr>
      </w:pPr>
    </w:p>
    <w:p>
      <w:pPr>
        <w:ind w:left="260" w:hanging="161"/>
        <w:spacing w:after="0" w:line="215" w:lineRule="auto"/>
        <w:rPr>
          <w:sz w:val="20"/>
          <w:szCs w:val="20"/>
          <w:color w:val="auto"/>
        </w:rPr>
      </w:pPr>
      <w:r>
        <w:rPr>
          <w:rFonts w:ascii="Arial" w:cs="Arial" w:eastAsia="Arial" w:hAnsi="Arial"/>
          <w:sz w:val="13"/>
          <w:szCs w:val="13"/>
          <w:color w:val="auto"/>
        </w:rPr>
        <w:t>Measurement period adjustment to update fair value of rollover equity</w:t>
      </w:r>
    </w:p>
    <w:p>
      <w:pPr>
        <w:spacing w:after="0" w:line="17" w:lineRule="exact"/>
        <w:rPr>
          <w:sz w:val="20"/>
          <w:szCs w:val="20"/>
          <w:color w:val="auto"/>
        </w:rPr>
      </w:pPr>
    </w:p>
    <w:p>
      <w:pPr>
        <w:ind w:left="100" w:right="360"/>
        <w:spacing w:after="0" w:line="366" w:lineRule="auto"/>
        <w:rPr>
          <w:sz w:val="20"/>
          <w:szCs w:val="20"/>
          <w:color w:val="auto"/>
        </w:rPr>
      </w:pPr>
      <w:r>
        <w:rPr>
          <w:rFonts w:ascii="Arial" w:cs="Arial" w:eastAsia="Arial" w:hAnsi="Arial"/>
          <w:sz w:val="10"/>
          <w:szCs w:val="10"/>
          <w:color w:val="auto"/>
        </w:rPr>
        <w:t>Stock-based compensation Stock option exercises</w:t>
      </w:r>
    </w:p>
    <w:p>
      <w:pPr>
        <w:ind w:left="260" w:right="280" w:hanging="161"/>
        <w:spacing w:after="0" w:line="226" w:lineRule="auto"/>
        <w:rPr>
          <w:sz w:val="20"/>
          <w:szCs w:val="20"/>
          <w:color w:val="auto"/>
        </w:rPr>
      </w:pPr>
      <w:r>
        <w:rPr>
          <w:rFonts w:ascii="Arial" w:cs="Arial" w:eastAsia="Arial" w:hAnsi="Arial"/>
          <w:sz w:val="13"/>
          <w:szCs w:val="13"/>
          <w:color w:val="auto"/>
        </w:rPr>
        <w:t>Foreign currency translation gains, net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Net loss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June 30, 2021</w:t>
      </w:r>
    </w:p>
    <w:p>
      <w:pPr>
        <w:spacing w:after="0" w:line="30" w:lineRule="exact"/>
        <w:rPr>
          <w:sz w:val="20"/>
          <w:szCs w:val="20"/>
          <w:color w:val="auto"/>
        </w:rPr>
      </w:pPr>
    </w:p>
    <w:p>
      <w:pPr>
        <w:ind w:left="260" w:right="140" w:hanging="161"/>
        <w:spacing w:after="0" w:line="290" w:lineRule="auto"/>
        <w:rPr>
          <w:sz w:val="20"/>
          <w:szCs w:val="20"/>
          <w:color w:val="auto"/>
        </w:rPr>
      </w:pPr>
      <w:r>
        <w:rPr>
          <w:rFonts w:ascii="Arial" w:cs="Arial" w:eastAsia="Arial" w:hAnsi="Arial"/>
          <w:sz w:val="10"/>
          <w:szCs w:val="10"/>
          <w:color w:val="auto"/>
        </w:rPr>
        <w:t>Conversion of convertible preferred stock to common stock upon closing of initial public offering</w:t>
      </w:r>
    </w:p>
    <w:p>
      <w:pPr>
        <w:spacing w:after="0" w:line="123" w:lineRule="exact"/>
        <w:rPr>
          <w:sz w:val="20"/>
          <w:szCs w:val="20"/>
          <w:color w:val="auto"/>
        </w:rPr>
      </w:pPr>
    </w:p>
    <w:p>
      <w:pPr>
        <w:ind w:left="260" w:right="60" w:hanging="161"/>
        <w:spacing w:after="0" w:line="224" w:lineRule="auto"/>
        <w:rPr>
          <w:sz w:val="20"/>
          <w:szCs w:val="20"/>
          <w:color w:val="auto"/>
        </w:rPr>
      </w:pPr>
      <w:r>
        <w:rPr>
          <w:rFonts w:ascii="Arial" w:cs="Arial" w:eastAsia="Arial" w:hAnsi="Arial"/>
          <w:sz w:val="12"/>
          <w:szCs w:val="12"/>
          <w:color w:val="auto"/>
        </w:rPr>
        <w:t>Issuance of common stock upon closing of initial public offering, net of issuance costs and underwriters fees of $31,102</w:t>
      </w:r>
    </w:p>
    <w:p>
      <w:pPr>
        <w:spacing w:after="0" w:line="18" w:lineRule="exact"/>
        <w:rPr>
          <w:sz w:val="20"/>
          <w:szCs w:val="20"/>
          <w:color w:val="auto"/>
        </w:rPr>
      </w:pPr>
    </w:p>
    <w:p>
      <w:pPr>
        <w:ind w:left="260" w:right="160" w:hanging="161"/>
        <w:spacing w:after="0" w:line="249" w:lineRule="auto"/>
        <w:rPr>
          <w:sz w:val="20"/>
          <w:szCs w:val="20"/>
          <w:color w:val="auto"/>
        </w:rPr>
      </w:pPr>
      <w:r>
        <w:rPr>
          <w:rFonts w:ascii="Arial" w:cs="Arial" w:eastAsia="Arial" w:hAnsi="Arial"/>
          <w:sz w:val="12"/>
          <w:szCs w:val="12"/>
          <w:color w:val="auto"/>
        </w:rPr>
        <w:t>Issuance of common stock in a preferred placement</w:t>
      </w:r>
    </w:p>
    <w:p>
      <w:pPr>
        <w:spacing w:after="0" w:line="11" w:lineRule="exact"/>
        <w:rPr>
          <w:sz w:val="20"/>
          <w:szCs w:val="20"/>
          <w:color w:val="auto"/>
        </w:rPr>
      </w:pPr>
    </w:p>
    <w:p>
      <w:pPr>
        <w:ind w:left="100" w:right="360"/>
        <w:spacing w:after="0" w:line="366" w:lineRule="auto"/>
        <w:rPr>
          <w:sz w:val="20"/>
          <w:szCs w:val="20"/>
          <w:color w:val="auto"/>
        </w:rPr>
      </w:pPr>
      <w:r>
        <w:rPr>
          <w:rFonts w:ascii="Arial" w:cs="Arial" w:eastAsia="Arial" w:hAnsi="Arial"/>
          <w:sz w:val="10"/>
          <w:szCs w:val="10"/>
          <w:color w:val="auto"/>
        </w:rPr>
        <w:t>Stock-based compensation Stock option exercises</w:t>
      </w:r>
    </w:p>
    <w:p>
      <w:pPr>
        <w:ind w:left="260" w:right="280" w:hanging="161"/>
        <w:spacing w:after="0" w:line="226" w:lineRule="auto"/>
        <w:rPr>
          <w:sz w:val="20"/>
          <w:szCs w:val="20"/>
          <w:color w:val="auto"/>
        </w:rPr>
      </w:pPr>
      <w:r>
        <w:rPr>
          <w:rFonts w:ascii="Arial" w:cs="Arial" w:eastAsia="Arial" w:hAnsi="Arial"/>
          <w:sz w:val="13"/>
          <w:szCs w:val="13"/>
          <w:color w:val="auto"/>
        </w:rPr>
        <w:t>Foreign currency translation losses, net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Net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Balance at September 30, 2021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Series B</w:t>
            </w:r>
          </w:p>
        </w:tc>
        <w:tc>
          <w:tcPr>
            <w:tcW w:w="82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w w:val="84"/>
              </w:rPr>
              <w:t>Series C</w:t>
            </w:r>
          </w:p>
        </w:tc>
        <w:tc>
          <w:tcPr>
            <w:tcW w:w="24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Series A</w:t>
            </w:r>
          </w:p>
        </w:tc>
        <w:tc>
          <w:tcPr>
            <w:tcW w:w="100" w:type="dxa"/>
            <w:vAlign w:val="bottom"/>
          </w:tcPr>
          <w:p>
            <w:pPr>
              <w:spacing w:after="0"/>
              <w:rPr>
                <w:sz w:val="13"/>
                <w:szCs w:val="13"/>
                <w:color w:val="auto"/>
              </w:rPr>
            </w:pPr>
          </w:p>
        </w:tc>
        <w:tc>
          <w:tcPr>
            <w:tcW w:w="640" w:type="dxa"/>
            <w:vAlign w:val="bottom"/>
            <w:tcBorders>
              <w:right w:val="single" w:sz="8" w:color="auto"/>
            </w:tcBorders>
            <w:vMerge w:val="restart"/>
          </w:tcPr>
          <w:p>
            <w:pPr>
              <w:jc w:val="center"/>
              <w:ind w:right="58"/>
              <w:spacing w:after="0"/>
              <w:rPr>
                <w:sz w:val="20"/>
                <w:szCs w:val="20"/>
                <w:color w:val="auto"/>
              </w:rPr>
            </w:pPr>
            <w:r>
              <w:rPr>
                <w:rFonts w:ascii="Arial" w:cs="Arial" w:eastAsia="Arial" w:hAnsi="Arial"/>
                <w:sz w:val="13"/>
                <w:szCs w:val="13"/>
                <w:b w:val="1"/>
                <w:bCs w:val="1"/>
                <w:color w:val="auto"/>
                <w:w w:val="89"/>
              </w:rPr>
              <w:t>Total</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center"/>
              <w:ind w:right="18"/>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680" w:type="dxa"/>
            <w:vAlign w:val="bottom"/>
            <w:vMerge w:val="restart"/>
          </w:tcPr>
          <w:p>
            <w:pPr>
              <w:jc w:val="center"/>
              <w:ind w:right="78"/>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2"/>
        </w:trPr>
        <w:tc>
          <w:tcPr>
            <w:tcW w:w="11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9"/>
              </w:rPr>
              <w:t>Convertible</w:t>
            </w:r>
          </w:p>
        </w:tc>
        <w:tc>
          <w:tcPr>
            <w:tcW w:w="820" w:type="dxa"/>
            <w:vAlign w:val="bottom"/>
            <w:gridSpan w:val="2"/>
          </w:tcPr>
          <w:p>
            <w:pPr>
              <w:jc w:val="center"/>
              <w:ind w:left="117"/>
              <w:spacing w:after="0" w:line="122" w:lineRule="exact"/>
              <w:rPr>
                <w:sz w:val="20"/>
                <w:szCs w:val="20"/>
                <w:color w:val="auto"/>
              </w:rPr>
            </w:pPr>
            <w:r>
              <w:rPr>
                <w:rFonts w:ascii="Arial" w:cs="Arial" w:eastAsia="Arial" w:hAnsi="Arial"/>
                <w:sz w:val="13"/>
                <w:szCs w:val="13"/>
                <w:b w:val="1"/>
                <w:bCs w:val="1"/>
                <w:color w:val="auto"/>
                <w:w w:val="89"/>
              </w:rPr>
              <w:t>Convertible</w:t>
            </w:r>
          </w:p>
        </w:tc>
        <w:tc>
          <w:tcPr>
            <w:tcW w:w="240" w:type="dxa"/>
            <w:vAlign w:val="bottom"/>
          </w:tcPr>
          <w:p>
            <w:pPr>
              <w:spacing w:after="0"/>
              <w:rPr>
                <w:sz w:val="10"/>
                <w:szCs w:val="10"/>
                <w:color w:val="auto"/>
              </w:rPr>
            </w:pP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9"/>
              </w:rPr>
              <w:t>Convertible</w:t>
            </w:r>
          </w:p>
        </w:tc>
        <w:tc>
          <w:tcPr>
            <w:tcW w:w="100" w:type="dxa"/>
            <w:vAlign w:val="bottom"/>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04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auto"/>
                <w:w w:val="96"/>
              </w:rPr>
              <w:t>Common Stock</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Preferred Stock</w:t>
            </w:r>
          </w:p>
        </w:tc>
        <w:tc>
          <w:tcPr>
            <w:tcW w:w="1060" w:type="dxa"/>
            <w:vAlign w:val="bottom"/>
            <w:gridSpan w:val="3"/>
          </w:tcPr>
          <w:p>
            <w:pPr>
              <w:ind w:left="80"/>
              <w:spacing w:after="0" w:line="122" w:lineRule="exact"/>
              <w:rPr>
                <w:sz w:val="20"/>
                <w:szCs w:val="20"/>
                <w:color w:val="auto"/>
              </w:rPr>
            </w:pPr>
            <w:r>
              <w:rPr>
                <w:rFonts w:ascii="Arial" w:cs="Arial" w:eastAsia="Arial" w:hAnsi="Arial"/>
                <w:sz w:val="13"/>
                <w:szCs w:val="13"/>
                <w:b w:val="1"/>
                <w:bCs w:val="1"/>
                <w:color w:val="auto"/>
                <w:w w:val="99"/>
              </w:rPr>
              <w:t>Preferred Stock</w:t>
            </w: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740" w:type="dxa"/>
            <w:vAlign w:val="bottom"/>
            <w:tcBorders>
              <w:right w:val="single" w:sz="8" w:color="auto"/>
            </w:tcBorders>
            <w:gridSpan w:val="2"/>
          </w:tcPr>
          <w:p>
            <w:pPr>
              <w:jc w:val="center"/>
              <w:spacing w:after="0" w:line="122" w:lineRule="exact"/>
              <w:rPr>
                <w:sz w:val="20"/>
                <w:szCs w:val="20"/>
                <w:color w:val="auto"/>
              </w:rPr>
            </w:pPr>
            <w:r>
              <w:rPr>
                <w:rFonts w:ascii="Arial" w:cs="Arial" w:eastAsia="Arial" w:hAnsi="Arial"/>
                <w:sz w:val="13"/>
                <w:szCs w:val="13"/>
                <w:b w:val="1"/>
                <w:bCs w:val="1"/>
                <w:color w:val="auto"/>
                <w:w w:val="89"/>
              </w:rPr>
              <w:t>Convertible</w:t>
            </w:r>
          </w:p>
        </w:tc>
        <w:tc>
          <w:tcPr>
            <w:tcW w:w="1000" w:type="dxa"/>
            <w:vAlign w:val="bottom"/>
            <w:gridSpan w:val="3"/>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18"/>
              <w:spacing w:after="0" w:line="122" w:lineRule="exact"/>
              <w:rPr>
                <w:sz w:val="20"/>
                <w:szCs w:val="20"/>
                <w:color w:val="auto"/>
              </w:rPr>
            </w:pPr>
            <w:r>
              <w:rPr>
                <w:rFonts w:ascii="Arial" w:cs="Arial" w:eastAsia="Arial" w:hAnsi="Arial"/>
                <w:sz w:val="13"/>
                <w:szCs w:val="13"/>
                <w:b w:val="1"/>
                <w:bCs w:val="1"/>
                <w:color w:val="auto"/>
                <w:w w:val="92"/>
              </w:rPr>
              <w:t>Other</w:t>
            </w:r>
          </w:p>
        </w:tc>
        <w:tc>
          <w:tcPr>
            <w:tcW w:w="8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54"/>
        </w:trPr>
        <w:tc>
          <w:tcPr>
            <w:tcW w:w="5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right w:val="single" w:sz="8" w:color="auto"/>
            </w:tcBorders>
          </w:tcPr>
          <w:p>
            <w:pPr>
              <w:jc w:val="center"/>
              <w:ind w:right="58"/>
              <w:spacing w:after="0" w:line="54" w:lineRule="exact"/>
              <w:rPr>
                <w:sz w:val="20"/>
                <w:szCs w:val="20"/>
                <w:color w:val="auto"/>
              </w:rPr>
            </w:pPr>
            <w:r>
              <w:rPr>
                <w:rFonts w:ascii="Arial" w:cs="Arial" w:eastAsia="Arial" w:hAnsi="Arial"/>
                <w:sz w:val="6"/>
                <w:szCs w:val="6"/>
                <w:b w:val="1"/>
                <w:bCs w:val="1"/>
                <w:color w:val="auto"/>
              </w:rPr>
              <w:t>Preferred</w:t>
            </w: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jc w:val="right"/>
              <w:ind w:right="58"/>
              <w:spacing w:after="0" w:line="54" w:lineRule="exact"/>
              <w:rPr>
                <w:sz w:val="20"/>
                <w:szCs w:val="20"/>
                <w:color w:val="auto"/>
              </w:rPr>
            </w:pPr>
            <w:r>
              <w:rPr>
                <w:rFonts w:ascii="Arial" w:cs="Arial" w:eastAsia="Arial" w:hAnsi="Arial"/>
                <w:sz w:val="6"/>
                <w:szCs w:val="6"/>
                <w:b w:val="1"/>
                <w:bCs w:val="1"/>
                <w:color w:val="auto"/>
              </w:rPr>
              <w:t>Paid-In</w:t>
            </w:r>
          </w:p>
        </w:tc>
        <w:tc>
          <w:tcPr>
            <w:tcW w:w="800" w:type="dxa"/>
            <w:vAlign w:val="bottom"/>
            <w:gridSpan w:val="2"/>
          </w:tcPr>
          <w:p>
            <w:pPr>
              <w:ind w:left="40"/>
              <w:spacing w:after="0" w:line="54" w:lineRule="exact"/>
              <w:rPr>
                <w:sz w:val="20"/>
                <w:szCs w:val="20"/>
                <w:color w:val="auto"/>
              </w:rPr>
            </w:pPr>
            <w:r>
              <w:rPr>
                <w:rFonts w:ascii="Arial" w:cs="Arial" w:eastAsia="Arial" w:hAnsi="Arial"/>
                <w:sz w:val="6"/>
                <w:szCs w:val="6"/>
                <w:b w:val="1"/>
                <w:bCs w:val="1"/>
                <w:color w:val="auto"/>
              </w:rPr>
              <w:t>Accumulated</w:t>
            </w:r>
          </w:p>
        </w:tc>
        <w:tc>
          <w:tcPr>
            <w:tcW w:w="80" w:type="dxa"/>
            <w:vAlign w:val="bottom"/>
          </w:tcPr>
          <w:p>
            <w:pPr>
              <w:spacing w:after="0"/>
              <w:rPr>
                <w:sz w:val="4"/>
                <w:szCs w:val="4"/>
                <w:color w:val="auto"/>
              </w:rPr>
            </w:pPr>
          </w:p>
        </w:tc>
        <w:tc>
          <w:tcPr>
            <w:tcW w:w="960" w:type="dxa"/>
            <w:vAlign w:val="bottom"/>
          </w:tcPr>
          <w:p>
            <w:pPr>
              <w:jc w:val="center"/>
              <w:ind w:right="18"/>
              <w:spacing w:after="0" w:line="54" w:lineRule="exact"/>
              <w:rPr>
                <w:sz w:val="20"/>
                <w:szCs w:val="20"/>
                <w:color w:val="auto"/>
              </w:rPr>
            </w:pPr>
            <w:r>
              <w:rPr>
                <w:rFonts w:ascii="Arial" w:cs="Arial" w:eastAsia="Arial" w:hAnsi="Arial"/>
                <w:sz w:val="6"/>
                <w:szCs w:val="6"/>
                <w:b w:val="1"/>
                <w:bCs w:val="1"/>
                <w:color w:val="auto"/>
              </w:rPr>
              <w:t>Comprehensive</w:t>
            </w:r>
          </w:p>
        </w:tc>
        <w:tc>
          <w:tcPr>
            <w:tcW w:w="140" w:type="dxa"/>
            <w:vAlign w:val="bottom"/>
          </w:tcPr>
          <w:p>
            <w:pPr>
              <w:spacing w:after="0"/>
              <w:rPr>
                <w:sz w:val="4"/>
                <w:szCs w:val="4"/>
                <w:color w:val="auto"/>
              </w:rPr>
            </w:pPr>
          </w:p>
        </w:tc>
        <w:tc>
          <w:tcPr>
            <w:tcW w:w="680" w:type="dxa"/>
            <w:vAlign w:val="bottom"/>
          </w:tcPr>
          <w:p>
            <w:pPr>
              <w:jc w:val="center"/>
              <w:ind w:right="78"/>
              <w:spacing w:after="0" w:line="54" w:lineRule="exact"/>
              <w:rPr>
                <w:sz w:val="20"/>
                <w:szCs w:val="20"/>
                <w:color w:val="auto"/>
              </w:rPr>
            </w:pPr>
            <w:r>
              <w:rPr>
                <w:rFonts w:ascii="Arial" w:cs="Arial" w:eastAsia="Arial" w:hAnsi="Arial"/>
                <w:sz w:val="6"/>
                <w:szCs w:val="6"/>
                <w:b w:val="1"/>
                <w:bCs w:val="1"/>
                <w:color w:val="auto"/>
              </w:rPr>
              <w:t>Equity</w:t>
            </w:r>
          </w:p>
        </w:tc>
        <w:tc>
          <w:tcPr>
            <w:tcW w:w="0" w:type="dxa"/>
            <w:vAlign w:val="bottom"/>
          </w:tcPr>
          <w:p>
            <w:pPr>
              <w:spacing w:after="0"/>
              <w:rPr>
                <w:sz w:val="1"/>
                <w:szCs w:val="1"/>
                <w:color w:val="auto"/>
              </w:rPr>
            </w:pPr>
          </w:p>
        </w:tc>
      </w:tr>
      <w:tr>
        <w:trPr>
          <w:trHeight w:val="177"/>
        </w:trPr>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Shares</w:t>
            </w: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Amount</w:t>
            </w: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2"/>
              </w:rPr>
              <w:t>Shares</w:t>
            </w:r>
          </w:p>
        </w:tc>
        <w:tc>
          <w:tcPr>
            <w:tcW w:w="60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Shares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4"/>
              </w:rPr>
              <w:t>Stock</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2"/>
              </w:rPr>
              <w:t>Shares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Shares</w:t>
            </w: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6"/>
              </w:rPr>
              <w:t>(Loss) Income</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99"/>
        </w:trPr>
        <w:tc>
          <w:tcPr>
            <w:tcW w:w="520" w:type="dxa"/>
            <w:vAlign w:val="bottom"/>
          </w:tcPr>
          <w:p>
            <w:pPr>
              <w:jc w:val="right"/>
              <w:spacing w:after="0"/>
              <w:rPr>
                <w:sz w:val="20"/>
                <w:szCs w:val="20"/>
                <w:color w:val="auto"/>
              </w:rPr>
            </w:pPr>
            <w:r>
              <w:rPr>
                <w:rFonts w:ascii="Arial" w:cs="Arial" w:eastAsia="Arial" w:hAnsi="Arial"/>
                <w:sz w:val="13"/>
                <w:szCs w:val="13"/>
                <w:color w:val="auto"/>
              </w:rPr>
              <w:t>72,226</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w w:val="89"/>
              </w:rPr>
              <w:t>$ 745,046</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44,958</w:t>
            </w:r>
          </w:p>
        </w:tc>
        <w:tc>
          <w:tcPr>
            <w:tcW w:w="580" w:type="dxa"/>
            <w:vAlign w:val="bottom"/>
          </w:tcPr>
          <w:p>
            <w:pPr>
              <w:jc w:val="right"/>
              <w:spacing w:after="0"/>
              <w:rPr>
                <w:sz w:val="20"/>
                <w:szCs w:val="20"/>
                <w:color w:val="auto"/>
              </w:rPr>
            </w:pPr>
            <w:r>
              <w:rPr>
                <w:rFonts w:ascii="Arial" w:cs="Arial" w:eastAsia="Arial" w:hAnsi="Arial"/>
                <w:sz w:val="13"/>
                <w:szCs w:val="13"/>
                <w:color w:val="auto"/>
                <w:w w:val="86"/>
              </w:rPr>
              <w:t>$ 163,264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908,310</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jc w:val="center"/>
              <w:ind w:right="57"/>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43,074</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40,564</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(431,264)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1,546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(389,154)</w:t>
            </w:r>
          </w:p>
        </w:tc>
        <w:tc>
          <w:tcPr>
            <w:tcW w:w="0" w:type="dxa"/>
            <w:vAlign w:val="bottom"/>
          </w:tcPr>
          <w:p>
            <w:pPr>
              <w:spacing w:after="0"/>
              <w:rPr>
                <w:sz w:val="1"/>
                <w:szCs w:val="1"/>
                <w:color w:val="auto"/>
              </w:rPr>
            </w:pPr>
          </w:p>
        </w:tc>
      </w:tr>
      <w:tr>
        <w:trPr>
          <w:trHeight w:val="297"/>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45</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416</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416</w:t>
            </w:r>
          </w:p>
        </w:tc>
        <w:tc>
          <w:tcPr>
            <w:tcW w:w="0" w:type="dxa"/>
            <w:vAlign w:val="bottom"/>
          </w:tcPr>
          <w:p>
            <w:pPr>
              <w:spacing w:after="0"/>
              <w:rPr>
                <w:sz w:val="1"/>
                <w:szCs w:val="1"/>
                <w:color w:val="auto"/>
              </w:rPr>
            </w:pPr>
          </w:p>
        </w:tc>
      </w:tr>
      <w:tr>
        <w:trPr>
          <w:trHeight w:val="175"/>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903</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903</w:t>
            </w:r>
          </w:p>
        </w:tc>
        <w:tc>
          <w:tcPr>
            <w:tcW w:w="0" w:type="dxa"/>
            <w:vAlign w:val="bottom"/>
          </w:tcPr>
          <w:p>
            <w:pPr>
              <w:spacing w:after="0"/>
              <w:rPr>
                <w:sz w:val="1"/>
                <w:szCs w:val="1"/>
                <w:color w:val="auto"/>
              </w:rPr>
            </w:pPr>
          </w:p>
        </w:tc>
      </w:tr>
      <w:tr>
        <w:trPr>
          <w:trHeight w:val="176"/>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223</w:t>
            </w: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735</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297"/>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543</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543</w:t>
            </w:r>
          </w:p>
        </w:tc>
        <w:tc>
          <w:tcPr>
            <w:tcW w:w="0" w:type="dxa"/>
            <w:vAlign w:val="bottom"/>
          </w:tcPr>
          <w:p>
            <w:pPr>
              <w:spacing w:after="0"/>
              <w:rPr>
                <w:sz w:val="1"/>
                <w:szCs w:val="1"/>
                <w:color w:val="auto"/>
              </w:rPr>
            </w:pPr>
          </w:p>
        </w:tc>
      </w:tr>
      <w:tr>
        <w:trPr>
          <w:trHeight w:val="418"/>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15,105</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15,105</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(15,105)</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(15,105)</w:t>
            </w: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(15,995)</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(15,995)</w:t>
            </w:r>
          </w:p>
        </w:tc>
        <w:tc>
          <w:tcPr>
            <w:tcW w:w="0" w:type="dxa"/>
            <w:vAlign w:val="bottom"/>
          </w:tcPr>
          <w:p>
            <w:pPr>
              <w:spacing w:after="0"/>
              <w:rPr>
                <w:sz w:val="1"/>
                <w:szCs w:val="1"/>
                <w:color w:val="auto"/>
              </w:rPr>
            </w:pPr>
          </w:p>
        </w:tc>
      </w:tr>
      <w:tr>
        <w:trPr>
          <w:trHeight w:val="160"/>
        </w:trPr>
        <w:tc>
          <w:tcPr>
            <w:tcW w:w="520" w:type="dxa"/>
            <w:vAlign w:val="bottom"/>
          </w:tcPr>
          <w:p>
            <w:pPr>
              <w:jc w:val="right"/>
              <w:spacing w:after="0"/>
              <w:rPr>
                <w:sz w:val="20"/>
                <w:szCs w:val="20"/>
                <w:color w:val="auto"/>
              </w:rPr>
            </w:pPr>
            <w:r>
              <w:rPr>
                <w:rFonts w:ascii="Arial" w:cs="Arial" w:eastAsia="Arial" w:hAnsi="Arial"/>
                <w:sz w:val="13"/>
                <w:szCs w:val="13"/>
                <w:color w:val="auto"/>
              </w:rPr>
              <w:t>72,226</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760,151</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44,958</w:t>
            </w:r>
          </w:p>
        </w:tc>
        <w:tc>
          <w:tcPr>
            <w:tcW w:w="580" w:type="dxa"/>
            <w:vAlign w:val="bottom"/>
          </w:tcPr>
          <w:p>
            <w:pPr>
              <w:jc w:val="right"/>
              <w:spacing w:after="0"/>
              <w:rPr>
                <w:sz w:val="20"/>
                <w:szCs w:val="20"/>
                <w:color w:val="auto"/>
              </w:rPr>
            </w:pPr>
            <w:r>
              <w:rPr>
                <w:rFonts w:ascii="Arial" w:cs="Arial" w:eastAsia="Arial" w:hAnsi="Arial"/>
                <w:sz w:val="13"/>
                <w:szCs w:val="13"/>
                <w:color w:val="auto"/>
              </w:rPr>
              <w:t>163,264</w:t>
            </w:r>
          </w:p>
        </w:tc>
        <w:tc>
          <w:tcPr>
            <w:tcW w:w="100" w:type="dxa"/>
            <w:vAlign w:val="bottom"/>
          </w:tcPr>
          <w:p>
            <w:pPr>
              <w:spacing w:after="0"/>
              <w:rPr>
                <w:sz w:val="13"/>
                <w:szCs w:val="13"/>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923,415</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43,342</w:t>
            </w:r>
          </w:p>
        </w:tc>
        <w:tc>
          <w:tcPr>
            <w:tcW w:w="2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27,513</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(447,259)</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2,089</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(417,657)</w:t>
            </w:r>
          </w:p>
        </w:tc>
        <w:tc>
          <w:tcPr>
            <w:tcW w:w="0" w:type="dxa"/>
            <w:vAlign w:val="bottom"/>
          </w:tcPr>
          <w:p>
            <w:pPr>
              <w:spacing w:after="0"/>
              <w:rPr>
                <w:sz w:val="1"/>
                <w:szCs w:val="1"/>
                <w:color w:val="auto"/>
              </w:rPr>
            </w:pPr>
          </w:p>
        </w:tc>
      </w:tr>
      <w:tr>
        <w:trPr>
          <w:trHeight w:val="296"/>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7,857</w:t>
            </w:r>
          </w:p>
        </w:tc>
        <w:tc>
          <w:tcPr>
            <w:tcW w:w="600" w:type="dxa"/>
            <w:vAlign w:val="bottom"/>
            <w:gridSpan w:val="2"/>
          </w:tcPr>
          <w:p>
            <w:pPr>
              <w:jc w:val="right"/>
              <w:ind w:right="37"/>
              <w:spacing w:after="0"/>
              <w:rPr>
                <w:sz w:val="20"/>
                <w:szCs w:val="20"/>
                <w:color w:val="auto"/>
              </w:rPr>
            </w:pPr>
            <w:r>
              <w:rPr>
                <w:rFonts w:ascii="Arial" w:cs="Arial" w:eastAsia="Arial" w:hAnsi="Arial"/>
                <w:sz w:val="13"/>
                <w:szCs w:val="13"/>
                <w:color w:val="auto"/>
              </w:rPr>
              <w:t>109,782</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109,782</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8"/>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310</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76"/>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571</w:t>
            </w: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11,201</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11,201</w:t>
            </w:r>
          </w:p>
        </w:tc>
        <w:tc>
          <w:tcPr>
            <w:tcW w:w="0" w:type="dxa"/>
            <w:vAlign w:val="bottom"/>
          </w:tcPr>
          <w:p>
            <w:pPr>
              <w:spacing w:after="0"/>
              <w:rPr>
                <w:sz w:val="1"/>
                <w:szCs w:val="1"/>
                <w:color w:val="auto"/>
              </w:rPr>
            </w:pPr>
          </w:p>
        </w:tc>
      </w:tr>
      <w:tr>
        <w:trPr>
          <w:trHeight w:val="175"/>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84</w:t>
            </w: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281</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297"/>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369</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(24,334)</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(24,334)</w:t>
            </w:r>
          </w:p>
        </w:tc>
        <w:tc>
          <w:tcPr>
            <w:tcW w:w="0" w:type="dxa"/>
            <w:vAlign w:val="bottom"/>
          </w:tcPr>
          <w:p>
            <w:pPr>
              <w:spacing w:after="0"/>
              <w:rPr>
                <w:sz w:val="1"/>
                <w:szCs w:val="1"/>
                <w:color w:val="auto"/>
              </w:rPr>
            </w:pPr>
          </w:p>
        </w:tc>
      </w:tr>
      <w:tr>
        <w:trPr>
          <w:trHeight w:val="160"/>
        </w:trPr>
        <w:tc>
          <w:tcPr>
            <w:tcW w:w="520" w:type="dxa"/>
            <w:vAlign w:val="bottom"/>
          </w:tcPr>
          <w:p>
            <w:pPr>
              <w:jc w:val="right"/>
              <w:spacing w:after="0"/>
              <w:rPr>
                <w:sz w:val="20"/>
                <w:szCs w:val="20"/>
                <w:color w:val="auto"/>
              </w:rPr>
            </w:pPr>
            <w:r>
              <w:rPr>
                <w:rFonts w:ascii="Arial" w:cs="Arial" w:eastAsia="Arial" w:hAnsi="Arial"/>
                <w:sz w:val="13"/>
                <w:szCs w:val="13"/>
                <w:color w:val="auto"/>
              </w:rPr>
              <w:t>72,226</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760,151</w:t>
            </w:r>
          </w:p>
        </w:tc>
        <w:tc>
          <w:tcPr>
            <w:tcW w:w="460" w:type="dxa"/>
            <w:vAlign w:val="bottom"/>
          </w:tcPr>
          <w:p>
            <w:pPr>
              <w:jc w:val="right"/>
              <w:spacing w:after="0"/>
              <w:rPr>
                <w:sz w:val="20"/>
                <w:szCs w:val="20"/>
                <w:color w:val="auto"/>
              </w:rPr>
            </w:pPr>
            <w:r>
              <w:rPr>
                <w:rFonts w:ascii="Arial" w:cs="Arial" w:eastAsia="Arial" w:hAnsi="Arial"/>
                <w:sz w:val="13"/>
                <w:szCs w:val="13"/>
                <w:color w:val="auto"/>
              </w:rPr>
              <w:t>7,857</w:t>
            </w:r>
          </w:p>
        </w:tc>
        <w:tc>
          <w:tcPr>
            <w:tcW w:w="600" w:type="dxa"/>
            <w:vAlign w:val="bottom"/>
            <w:gridSpan w:val="2"/>
          </w:tcPr>
          <w:p>
            <w:pPr>
              <w:jc w:val="right"/>
              <w:ind w:right="37"/>
              <w:spacing w:after="0"/>
              <w:rPr>
                <w:sz w:val="20"/>
                <w:szCs w:val="20"/>
                <w:color w:val="auto"/>
              </w:rPr>
            </w:pPr>
            <w:r>
              <w:rPr>
                <w:rFonts w:ascii="Arial" w:cs="Arial" w:eastAsia="Arial" w:hAnsi="Arial"/>
                <w:sz w:val="13"/>
                <w:szCs w:val="13"/>
                <w:color w:val="auto"/>
              </w:rPr>
              <w:t>109,782</w:t>
            </w:r>
          </w:p>
        </w:tc>
        <w:tc>
          <w:tcPr>
            <w:tcW w:w="500" w:type="dxa"/>
            <w:vAlign w:val="bottom"/>
          </w:tcPr>
          <w:p>
            <w:pPr>
              <w:jc w:val="right"/>
              <w:spacing w:after="0"/>
              <w:rPr>
                <w:sz w:val="20"/>
                <w:szCs w:val="20"/>
                <w:color w:val="auto"/>
              </w:rPr>
            </w:pPr>
            <w:r>
              <w:rPr>
                <w:rFonts w:ascii="Arial" w:cs="Arial" w:eastAsia="Arial" w:hAnsi="Arial"/>
                <w:sz w:val="13"/>
                <w:szCs w:val="13"/>
                <w:color w:val="auto"/>
              </w:rPr>
              <w:t>44,958</w:t>
            </w:r>
          </w:p>
        </w:tc>
        <w:tc>
          <w:tcPr>
            <w:tcW w:w="580" w:type="dxa"/>
            <w:vAlign w:val="bottom"/>
          </w:tcPr>
          <w:p>
            <w:pPr>
              <w:jc w:val="right"/>
              <w:spacing w:after="0"/>
              <w:rPr>
                <w:sz w:val="20"/>
                <w:szCs w:val="20"/>
                <w:color w:val="auto"/>
              </w:rPr>
            </w:pPr>
            <w:r>
              <w:rPr>
                <w:rFonts w:ascii="Arial" w:cs="Arial" w:eastAsia="Arial" w:hAnsi="Arial"/>
                <w:sz w:val="13"/>
                <w:szCs w:val="13"/>
                <w:color w:val="auto"/>
              </w:rPr>
              <w:t>163,264</w:t>
            </w:r>
          </w:p>
        </w:tc>
        <w:tc>
          <w:tcPr>
            <w:tcW w:w="100" w:type="dxa"/>
            <w:vAlign w:val="bottom"/>
          </w:tcPr>
          <w:p>
            <w:pPr>
              <w:spacing w:after="0"/>
              <w:rPr>
                <w:sz w:val="13"/>
                <w:szCs w:val="13"/>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w w:val="93"/>
              </w:rPr>
              <w:t>1,033,197</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43,997</w:t>
            </w:r>
          </w:p>
        </w:tc>
        <w:tc>
          <w:tcPr>
            <w:tcW w:w="2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39,305</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(471,593)</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2,458</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(429,830)</w:t>
            </w:r>
          </w:p>
        </w:tc>
        <w:tc>
          <w:tcPr>
            <w:tcW w:w="0" w:type="dxa"/>
            <w:vAlign w:val="bottom"/>
          </w:tcPr>
          <w:p>
            <w:pPr>
              <w:spacing w:after="0"/>
              <w:rPr>
                <w:sz w:val="1"/>
                <w:szCs w:val="1"/>
                <w:color w:val="auto"/>
              </w:rPr>
            </w:pPr>
          </w:p>
        </w:tc>
      </w:tr>
      <w:tr>
        <w:trPr>
          <w:trHeight w:val="539"/>
        </w:trPr>
        <w:tc>
          <w:tcPr>
            <w:tcW w:w="520" w:type="dxa"/>
            <w:vAlign w:val="bottom"/>
          </w:tcPr>
          <w:p>
            <w:pPr>
              <w:jc w:val="right"/>
              <w:spacing w:after="0"/>
              <w:rPr>
                <w:sz w:val="20"/>
                <w:szCs w:val="20"/>
                <w:color w:val="auto"/>
              </w:rPr>
            </w:pPr>
            <w:r>
              <w:rPr>
                <w:rFonts w:ascii="Arial" w:cs="Arial" w:eastAsia="Arial" w:hAnsi="Arial"/>
                <w:sz w:val="13"/>
                <w:szCs w:val="13"/>
                <w:color w:val="auto"/>
                <w:w w:val="99"/>
              </w:rPr>
              <w:t>(72,226)</w:t>
            </w:r>
          </w:p>
        </w:tc>
        <w:tc>
          <w:tcPr>
            <w:tcW w:w="620" w:type="dxa"/>
            <w:vAlign w:val="bottom"/>
          </w:tcPr>
          <w:p>
            <w:pPr>
              <w:jc w:val="right"/>
              <w:spacing w:after="0"/>
              <w:rPr>
                <w:sz w:val="20"/>
                <w:szCs w:val="20"/>
                <w:color w:val="auto"/>
              </w:rPr>
            </w:pPr>
            <w:r>
              <w:rPr>
                <w:rFonts w:ascii="Arial" w:cs="Arial" w:eastAsia="Arial" w:hAnsi="Arial"/>
                <w:sz w:val="13"/>
                <w:szCs w:val="13"/>
                <w:color w:val="auto"/>
                <w:w w:val="96"/>
              </w:rPr>
              <w:t>(760,151)</w:t>
            </w:r>
          </w:p>
        </w:tc>
        <w:tc>
          <w:tcPr>
            <w:tcW w:w="1060" w:type="dxa"/>
            <w:vAlign w:val="bottom"/>
            <w:gridSpan w:val="3"/>
          </w:tcPr>
          <w:p>
            <w:pPr>
              <w:ind w:left="100"/>
              <w:spacing w:after="0"/>
              <w:rPr>
                <w:sz w:val="20"/>
                <w:szCs w:val="20"/>
                <w:color w:val="auto"/>
              </w:rPr>
            </w:pPr>
            <w:r>
              <w:rPr>
                <w:rFonts w:ascii="Arial" w:cs="Arial" w:eastAsia="Arial" w:hAnsi="Arial"/>
                <w:sz w:val="13"/>
                <w:szCs w:val="13"/>
                <w:color w:val="auto"/>
                <w:w w:val="93"/>
              </w:rPr>
              <w:t>(7,857) (109,782)</w:t>
            </w:r>
          </w:p>
        </w:tc>
        <w:tc>
          <w:tcPr>
            <w:tcW w:w="500" w:type="dxa"/>
            <w:vAlign w:val="bottom"/>
          </w:tcPr>
          <w:p>
            <w:pPr>
              <w:ind w:left="40"/>
              <w:spacing w:after="0"/>
              <w:rPr>
                <w:sz w:val="20"/>
                <w:szCs w:val="20"/>
                <w:color w:val="auto"/>
              </w:rPr>
            </w:pPr>
            <w:r>
              <w:rPr>
                <w:rFonts w:ascii="Arial" w:cs="Arial" w:eastAsia="Arial" w:hAnsi="Arial"/>
                <w:sz w:val="13"/>
                <w:szCs w:val="13"/>
                <w:color w:val="auto"/>
                <w:w w:val="90"/>
              </w:rPr>
              <w:t>(44,958)</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(163,264)</w:t>
            </w:r>
          </w:p>
        </w:tc>
        <w:tc>
          <w:tcPr>
            <w:tcW w:w="100" w:type="dxa"/>
            <w:vAlign w:val="bottom"/>
          </w:tcPr>
          <w:p>
            <w:pPr>
              <w:spacing w:after="0"/>
              <w:rPr>
                <w:sz w:val="24"/>
                <w:szCs w:val="24"/>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w w:val="87"/>
              </w:rPr>
              <w:t>(1,033,197)</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3"/>
              </w:rPr>
              <w:t>125,041</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89"/>
              </w:rPr>
              <w:t>1,033,195</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1,033,197</w:t>
            </w:r>
          </w:p>
        </w:tc>
        <w:tc>
          <w:tcPr>
            <w:tcW w:w="0" w:type="dxa"/>
            <w:vAlign w:val="bottom"/>
          </w:tcPr>
          <w:p>
            <w:pPr>
              <w:spacing w:after="0"/>
              <w:rPr>
                <w:sz w:val="1"/>
                <w:szCs w:val="1"/>
                <w:color w:val="auto"/>
              </w:rPr>
            </w:pPr>
          </w:p>
        </w:tc>
      </w:tr>
      <w:tr>
        <w:trPr>
          <w:trHeight w:val="662"/>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21,882</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340,884</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340,884</w:t>
            </w:r>
          </w:p>
        </w:tc>
        <w:tc>
          <w:tcPr>
            <w:tcW w:w="0" w:type="dxa"/>
            <w:vAlign w:val="bottom"/>
          </w:tcPr>
          <w:p>
            <w:pPr>
              <w:spacing w:after="0"/>
              <w:rPr>
                <w:sz w:val="1"/>
                <w:szCs w:val="1"/>
                <w:color w:val="auto"/>
              </w:rPr>
            </w:pPr>
          </w:p>
        </w:tc>
      </w:tr>
      <w:tr>
        <w:trPr>
          <w:trHeight w:val="297"/>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4,412</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75,000</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176"/>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4,745</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4,745</w:t>
            </w:r>
          </w:p>
        </w:tc>
        <w:tc>
          <w:tcPr>
            <w:tcW w:w="0" w:type="dxa"/>
            <w:vAlign w:val="bottom"/>
          </w:tcPr>
          <w:p>
            <w:pPr>
              <w:spacing w:after="0"/>
              <w:rPr>
                <w:sz w:val="1"/>
                <w:szCs w:val="1"/>
                <w:color w:val="auto"/>
              </w:rPr>
            </w:pPr>
          </w:p>
        </w:tc>
      </w:tr>
      <w:tr>
        <w:trPr>
          <w:trHeight w:val="175"/>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24</w:t>
            </w: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137</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297"/>
        </w:trPr>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Pr>
          <w:p>
            <w:pPr>
              <w:ind w:lef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(3,430)</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(3,430)</w:t>
            </w: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(36,906)</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(36,906)</w:t>
            </w:r>
          </w:p>
        </w:tc>
        <w:tc>
          <w:tcPr>
            <w:tcW w:w="0" w:type="dxa"/>
            <w:vAlign w:val="bottom"/>
          </w:tcPr>
          <w:p>
            <w:pPr>
              <w:spacing w:after="0"/>
              <w:rPr>
                <w:sz w:val="1"/>
                <w:szCs w:val="1"/>
                <w:color w:val="auto"/>
              </w:rPr>
            </w:pPr>
          </w:p>
        </w:tc>
      </w:tr>
      <w:tr>
        <w:trPr>
          <w:trHeight w:val="169"/>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195,356</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1,493,266</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(508,499)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983,797</w:t>
            </w:r>
          </w:p>
        </w:tc>
        <w:tc>
          <w:tcPr>
            <w:tcW w:w="0" w:type="dxa"/>
            <w:vAlign w:val="bottom"/>
          </w:tcPr>
          <w:p>
            <w:pPr>
              <w:spacing w:after="0"/>
              <w:rPr>
                <w:sz w:val="1"/>
                <w:szCs w:val="1"/>
                <w:color w:val="auto"/>
              </w:rPr>
            </w:pPr>
          </w:p>
        </w:tc>
      </w:tr>
      <w:tr>
        <w:trPr>
          <w:trHeight w:val="27"/>
        </w:trPr>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-3933825</wp:posOffset>
            </wp:positionV>
            <wp:extent cx="7132320" cy="111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-3634105</wp:posOffset>
            </wp:positionV>
            <wp:extent cx="7132320" cy="111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-3411220</wp:posOffset>
            </wp:positionV>
            <wp:extent cx="71323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-2956560</wp:posOffset>
            </wp:positionV>
            <wp:extent cx="7132320"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-2725420</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-2270760</wp:posOffset>
            </wp:positionV>
            <wp:extent cx="7132320"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-2047875</wp:posOffset>
            </wp:positionV>
            <wp:extent cx="71323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-1748155</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-1285240</wp:posOffset>
            </wp:positionV>
            <wp:extent cx="7132320" cy="419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-676275</wp:posOffset>
            </wp:positionV>
            <wp:extent cx="7132320"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-453390</wp:posOffset>
            </wp:positionV>
            <wp:extent cx="71323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-153670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20"/>
            <w:col w:w="9400"/>
          </w:cols>
          <w:pgMar w:left="320" w:top="1417" w:right="33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0" w:name="page11"/>
    <w:bookmarkEnd w:id="10"/>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Series B</w:t>
            </w: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Series A</w:t>
            </w:r>
          </w:p>
        </w:tc>
        <w:tc>
          <w:tcPr>
            <w:tcW w:w="12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Convertible</w:t>
            </w:r>
          </w:p>
        </w:tc>
        <w:tc>
          <w:tcPr>
            <w:tcW w:w="12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3"/>
              </w:rPr>
              <w:t>Convertible</w:t>
            </w:r>
          </w:p>
        </w:tc>
        <w:tc>
          <w:tcPr>
            <w:tcW w:w="120" w:type="dxa"/>
            <w:vAlign w:val="bottom"/>
          </w:tcPr>
          <w:p>
            <w:pPr>
              <w:spacing w:after="0"/>
              <w:rPr>
                <w:sz w:val="11"/>
                <w:szCs w:val="11"/>
                <w:color w:val="auto"/>
              </w:rPr>
            </w:pPr>
          </w:p>
        </w:tc>
        <w:tc>
          <w:tcPr>
            <w:tcW w:w="780" w:type="dxa"/>
            <w:vAlign w:val="bottom"/>
            <w:tcBorders>
              <w:right w:val="single" w:sz="8" w:color="auto"/>
            </w:tcBorders>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18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w w:val="96"/>
              </w:rPr>
              <w:t>Preferred</w:t>
            </w:r>
          </w:p>
        </w:tc>
        <w:tc>
          <w:tcPr>
            <w:tcW w:w="1200" w:type="dxa"/>
            <w:vAlign w:val="bottom"/>
            <w:gridSpan w:val="3"/>
            <w:vMerge w:val="restart"/>
          </w:tcPr>
          <w:p>
            <w:pPr>
              <w:jc w:val="center"/>
              <w:spacing w:after="0" w:line="135" w:lineRule="exact"/>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9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w w:val="93"/>
              </w:rPr>
              <w:t>Convertible</w:t>
            </w: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gridSpan w:val="2"/>
            <w:vMerge w:val="restart"/>
          </w:tcPr>
          <w:p>
            <w:pPr>
              <w:jc w:val="right"/>
              <w:ind w:right="8"/>
              <w:spacing w:after="0" w:line="135"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4"/>
                <w:szCs w:val="4"/>
                <w:color w:val="auto"/>
              </w:rPr>
            </w:pPr>
          </w:p>
        </w:tc>
        <w:tc>
          <w:tcPr>
            <w:tcW w:w="940" w:type="dxa"/>
            <w:vAlign w:val="bottom"/>
            <w:vMerge w:val="restart"/>
          </w:tcPr>
          <w:p>
            <w:pPr>
              <w:jc w:val="right"/>
              <w:ind w:right="28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tcBorders>
              <w:right w:val="single" w:sz="8" w:color="auto"/>
            </w:tcBorders>
            <w:gridSpan w:val="2"/>
            <w:vMerge w:val="continue"/>
          </w:tcPr>
          <w:p>
            <w:pPr>
              <w:spacing w:after="0"/>
              <w:rPr>
                <w:sz w:val="7"/>
                <w:szCs w:val="7"/>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8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1180" w:type="dxa"/>
            <w:vAlign w:val="bottom"/>
            <w:tcBorders>
              <w:bottom w:val="single" w:sz="8" w:color="auto"/>
            </w:tcBorders>
            <w:gridSpan w:val="2"/>
            <w:vMerge w:val="continue"/>
          </w:tcPr>
          <w:p>
            <w:pPr>
              <w:spacing w:after="0"/>
              <w:rPr>
                <w:sz w:val="9"/>
                <w:szCs w:val="9"/>
                <w:color w:val="auto"/>
              </w:rPr>
            </w:pPr>
          </w:p>
        </w:tc>
        <w:tc>
          <w:tcPr>
            <w:tcW w:w="1200" w:type="dxa"/>
            <w:vAlign w:val="bottom"/>
            <w:tcBorders>
              <w:bottom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right w:val="single" w:sz="8" w:color="auto"/>
            </w:tcBorders>
          </w:tcPr>
          <w:p>
            <w:pPr>
              <w:jc w:val="center"/>
              <w:ind w:right="68"/>
              <w:spacing w:after="0" w:line="107" w:lineRule="exact"/>
              <w:rPr>
                <w:sz w:val="20"/>
                <w:szCs w:val="20"/>
                <w:color w:val="auto"/>
              </w:rPr>
            </w:pPr>
            <w:r>
              <w:rPr>
                <w:rFonts w:ascii="Arial" w:cs="Arial" w:eastAsia="Arial" w:hAnsi="Arial"/>
                <w:sz w:val="12"/>
                <w:szCs w:val="12"/>
                <w:b w:val="1"/>
                <w:bCs w:val="1"/>
                <w:color w:val="auto"/>
              </w:rPr>
              <w:t>Preferred</w:t>
            </w:r>
          </w:p>
        </w:tc>
        <w:tc>
          <w:tcPr>
            <w:tcW w:w="1140" w:type="dxa"/>
            <w:vAlign w:val="bottom"/>
            <w:tcBorders>
              <w:bottom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right"/>
              <w:ind w:right="108"/>
              <w:spacing w:after="0" w:line="107" w:lineRule="exact"/>
              <w:rPr>
                <w:sz w:val="20"/>
                <w:szCs w:val="20"/>
                <w:color w:val="auto"/>
              </w:rPr>
            </w:pPr>
            <w:r>
              <w:rPr>
                <w:rFonts w:ascii="Arial" w:cs="Arial" w:eastAsia="Arial" w:hAnsi="Arial"/>
                <w:sz w:val="12"/>
                <w:szCs w:val="12"/>
                <w:b w:val="1"/>
                <w:bCs w:val="1"/>
                <w:color w:val="auto"/>
              </w:rPr>
              <w:t>Paid-In</w:t>
            </w:r>
          </w:p>
        </w:tc>
        <w:tc>
          <w:tcPr>
            <w:tcW w:w="980" w:type="dxa"/>
            <w:vAlign w:val="bottom"/>
            <w:gridSpan w:val="2"/>
          </w:tcPr>
          <w:p>
            <w:pPr>
              <w:jc w:val="right"/>
              <w:ind w:right="8"/>
              <w:spacing w:after="0" w:line="107"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9"/>
                <w:szCs w:val="9"/>
                <w:color w:val="auto"/>
              </w:rPr>
            </w:pPr>
          </w:p>
        </w:tc>
        <w:tc>
          <w:tcPr>
            <w:tcW w:w="1040" w:type="dxa"/>
            <w:vAlign w:val="bottom"/>
          </w:tcPr>
          <w:p>
            <w:pPr>
              <w:jc w:val="center"/>
              <w:ind w:right="8"/>
              <w:spacing w:after="0" w:line="107" w:lineRule="exact"/>
              <w:rPr>
                <w:sz w:val="20"/>
                <w:szCs w:val="20"/>
                <w:color w:val="auto"/>
              </w:rPr>
            </w:pPr>
            <w:r>
              <w:rPr>
                <w:rFonts w:ascii="Arial" w:cs="Arial" w:eastAsia="Arial" w:hAnsi="Arial"/>
                <w:sz w:val="12"/>
                <w:szCs w:val="12"/>
                <w:b w:val="1"/>
                <w:bCs w:val="1"/>
                <w:color w:val="auto"/>
              </w:rPr>
              <w:t>Comprehensive</w:t>
            </w:r>
          </w:p>
        </w:tc>
        <w:tc>
          <w:tcPr>
            <w:tcW w:w="100" w:type="dxa"/>
            <w:vAlign w:val="bottom"/>
          </w:tcPr>
          <w:p>
            <w:pPr>
              <w:spacing w:after="0"/>
              <w:rPr>
                <w:sz w:val="9"/>
                <w:szCs w:val="9"/>
                <w:color w:val="auto"/>
              </w:rPr>
            </w:pPr>
          </w:p>
        </w:tc>
        <w:tc>
          <w:tcPr>
            <w:tcW w:w="940" w:type="dxa"/>
            <w:vAlign w:val="bottom"/>
          </w:tcPr>
          <w:p>
            <w:pPr>
              <w:jc w:val="right"/>
              <w:ind w:right="8"/>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Shares</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Stock</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w:t>
            </w: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(Loss) Income</w:t>
            </w: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Equity (Deficit)</w:t>
            </w:r>
          </w:p>
        </w:tc>
        <w:tc>
          <w:tcPr>
            <w:tcW w:w="0" w:type="dxa"/>
            <w:vAlign w:val="bottom"/>
          </w:tcPr>
          <w:p>
            <w:pPr>
              <w:spacing w:after="0"/>
              <w:rPr>
                <w:sz w:val="1"/>
                <w:szCs w:val="1"/>
                <w:color w:val="auto"/>
              </w:rPr>
            </w:pPr>
          </w:p>
        </w:tc>
      </w:tr>
      <w:tr>
        <w:trPr>
          <w:trHeight w:val="35"/>
        </w:trPr>
        <w:tc>
          <w:tcPr>
            <w:tcW w:w="2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55,759</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$ 527,065</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44,958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163,264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690,329</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40,731</w:t>
            </w:r>
          </w:p>
        </w:tc>
        <w:tc>
          <w:tcPr>
            <w:tcW w:w="28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96,129</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(371,310)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(274,839)</w:t>
            </w:r>
          </w:p>
        </w:tc>
        <w:tc>
          <w:tcPr>
            <w:tcW w:w="0" w:type="dxa"/>
            <w:vAlign w:val="bottom"/>
          </w:tcPr>
          <w:p>
            <w:pPr>
              <w:spacing w:after="0"/>
              <w:rPr>
                <w:sz w:val="1"/>
                <w:szCs w:val="1"/>
                <w:color w:val="auto"/>
              </w:rPr>
            </w:pPr>
          </w:p>
        </w:tc>
      </w:tr>
      <w:tr>
        <w:trPr>
          <w:trHeight w:val="135"/>
        </w:trPr>
        <w:tc>
          <w:tcPr>
            <w:tcW w:w="2860" w:type="dxa"/>
            <w:vAlign w:val="bottom"/>
          </w:tcPr>
          <w:p>
            <w:pPr>
              <w:ind w:left="100"/>
              <w:spacing w:after="0" w:line="135" w:lineRule="exact"/>
              <w:rPr>
                <w:sz w:val="20"/>
                <w:szCs w:val="20"/>
                <w:color w:val="auto"/>
              </w:rPr>
            </w:pPr>
            <w:r>
              <w:rPr>
                <w:rFonts w:ascii="Arial" w:cs="Arial" w:eastAsia="Arial" w:hAnsi="Arial"/>
                <w:sz w:val="14"/>
                <w:szCs w:val="14"/>
                <w:color w:val="auto"/>
                <w:w w:val="98"/>
              </w:rPr>
              <w:t>Rollover equity in consideration of net assets</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280" w:type="dxa"/>
            <w:vAlign w:val="bottom"/>
          </w:tcPr>
          <w:p>
            <w:pPr>
              <w:spacing w:after="0"/>
              <w:rPr>
                <w:sz w:val="11"/>
                <w:szCs w:val="11"/>
                <w:color w:val="auto"/>
              </w:rPr>
            </w:pP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618</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86"/>
        </w:trPr>
        <w:tc>
          <w:tcPr>
            <w:tcW w:w="2860" w:type="dxa"/>
            <w:vAlign w:val="bottom"/>
          </w:tcPr>
          <w:p>
            <w:pPr>
              <w:ind w:left="260"/>
              <w:spacing w:after="0"/>
              <w:rPr>
                <w:sz w:val="20"/>
                <w:szCs w:val="20"/>
                <w:color w:val="auto"/>
              </w:rPr>
            </w:pPr>
            <w:r>
              <w:rPr>
                <w:rFonts w:ascii="Arial" w:cs="Arial" w:eastAsia="Arial" w:hAnsi="Arial"/>
                <w:sz w:val="14"/>
                <w:szCs w:val="14"/>
                <w:color w:val="auto"/>
              </w:rPr>
              <w:t>acquired</w:t>
            </w:r>
          </w:p>
        </w:tc>
        <w:tc>
          <w:tcPr>
            <w:tcW w:w="5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86"/>
        </w:trPr>
        <w:tc>
          <w:tcPr>
            <w:tcW w:w="2860" w:type="dxa"/>
            <w:vAlign w:val="bottom"/>
          </w:tcPr>
          <w:p>
            <w:pPr>
              <w:ind w:left="100"/>
              <w:spacing w:after="0"/>
              <w:rPr>
                <w:sz w:val="20"/>
                <w:szCs w:val="20"/>
                <w:color w:val="auto"/>
              </w:rPr>
            </w:pPr>
            <w:r>
              <w:rPr>
                <w:rFonts w:ascii="Arial" w:cs="Arial" w:eastAsia="Arial" w:hAnsi="Arial"/>
                <w:sz w:val="14"/>
                <w:szCs w:val="14"/>
                <w:color w:val="auto"/>
              </w:rPr>
              <w:t>Stock option exercises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44</w:t>
            </w:r>
          </w:p>
        </w:tc>
        <w:tc>
          <w:tcPr>
            <w:tcW w:w="28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 losses, 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135"/>
        </w:trPr>
        <w:tc>
          <w:tcPr>
            <w:tcW w:w="2860" w:type="dxa"/>
            <w:vAlign w:val="bottom"/>
          </w:tcPr>
          <w:p>
            <w:pPr>
              <w:ind w:left="100"/>
              <w:spacing w:after="0" w:line="135" w:lineRule="exact"/>
              <w:rPr>
                <w:sz w:val="20"/>
                <w:szCs w:val="20"/>
                <w:color w:val="auto"/>
              </w:rPr>
            </w:pPr>
            <w:r>
              <w:rPr>
                <w:rFonts w:ascii="Arial" w:cs="Arial" w:eastAsia="Arial" w:hAnsi="Arial"/>
                <w:sz w:val="14"/>
                <w:szCs w:val="14"/>
                <w:color w:val="auto"/>
              </w:rPr>
              <w:t>Accretion of Series B convertible preferred</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13,105</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13,105</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(13,105)</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(13,105)</w:t>
            </w:r>
          </w:p>
        </w:tc>
        <w:tc>
          <w:tcPr>
            <w:tcW w:w="0" w:type="dxa"/>
            <w:vAlign w:val="bottom"/>
          </w:tcPr>
          <w:p>
            <w:pPr>
              <w:spacing w:after="0"/>
              <w:rPr>
                <w:sz w:val="1"/>
                <w:szCs w:val="1"/>
                <w:color w:val="auto"/>
              </w:rPr>
            </w:pPr>
          </w:p>
        </w:tc>
      </w:tr>
      <w:tr>
        <w:trPr>
          <w:trHeight w:val="186"/>
        </w:trPr>
        <w:tc>
          <w:tcPr>
            <w:tcW w:w="2860" w:type="dxa"/>
            <w:vAlign w:val="bottom"/>
          </w:tcPr>
          <w:p>
            <w:pPr>
              <w:ind w:left="260"/>
              <w:spacing w:after="0"/>
              <w:rPr>
                <w:sz w:val="20"/>
                <w:szCs w:val="20"/>
                <w:color w:val="auto"/>
              </w:rPr>
            </w:pPr>
            <w:r>
              <w:rPr>
                <w:rFonts w:ascii="Arial" w:cs="Arial" w:eastAsia="Arial" w:hAnsi="Arial"/>
                <w:sz w:val="14"/>
                <w:szCs w:val="14"/>
                <w:color w:val="auto"/>
              </w:rPr>
              <w:t>stock to redemption value</w:t>
            </w:r>
          </w:p>
        </w:tc>
        <w:tc>
          <w:tcPr>
            <w:tcW w:w="5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(19,902)</w:t>
            </w: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(19,902)</w:t>
            </w:r>
          </w:p>
        </w:tc>
        <w:tc>
          <w:tcPr>
            <w:tcW w:w="0" w:type="dxa"/>
            <w:vAlign w:val="bottom"/>
          </w:tcPr>
          <w:p>
            <w:pPr>
              <w:spacing w:after="0"/>
              <w:rPr>
                <w:sz w:val="1"/>
                <w:szCs w:val="1"/>
                <w:color w:val="auto"/>
              </w:rPr>
            </w:pPr>
          </w:p>
        </w:tc>
      </w:tr>
      <w:tr>
        <w:trPr>
          <w:trHeight w:val="179"/>
        </w:trPr>
        <w:tc>
          <w:tcPr>
            <w:tcW w:w="2860" w:type="dxa"/>
            <w:vAlign w:val="bottom"/>
          </w:tcPr>
          <w:p>
            <w:pPr>
              <w:spacing w:after="0"/>
              <w:rPr>
                <w:sz w:val="20"/>
                <w:szCs w:val="20"/>
                <w:color w:val="auto"/>
              </w:rPr>
            </w:pPr>
            <w:r>
              <w:rPr>
                <w:rFonts w:ascii="Arial" w:cs="Arial" w:eastAsia="Arial" w:hAnsi="Arial"/>
                <w:sz w:val="14"/>
                <w:szCs w:val="14"/>
                <w:b w:val="1"/>
                <w:bCs w:val="1"/>
                <w:color w:val="auto"/>
              </w:rPr>
              <w:t>Balance at March 31, 2020</w:t>
            </w:r>
          </w:p>
        </w:tc>
        <w:tc>
          <w:tcPr>
            <w:tcW w:w="500" w:type="dxa"/>
            <w:vAlign w:val="bottom"/>
          </w:tcPr>
          <w:p>
            <w:pPr>
              <w:jc w:val="right"/>
              <w:spacing w:after="0"/>
              <w:rPr>
                <w:sz w:val="20"/>
                <w:szCs w:val="20"/>
                <w:color w:val="auto"/>
              </w:rPr>
            </w:pPr>
            <w:r>
              <w:rPr>
                <w:rFonts w:ascii="Arial" w:cs="Arial" w:eastAsia="Arial" w:hAnsi="Arial"/>
                <w:sz w:val="14"/>
                <w:szCs w:val="14"/>
                <w:color w:val="auto"/>
              </w:rPr>
              <w:t>55,759</w:t>
            </w:r>
          </w:p>
        </w:tc>
        <w:tc>
          <w:tcPr>
            <w:tcW w:w="680" w:type="dxa"/>
            <w:vAlign w:val="bottom"/>
          </w:tcPr>
          <w:p>
            <w:pPr>
              <w:jc w:val="right"/>
              <w:spacing w:after="0"/>
              <w:rPr>
                <w:sz w:val="20"/>
                <w:szCs w:val="20"/>
                <w:color w:val="auto"/>
              </w:rPr>
            </w:pPr>
            <w:r>
              <w:rPr>
                <w:rFonts w:ascii="Arial" w:cs="Arial" w:eastAsia="Arial" w:hAnsi="Arial"/>
                <w:sz w:val="14"/>
                <w:szCs w:val="14"/>
                <w:color w:val="auto"/>
              </w:rPr>
              <w:t>540,170</w:t>
            </w:r>
          </w:p>
        </w:tc>
        <w:tc>
          <w:tcPr>
            <w:tcW w:w="500" w:type="dxa"/>
            <w:vAlign w:val="bottom"/>
          </w:tcPr>
          <w:p>
            <w:pPr>
              <w:jc w:val="right"/>
              <w:spacing w:after="0"/>
              <w:rPr>
                <w:sz w:val="20"/>
                <w:szCs w:val="20"/>
                <w:color w:val="auto"/>
              </w:rPr>
            </w:pPr>
            <w:r>
              <w:rPr>
                <w:rFonts w:ascii="Arial" w:cs="Arial" w:eastAsia="Arial" w:hAnsi="Arial"/>
                <w:sz w:val="14"/>
                <w:szCs w:val="14"/>
                <w:color w:val="auto"/>
              </w:rPr>
              <w:t>44,958</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163,264</w:t>
            </w:r>
          </w:p>
        </w:tc>
        <w:tc>
          <w:tcPr>
            <w:tcW w:w="120" w:type="dxa"/>
            <w:vAlign w:val="bottom"/>
          </w:tcPr>
          <w:p>
            <w:pPr>
              <w:spacing w:after="0"/>
              <w:rPr>
                <w:sz w:val="15"/>
                <w:szCs w:val="15"/>
                <w:color w:val="auto"/>
              </w:rPr>
            </w:pPr>
          </w:p>
        </w:tc>
        <w:tc>
          <w:tcPr>
            <w:tcW w:w="7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703,434</w:t>
            </w:r>
          </w:p>
        </w:tc>
        <w:tc>
          <w:tcPr>
            <w:tcW w:w="480" w:type="dxa"/>
            <w:vAlign w:val="bottom"/>
          </w:tcPr>
          <w:p>
            <w:pPr>
              <w:jc w:val="right"/>
              <w:spacing w:after="0"/>
              <w:rPr>
                <w:sz w:val="20"/>
                <w:szCs w:val="20"/>
                <w:color w:val="auto"/>
              </w:rPr>
            </w:pPr>
            <w:r>
              <w:rPr>
                <w:rFonts w:ascii="Arial" w:cs="Arial" w:eastAsia="Arial" w:hAnsi="Arial"/>
                <w:sz w:val="14"/>
                <w:szCs w:val="14"/>
                <w:color w:val="auto"/>
                <w:w w:val="97"/>
              </w:rPr>
              <w:t>41,146</w:t>
            </w:r>
          </w:p>
        </w:tc>
        <w:tc>
          <w:tcPr>
            <w:tcW w:w="280" w:type="dxa"/>
            <w:vAlign w:val="bottom"/>
          </w:tcPr>
          <w:p>
            <w:pPr>
              <w:spacing w:after="0"/>
              <w:rPr>
                <w:sz w:val="15"/>
                <w:szCs w:val="15"/>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84,538</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(391,212)</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(308,183)</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86"/>
        </w:trPr>
        <w:tc>
          <w:tcPr>
            <w:tcW w:w="2860" w:type="dxa"/>
            <w:vAlign w:val="bottom"/>
          </w:tcPr>
          <w:p>
            <w:pPr>
              <w:ind w:left="100"/>
              <w:spacing w:after="0"/>
              <w:rPr>
                <w:sz w:val="20"/>
                <w:szCs w:val="20"/>
                <w:color w:val="auto"/>
              </w:rPr>
            </w:pPr>
            <w:r>
              <w:rPr>
                <w:rFonts w:ascii="Arial" w:cs="Arial" w:eastAsia="Arial" w:hAnsi="Arial"/>
                <w:sz w:val="14"/>
                <w:szCs w:val="14"/>
                <w:color w:val="auto"/>
              </w:rPr>
              <w:t>Stock option exercises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 gains, 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35"/>
        </w:trPr>
        <w:tc>
          <w:tcPr>
            <w:tcW w:w="2860" w:type="dxa"/>
            <w:vAlign w:val="bottom"/>
          </w:tcPr>
          <w:p>
            <w:pPr>
              <w:ind w:left="100"/>
              <w:spacing w:after="0" w:line="135" w:lineRule="exact"/>
              <w:rPr>
                <w:sz w:val="20"/>
                <w:szCs w:val="20"/>
                <w:color w:val="auto"/>
              </w:rPr>
            </w:pPr>
            <w:r>
              <w:rPr>
                <w:rFonts w:ascii="Arial" w:cs="Arial" w:eastAsia="Arial" w:hAnsi="Arial"/>
                <w:sz w:val="14"/>
                <w:szCs w:val="14"/>
                <w:color w:val="auto"/>
              </w:rPr>
              <w:t>Accretion of Series B convertible preferred</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13,105</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13,105</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(13,105)</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(13,105)</w:t>
            </w:r>
          </w:p>
        </w:tc>
        <w:tc>
          <w:tcPr>
            <w:tcW w:w="0" w:type="dxa"/>
            <w:vAlign w:val="bottom"/>
          </w:tcPr>
          <w:p>
            <w:pPr>
              <w:spacing w:after="0"/>
              <w:rPr>
                <w:sz w:val="1"/>
                <w:szCs w:val="1"/>
                <w:color w:val="auto"/>
              </w:rPr>
            </w:pPr>
          </w:p>
        </w:tc>
      </w:tr>
      <w:tr>
        <w:trPr>
          <w:trHeight w:val="186"/>
        </w:trPr>
        <w:tc>
          <w:tcPr>
            <w:tcW w:w="2860" w:type="dxa"/>
            <w:vAlign w:val="bottom"/>
          </w:tcPr>
          <w:p>
            <w:pPr>
              <w:ind w:left="260"/>
              <w:spacing w:after="0"/>
              <w:rPr>
                <w:sz w:val="20"/>
                <w:szCs w:val="20"/>
                <w:color w:val="auto"/>
              </w:rPr>
            </w:pPr>
            <w:r>
              <w:rPr>
                <w:rFonts w:ascii="Arial" w:cs="Arial" w:eastAsia="Arial" w:hAnsi="Arial"/>
                <w:sz w:val="14"/>
                <w:szCs w:val="14"/>
                <w:color w:val="auto"/>
              </w:rPr>
              <w:t>stock to redemption value</w:t>
            </w:r>
          </w:p>
        </w:tc>
        <w:tc>
          <w:tcPr>
            <w:tcW w:w="5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(13,685)</w:t>
            </w: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(13,685)</w:t>
            </w:r>
          </w:p>
        </w:tc>
        <w:tc>
          <w:tcPr>
            <w:tcW w:w="0" w:type="dxa"/>
            <w:vAlign w:val="bottom"/>
          </w:tcPr>
          <w:p>
            <w:pPr>
              <w:spacing w:after="0"/>
              <w:rPr>
                <w:sz w:val="1"/>
                <w:szCs w:val="1"/>
                <w:color w:val="auto"/>
              </w:rPr>
            </w:pPr>
          </w:p>
        </w:tc>
      </w:tr>
      <w:tr>
        <w:trPr>
          <w:trHeight w:val="179"/>
        </w:trPr>
        <w:tc>
          <w:tcPr>
            <w:tcW w:w="2860" w:type="dxa"/>
            <w:vAlign w:val="bottom"/>
          </w:tcPr>
          <w:p>
            <w:pPr>
              <w:spacing w:after="0"/>
              <w:rPr>
                <w:sz w:val="20"/>
                <w:szCs w:val="20"/>
                <w:color w:val="auto"/>
              </w:rPr>
            </w:pPr>
            <w:r>
              <w:rPr>
                <w:rFonts w:ascii="Arial" w:cs="Arial" w:eastAsia="Arial" w:hAnsi="Arial"/>
                <w:sz w:val="14"/>
                <w:szCs w:val="14"/>
                <w:b w:val="1"/>
                <w:bCs w:val="1"/>
                <w:color w:val="auto"/>
              </w:rPr>
              <w:t>Balance at June 30, 2020</w:t>
            </w:r>
          </w:p>
        </w:tc>
        <w:tc>
          <w:tcPr>
            <w:tcW w:w="500" w:type="dxa"/>
            <w:vAlign w:val="bottom"/>
          </w:tcPr>
          <w:p>
            <w:pPr>
              <w:jc w:val="right"/>
              <w:spacing w:after="0"/>
              <w:rPr>
                <w:sz w:val="20"/>
                <w:szCs w:val="20"/>
                <w:color w:val="auto"/>
              </w:rPr>
            </w:pPr>
            <w:r>
              <w:rPr>
                <w:rFonts w:ascii="Arial" w:cs="Arial" w:eastAsia="Arial" w:hAnsi="Arial"/>
                <w:sz w:val="14"/>
                <w:szCs w:val="14"/>
                <w:color w:val="auto"/>
              </w:rPr>
              <w:t>55,759</w:t>
            </w:r>
          </w:p>
        </w:tc>
        <w:tc>
          <w:tcPr>
            <w:tcW w:w="680" w:type="dxa"/>
            <w:vAlign w:val="bottom"/>
          </w:tcPr>
          <w:p>
            <w:pPr>
              <w:jc w:val="right"/>
              <w:spacing w:after="0"/>
              <w:rPr>
                <w:sz w:val="20"/>
                <w:szCs w:val="20"/>
                <w:color w:val="auto"/>
              </w:rPr>
            </w:pPr>
            <w:r>
              <w:rPr>
                <w:rFonts w:ascii="Arial" w:cs="Arial" w:eastAsia="Arial" w:hAnsi="Arial"/>
                <w:sz w:val="14"/>
                <w:szCs w:val="14"/>
                <w:color w:val="auto"/>
              </w:rPr>
              <w:t>553,275</w:t>
            </w:r>
          </w:p>
        </w:tc>
        <w:tc>
          <w:tcPr>
            <w:tcW w:w="500" w:type="dxa"/>
            <w:vAlign w:val="bottom"/>
          </w:tcPr>
          <w:p>
            <w:pPr>
              <w:jc w:val="right"/>
              <w:spacing w:after="0"/>
              <w:rPr>
                <w:sz w:val="20"/>
                <w:szCs w:val="20"/>
                <w:color w:val="auto"/>
              </w:rPr>
            </w:pPr>
            <w:r>
              <w:rPr>
                <w:rFonts w:ascii="Arial" w:cs="Arial" w:eastAsia="Arial" w:hAnsi="Arial"/>
                <w:sz w:val="14"/>
                <w:szCs w:val="14"/>
                <w:color w:val="auto"/>
              </w:rPr>
              <w:t>44,958</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163,264</w:t>
            </w:r>
          </w:p>
        </w:tc>
        <w:tc>
          <w:tcPr>
            <w:tcW w:w="120" w:type="dxa"/>
            <w:vAlign w:val="bottom"/>
          </w:tcPr>
          <w:p>
            <w:pPr>
              <w:spacing w:after="0"/>
              <w:rPr>
                <w:sz w:val="15"/>
                <w:szCs w:val="15"/>
                <w:color w:val="auto"/>
              </w:rPr>
            </w:pPr>
          </w:p>
        </w:tc>
        <w:tc>
          <w:tcPr>
            <w:tcW w:w="7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716,539</w:t>
            </w:r>
          </w:p>
        </w:tc>
        <w:tc>
          <w:tcPr>
            <w:tcW w:w="480" w:type="dxa"/>
            <w:vAlign w:val="bottom"/>
          </w:tcPr>
          <w:p>
            <w:pPr>
              <w:jc w:val="right"/>
              <w:spacing w:after="0"/>
              <w:rPr>
                <w:sz w:val="20"/>
                <w:szCs w:val="20"/>
                <w:color w:val="auto"/>
              </w:rPr>
            </w:pPr>
            <w:r>
              <w:rPr>
                <w:rFonts w:ascii="Arial" w:cs="Arial" w:eastAsia="Arial" w:hAnsi="Arial"/>
                <w:sz w:val="14"/>
                <w:szCs w:val="14"/>
                <w:color w:val="auto"/>
                <w:w w:val="97"/>
              </w:rPr>
              <w:t>41,394</w:t>
            </w:r>
          </w:p>
        </w:tc>
        <w:tc>
          <w:tcPr>
            <w:tcW w:w="280" w:type="dxa"/>
            <w:vAlign w:val="bottom"/>
          </w:tcPr>
          <w:p>
            <w:pPr>
              <w:spacing w:after="0"/>
              <w:rPr>
                <w:sz w:val="15"/>
                <w:szCs w:val="15"/>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72,420</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(404,897)</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(333,559)</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3,470</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3,470</w:t>
            </w:r>
          </w:p>
        </w:tc>
        <w:tc>
          <w:tcPr>
            <w:tcW w:w="0" w:type="dxa"/>
            <w:vAlign w:val="bottom"/>
          </w:tcPr>
          <w:p>
            <w:pPr>
              <w:spacing w:after="0"/>
              <w:rPr>
                <w:sz w:val="1"/>
                <w:szCs w:val="1"/>
                <w:color w:val="auto"/>
              </w:rPr>
            </w:pPr>
          </w:p>
        </w:tc>
      </w:tr>
      <w:tr>
        <w:trPr>
          <w:trHeight w:val="186"/>
        </w:trPr>
        <w:tc>
          <w:tcPr>
            <w:tcW w:w="2860" w:type="dxa"/>
            <w:vAlign w:val="bottom"/>
          </w:tcPr>
          <w:p>
            <w:pPr>
              <w:ind w:left="100"/>
              <w:spacing w:after="0"/>
              <w:rPr>
                <w:sz w:val="20"/>
                <w:szCs w:val="20"/>
                <w:color w:val="auto"/>
              </w:rPr>
            </w:pPr>
            <w:r>
              <w:rPr>
                <w:rFonts w:ascii="Arial" w:cs="Arial" w:eastAsia="Arial" w:hAnsi="Arial"/>
                <w:sz w:val="14"/>
                <w:szCs w:val="14"/>
                <w:color w:val="auto"/>
              </w:rPr>
              <w:t>Stock option exercises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 of stock, 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53,157</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53,157</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860" w:type="dxa"/>
            <w:vAlign w:val="bottom"/>
          </w:tcPr>
          <w:p>
            <w:pPr>
              <w:ind w:left="100"/>
              <w:spacing w:after="0" w:line="135" w:lineRule="exact"/>
              <w:rPr>
                <w:sz w:val="20"/>
                <w:szCs w:val="20"/>
                <w:color w:val="auto"/>
              </w:rPr>
            </w:pPr>
            <w:r>
              <w:rPr>
                <w:rFonts w:ascii="Arial" w:cs="Arial" w:eastAsia="Arial" w:hAnsi="Arial"/>
                <w:sz w:val="14"/>
                <w:szCs w:val="14"/>
                <w:color w:val="auto"/>
                <w:w w:val="98"/>
              </w:rPr>
              <w:t>Rollover equity in consideration of net assets</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11"/>
                <w:szCs w:val="11"/>
                <w:color w:val="auto"/>
              </w:rPr>
            </w:pP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6"/>
        </w:trPr>
        <w:tc>
          <w:tcPr>
            <w:tcW w:w="2860" w:type="dxa"/>
            <w:vAlign w:val="bottom"/>
          </w:tcPr>
          <w:p>
            <w:pPr>
              <w:ind w:left="260"/>
              <w:spacing w:after="0"/>
              <w:rPr>
                <w:sz w:val="20"/>
                <w:szCs w:val="20"/>
                <w:color w:val="auto"/>
              </w:rPr>
            </w:pPr>
            <w:r>
              <w:rPr>
                <w:rFonts w:ascii="Arial" w:cs="Arial" w:eastAsia="Arial" w:hAnsi="Arial"/>
                <w:sz w:val="14"/>
                <w:szCs w:val="14"/>
                <w:color w:val="auto"/>
              </w:rPr>
              <w:t>acquired</w:t>
            </w:r>
          </w:p>
        </w:tc>
        <w:tc>
          <w:tcPr>
            <w:tcW w:w="5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 gains, 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35"/>
        </w:trPr>
        <w:tc>
          <w:tcPr>
            <w:tcW w:w="2860" w:type="dxa"/>
            <w:vAlign w:val="bottom"/>
          </w:tcPr>
          <w:p>
            <w:pPr>
              <w:ind w:left="100"/>
              <w:spacing w:after="0" w:line="135" w:lineRule="exact"/>
              <w:rPr>
                <w:sz w:val="20"/>
                <w:szCs w:val="20"/>
                <w:color w:val="auto"/>
              </w:rPr>
            </w:pPr>
            <w:r>
              <w:rPr>
                <w:rFonts w:ascii="Arial" w:cs="Arial" w:eastAsia="Arial" w:hAnsi="Arial"/>
                <w:sz w:val="14"/>
                <w:szCs w:val="14"/>
                <w:color w:val="auto"/>
              </w:rPr>
              <w:t>Accretion of Series B convertible preferred</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13,687</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13,687</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(13,687)</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(13,687)</w:t>
            </w:r>
          </w:p>
        </w:tc>
        <w:tc>
          <w:tcPr>
            <w:tcW w:w="0" w:type="dxa"/>
            <w:vAlign w:val="bottom"/>
          </w:tcPr>
          <w:p>
            <w:pPr>
              <w:spacing w:after="0"/>
              <w:rPr>
                <w:sz w:val="1"/>
                <w:szCs w:val="1"/>
                <w:color w:val="auto"/>
              </w:rPr>
            </w:pPr>
          </w:p>
        </w:tc>
      </w:tr>
      <w:tr>
        <w:trPr>
          <w:trHeight w:val="186"/>
        </w:trPr>
        <w:tc>
          <w:tcPr>
            <w:tcW w:w="2860" w:type="dxa"/>
            <w:vAlign w:val="bottom"/>
          </w:tcPr>
          <w:p>
            <w:pPr>
              <w:ind w:left="260"/>
              <w:spacing w:after="0"/>
              <w:rPr>
                <w:sz w:val="20"/>
                <w:szCs w:val="20"/>
                <w:color w:val="auto"/>
              </w:rPr>
            </w:pPr>
            <w:r>
              <w:rPr>
                <w:rFonts w:ascii="Arial" w:cs="Arial" w:eastAsia="Arial" w:hAnsi="Arial"/>
                <w:sz w:val="14"/>
                <w:szCs w:val="14"/>
                <w:color w:val="auto"/>
              </w:rPr>
              <w:t>stock to redemption value</w:t>
            </w:r>
          </w:p>
        </w:tc>
        <w:tc>
          <w:tcPr>
            <w:tcW w:w="5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(5,444)</w:t>
            </w: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(5,444)</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20"/>
                <w:szCs w:val="20"/>
                <w:color w:val="auto"/>
              </w:rPr>
            </w:pPr>
            <w:r>
              <w:rPr>
                <w:rFonts w:ascii="Arial" w:cs="Arial" w:eastAsia="Arial" w:hAnsi="Arial"/>
                <w:sz w:val="14"/>
                <w:szCs w:val="14"/>
                <w:b w:val="1"/>
                <w:bCs w:val="1"/>
                <w:color w:val="auto"/>
              </w:rPr>
              <w:t>Balance at September 30, 2020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61,590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$ 620,119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44,958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783,383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42,097</w:t>
            </w:r>
          </w:p>
        </w:tc>
        <w:tc>
          <w:tcPr>
            <w:tcW w:w="2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62,383</w:t>
            </w: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(410,341)</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(348,144)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6"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Nine Months Ended</w:t>
      </w:r>
    </w:p>
    <w:p>
      <w:pPr>
        <w:jc w:val="center"/>
        <w:ind w:left="778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63"/>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flows provided by operating activities:</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(39,031)</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debt extinguishment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73,917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55,300</w:t>
            </w:r>
          </w:p>
        </w:tc>
      </w:tr>
      <w:tr>
        <w:trPr>
          <w:trHeight w:val="229"/>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discount on long-term debt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r>
      <w:tr>
        <w:trPr>
          <w:trHeight w:val="229"/>
        </w:trPr>
        <w:tc>
          <w:tcPr>
            <w:tcW w:w="7800" w:type="dxa"/>
            <w:vAlign w:val="bottom"/>
          </w:tcPr>
          <w:p>
            <w:pPr>
              <w:ind w:left="240"/>
              <w:spacing w:after="0"/>
              <w:rPr>
                <w:sz w:val="20"/>
                <w:szCs w:val="20"/>
                <w:color w:val="auto"/>
              </w:rPr>
            </w:pPr>
            <w:r>
              <w:rPr>
                <w:rFonts w:ascii="Arial" w:cs="Arial" w:eastAsia="Arial" w:hAnsi="Arial"/>
                <w:sz w:val="18"/>
                <w:szCs w:val="18"/>
                <w:color w:val="auto"/>
              </w:rPr>
              <w:t>Amortization of deferred financing costs on long-term debt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costs and fees on credit facility commitments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29"/>
        </w:trPr>
        <w:tc>
          <w:tcPr>
            <w:tcW w:w="7800" w:type="dxa"/>
            <w:vAlign w:val="bottom"/>
          </w:tcPr>
          <w:p>
            <w:pPr>
              <w:ind w:left="240"/>
              <w:spacing w:after="0"/>
              <w:rPr>
                <w:sz w:val="20"/>
                <w:szCs w:val="20"/>
                <w:color w:val="auto"/>
              </w:rPr>
            </w:pPr>
            <w:r>
              <w:rPr>
                <w:rFonts w:ascii="Arial" w:cs="Arial" w:eastAsia="Arial" w:hAnsi="Arial"/>
                <w:sz w:val="18"/>
                <w:szCs w:val="18"/>
                <w:color w:val="auto"/>
              </w:rPr>
              <w:t>Deferred taxes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Bad debt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r>
      <w:tr>
        <w:trPr>
          <w:trHeight w:val="230"/>
        </w:trPr>
        <w:tc>
          <w:tcPr>
            <w:tcW w:w="7800" w:type="dxa"/>
            <w:vAlign w:val="bottom"/>
          </w:tcPr>
          <w:p>
            <w:pPr>
              <w:ind w:left="240"/>
              <w:spacing w:after="0"/>
              <w:rPr>
                <w:sz w:val="20"/>
                <w:szCs w:val="20"/>
                <w:color w:val="auto"/>
              </w:rPr>
            </w:pPr>
            <w:r>
              <w:rPr>
                <w:rFonts w:ascii="Arial" w:cs="Arial" w:eastAsia="Arial" w:hAnsi="Arial"/>
                <w:sz w:val="18"/>
                <w:szCs w:val="18"/>
                <w:color w:val="auto"/>
              </w:rPr>
              <w:t>Paid-in-kind interest on long-term debt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r>
      <w:tr>
        <w:trPr>
          <w:trHeight w:val="230"/>
        </w:trPr>
        <w:tc>
          <w:tcPr>
            <w:tcW w:w="780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(1,824)</w:t>
            </w: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deposits and 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r>
      <w:tr>
        <w:trPr>
          <w:trHeight w:val="223"/>
        </w:trPr>
        <w:tc>
          <w:tcPr>
            <w:tcW w:w="7800" w:type="dxa"/>
            <w:vAlign w:val="bottom"/>
          </w:tcPr>
          <w:p>
            <w:pPr>
              <w:ind w:left="46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32,069</w:t>
            </w:r>
          </w:p>
        </w:tc>
      </w:tr>
      <w:tr>
        <w:trPr>
          <w:trHeight w:val="270"/>
        </w:trPr>
        <w:tc>
          <w:tcPr>
            <w:tcW w:w="78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flows used in investing activities: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Capitalization of software costs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(6,349)</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contingent consideration</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 of companies, net of cash acquired</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(183,242)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(117,972)</w:t>
            </w:r>
          </w:p>
        </w:tc>
      </w:tr>
      <w:tr>
        <w:trPr>
          <w:trHeight w:val="223"/>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(130,642)</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Nine Months Ended</w:t>
      </w:r>
    </w:p>
    <w:p>
      <w:pPr>
        <w:jc w:val="center"/>
        <w:ind w:left="778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34"/>
        </w:trPr>
        <w:tc>
          <w:tcPr>
            <w:tcW w:w="7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provided by financing activities: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Payments on long-term debt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(837,082)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(54,048)</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long-term debt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143,884</w:t>
            </w: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Deferred financing costs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(4,826)</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 stock options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Proceeds from preferred stock issuance, net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109,782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53,157</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common stock issuance, net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415,884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00" w:type="dxa"/>
            <w:vAlign w:val="bottom"/>
          </w:tcPr>
          <w:p>
            <w:pPr>
              <w:ind w:left="240"/>
              <w:spacing w:after="0"/>
              <w:rPr>
                <w:sz w:val="20"/>
                <w:szCs w:val="20"/>
                <w:color w:val="auto"/>
              </w:rPr>
            </w:pPr>
            <w:r>
              <w:rPr>
                <w:rFonts w:ascii="Arial" w:cs="Arial" w:eastAsia="Arial" w:hAnsi="Arial"/>
                <w:sz w:val="18"/>
                <w:szCs w:val="18"/>
                <w:b w:val="1"/>
                <w:bCs w:val="1"/>
                <w:color w:val="auto"/>
              </w:rPr>
              <w:t>Net cash provided by financing activities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180,514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138,276</w:t>
            </w:r>
          </w:p>
        </w:tc>
      </w:tr>
      <w:tr>
        <w:trPr>
          <w:trHeight w:val="270"/>
        </w:trPr>
        <w:tc>
          <w:tcPr>
            <w:tcW w:w="78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Net increase in cash and cash equivalents and restricted cash</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39,740</w:t>
            </w:r>
          </w:p>
        </w:tc>
      </w:tr>
      <w:tr>
        <w:trPr>
          <w:trHeight w:val="256"/>
        </w:trPr>
        <w:tc>
          <w:tcPr>
            <w:tcW w:w="7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Beginning of period</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98,338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57,344</w:t>
            </w: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97,084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24,080</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income taxes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Rollover equity in consideration of net assets acquired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Fair value of earnout in consideration of net assets acquired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00" w:type="dxa"/>
            <w:vAlign w:val="bottom"/>
          </w:tcPr>
          <w:p>
            <w:pPr>
              <w:ind w:left="140"/>
              <w:spacing w:after="0" w:line="203" w:lineRule="exact"/>
              <w:rPr>
                <w:sz w:val="20"/>
                <w:szCs w:val="20"/>
                <w:color w:val="auto"/>
              </w:rPr>
            </w:pPr>
            <w:r>
              <w:rPr>
                <w:rFonts w:ascii="Arial" w:cs="Arial" w:eastAsia="Arial" w:hAnsi="Arial"/>
                <w:sz w:val="18"/>
                <w:szCs w:val="18"/>
                <w:color w:val="auto"/>
              </w:rPr>
              <w:t>Accretion of Series B convertible preferred stock to redemption value</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15,105</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39,897</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the Business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EverCommerce Inc. and subsidiaries (the “Company” or “EverCommerce”) is a leading provider of integrated software-as-a-service (“SaaS”) solutions for service-based small- and medium-sized businesses (“service SMBs”). Our platform spans across the full lifecycle of interactions between consumers and service professionals with vertical-specific applications. Today, we serve over 500,000 customers across three core verticals: Home Services; Health Services; and Fitness &amp; Wellness Services. Within our core verticals, our customers operate within numerous micro-verticals, ranging from home service professionals, such as construction contractors and home maintenance technicians, to physician practices and therapists in the health services industry, to personal trainers and salon owners in the fitness and wellness sectors. Our platform provides vertically-tailored SaaS solutions that address service SMBs’ increasingly nuanced demands, as well as highly complementary solutions that complete end-to-end offerings, allowing service SMBs and EverCommerce to succeed in the market, and provide end consumers more convenient service experiences. See Note 3 in the notes to the unaudited condensed consolidated financial statements included in this Quarterly Report on Form 10-Q for additional information on acquired subsidiaries. The Company was incorporated in Delaware on September 29, 2016, and began operations on October 17, 2016 (Inception). The Company is headquartered in Denver, Colorado, and has operations across the United States, Canada, Jordan, United Kingdom, Australia and New Zealand. The Company changed its name from PaySimple Holdings, Inc. to EverCommerce Inc. as of December 14, 2020.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for the year ended December 31, 2020 and the related notes contained in the Company’s final prospectus for its initial public offering of its common stock (“IPO”) dated as of June 30, 2021 and filed with the SEC pursuant to Rule 424(b)(4) on July 6, 2021 (the “Prospectus”). The December 31, 2020 condensed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nine months ended September 30, 2021 from those disclosed in the annual consolidated financial statements for the year ended December 31, 2020 and the related notes appearing in our Prospectus, other than as noted below in Accounting Pronouncements Issued and Adopted.</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operating results for the three and nine months ended September 30, 2021 are not necessarily indicative of the results expected for the full year ending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unaudited condensed consolidated financial statements in conformity with GAAP requires management to make estimates and assumptions that affect certain amounts reported in the unaudited condensed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consolidated financial statements include revenue recognition, allowance for doubtful accounts, valuation allowances with respect to deferred tax assets, assumptions underlying the fair value used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calculation of stock-based compensation, valuation of intangible assets and goodwill and useful lives of tangible and intangible assets, among others.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is intended to improve financial reporting about leasing transactions. The ASU affects all companies that lease assets such as real estate and equipment for a period for more than 12 months, and will require organizations that lease assets to recognize on the balance sheet the assets and liabilities for the rights and obligations created by those leases. The updated standard will be effective for annual reporting periods beginning after December 15, 2021. The Company is currently evaluating the impact the adoption of this standard will have on its financial statements.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the measurement and recognition of expected credit losses for financial assets held at amortized cost, which includes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accounts receivable and contract assets. This updated standard will be effective for annual reporting periods beginning after December 15, 2022. The Company is currently evaluating the impact the adoption of this standard will have on its financial statements.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Accounting for Contract Assets and Contract Liabilities from Contracts with Customers</w:t>
      </w:r>
      <w:r>
        <w:rPr>
          <w:rFonts w:ascii="Arial" w:cs="Arial" w:eastAsia="Arial" w:hAnsi="Arial"/>
          <w:sz w:val="18"/>
          <w:szCs w:val="18"/>
          <w:color w:val="auto"/>
        </w:rPr>
        <w:t>, which amends the guidance in ASC 805 to require that an acquirer recognize and measure contract assets and contract liabilities acquired in a business combination in accordance with Topic 606. FASB’s objective in issuing the ASU is to improve the accounting for acquired revenue contracts with customers in a business combination by addressing diversity and inconsistency related to both the recognition of an acquired contract liability and payment terms’ effects on subsequent revenue recognized by the acquirer. This updated standard will be effective for annual reporting periods beginning after December 15, 2022. Early adoption is permitted. The Company is currently evaluating the impact the adoption of this standard will have on its financial statements, as well as whether the Company will early adopt this standard.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and Adopted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to the general principles in Topic 740. This ASU is effective for fiscal years beginning after December 15, 2021, with early adoption permitted. The Company adopted this ASU for the nine months ended September 30, 2021 and it did not have a material impact on its financial statements.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 with Conversion and Other Options (Subtopic 470-20) and Derivatives and Hedging -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 Entity’s Own Equity (Subtopic 815-40): Accounting for Convertible Instruments and Contracts in an Entity’s Own Equity </w:t>
      </w:r>
      <w:r>
        <w:rPr>
          <w:rFonts w:ascii="Arial" w:cs="Arial" w:eastAsia="Arial" w:hAnsi="Arial"/>
          <w:sz w:val="17"/>
          <w:szCs w:val="17"/>
          <w:color w:val="auto"/>
        </w:rPr>
        <w:t>(“ASU 2020-06”). ASU 2020-06 eliminates the cash conversion and beneficial conversation feature models in ASC 470-20 that require an issuer of certain convertible debt and preferred stock to separately account for embedded conversion features as a component of equity. Instead, an issuer will account for these securities as a single unit of account, unless the conversion feature meets certain criteria. As further discussed in Note 10 in the notes to the unaudited condensed consolidated financial statements included in this Quarterly Report on Form 10-Q the Company issued Series C Convertible Preferred Stock (“Series C”) during the three months ended June 30, 2021. As a result of adopting ASU 2020-06, the Company was not required to determine whether bifurcation of an embedded conversion feature from the host instruments was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the nine months ended September 30, 2021, the Company completed four business acquisitions in conjunction with the execution of its long-term plans and objectives in building a service commerce platform supporting the success of service SMBs. All of the acquisitions qualified as business combinations under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Accordingly, the Company recorded all assets acquired and liabilities assumed at their acquisition date fair values, with any excess consideration recognized as goodwill. Goodwill primarily represents the value associated with the assembled workforce, and expected synergies subsumed into goodwill.</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Assets acquired and liabilities assumed in connection with each acquisition have been recorded at their fair values. Fair values were determined by management using the assistance of third-party valuation specialists. The valuation methods used to determine the fair value of intangible assets included the income approach—relief from royalty method for developed technology and trade name, the income approach—excess earnings method for customer relationships and the comparative business valuation method for non-compete agreements. A number of assumptions and estimates were involved in the application of these valuation methods, including revenue forecasts, expected competition, costs of revenues, obsolescence, tax rates, capital spending, discount rates and working capital changes. Cash flow forecasts were generally based on pre-acquisition forecasts coupled with estimated revenues and cost synergies available to a market participant.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condensed consolidated statements of operations and comprehensive loss include $4.1 million and $6.8 million of acquisition related transaction costs in general and administrative expense for acquisitions consummated during the three and nine months ended September 30, 2021, respectively.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purchase consideration related to all 2021 acquisitions is considered preliminary.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estimated fair values of consideration transferred, assets acquired and liabilities assumed for each acquisition during the nine months ended September 30,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Briostack</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PulseM</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6"/>
              </w:rPr>
              <w:t>MDTech</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Timely</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7"/>
        </w:trPr>
        <w:tc>
          <w:tcPr>
            <w:tcW w:w="4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i w:val="1"/>
                <w:iCs w:val="1"/>
                <w:color w:val="auto"/>
                <w:w w:val="92"/>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
        </w:trPr>
        <w:tc>
          <w:tcPr>
            <w:tcW w:w="4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184,528</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Rollover equity</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237"/>
        </w:trPr>
        <w:tc>
          <w:tcPr>
            <w:tcW w:w="4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consideration</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185,254</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1,169</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1,287</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trade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Other receivables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Property and equipment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Intangible—developed technology</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12,394</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Intangible—customer relationships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51,976</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Intangible—trade name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2,264</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Intangible—non-compete agreements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28,262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71,067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130,292</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Accrued expenses and other</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(1,433)</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liability</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(13,837)</w:t>
            </w:r>
          </w:p>
        </w:tc>
      </w:tr>
      <w:tr>
        <w:trPr>
          <w:trHeight w:val="213"/>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r>
      <w:tr>
        <w:trPr>
          <w:trHeight w:val="238"/>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net assets acquired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99,748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185,254</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Briostack</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January 19, 2021, the Company acquired 100% of the interest of Briostack LLC dba Briostack (“Briostack”), a provider of operational management software to pest control businesses, for $35.2 million. Under the terms of the purchase agreement, certain members of Briostack received 45,454 shares of common stock rollover equity. The Company assessed the fair value of the shares at $0.7 million by applying a market approach. The fair value of the rollover equity is reflected in the total consideration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PulseM</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17, 2021, the Company acquired 100% of the interest of Speetra, Inc. dba PulseM (“PulseM”), a provider of enterprise-level reputation management software for small businesses, for $34.5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MDTech</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8, 2021, the Company acquired 100% of the interest of PM Ventures, LLC dba MDTech (“MDTech”), a provider of electronic charge capture solutions to physicians via its SaaS-based MD Coder application and suite of add-ons, for $15.9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Timely</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July 8, 2021, the Company acquired 100% of the interest of Timely Ltd. (“Timely”), a booking and business management software company, for $99.7 million. Timely is based in New Zealand and has operations in the U.K. and Australia, as well.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2020 and in the nine months ended September 30, 2020, the Company completed nine and five business acquisitions, respectively, in conjunction with the execution of its long-term plans and objectives in building a service commerce platform supporting the success of SMBs. All of the acquisitions qualified as business combinations under ASC 805. Accordingly, the Company recorded all assets acquired and liabilities assumed at their acquisition date fair values, with any excess consideration recognized as goodwill. Goodwill primarily represents the value associated with the assembled workforce, and expected synergies subsumed into goodwill.</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Assets acquired and liabilities assumed in connection with each acquisition have been recorded at their fair values. Fair values were determined by management using the assistance of third-party valuation specialists. The valuation methods used to determine the fair value of intangible assets included the income approach—relief from royalty method for developed technology and trade name, the income approach—excess earnings method for customer relationships and the comparative business valuation method for non-compete agreements. A Monte Carlo simulation was used as the valuation method to determine the fair value of earnout liabilities. A number of assumptions and estimates were involved in the application of these valuation methods, including revenue forecasts, expected competition, costs of revenues, obsolescence, tax rates, capital spending, discount rates and working capital changes. Cash flow forecasts were generally based on pre-acquisition forecasts coupled with estimated revenues and cost synergies available to a market participant.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condensed consolidated results of operations include $15.5 million of acquisition related transaction costs in general and administrative expense for acquisitions consummated in 2020, with $5.7 million incurred in the nine months ended September 30, 2020.</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purchase consideration related to 2020 acquisitions is considered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fair values of consideration transferred, assets acquired and liabilities assumed for each acquisition in 2020:</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Remodeling</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Qiigo</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AlertMD</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Invoice Simple</w:t>
            </w:r>
          </w:p>
        </w:tc>
      </w:tr>
      <w:tr>
        <w:trPr>
          <w:trHeight w:val="224"/>
        </w:trPr>
        <w:tc>
          <w:tcPr>
            <w:tcW w:w="4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gridSpan w:val="5"/>
          </w:tcPr>
          <w:p>
            <w:pPr>
              <w:ind w:left="7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53"/>
        </w:trPr>
        <w:tc>
          <w:tcPr>
            <w:tcW w:w="4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32,507</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2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earnout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28,364</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32,507</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4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Accounts receivable, trade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Contract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Intangible—developed technology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Intangible—customer relationships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Intangible—trade name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Intangible—non-compete agreements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18,474</w:t>
            </w: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Accrued expenses and other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deposits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(5,360)</w:t>
            </w: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4760" w:type="dxa"/>
            <w:vAlign w:val="bottom"/>
          </w:tcPr>
          <w:p>
            <w:pPr>
              <w:ind w:left="360"/>
              <w:spacing w:after="0"/>
              <w:rPr>
                <w:sz w:val="20"/>
                <w:szCs w:val="20"/>
                <w:color w:val="auto"/>
              </w:rPr>
            </w:pPr>
            <w:r>
              <w:rPr>
                <w:rFonts w:ascii="Arial" w:cs="Arial" w:eastAsia="Arial" w:hAnsi="Arial"/>
                <w:sz w:val="18"/>
                <w:szCs w:val="18"/>
                <w:color w:val="auto"/>
              </w:rPr>
              <w:t>Total net assets acquired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28,364</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32,507</w:t>
            </w: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Brighter Vision</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Socius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Service Fusion</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My PT Hub</w:t>
            </w:r>
          </w:p>
        </w:tc>
      </w:tr>
      <w:tr>
        <w:trPr>
          <w:trHeight w:val="224"/>
        </w:trPr>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60" w:type="dxa"/>
            <w:vAlign w:val="bottom"/>
            <w:gridSpan w:val="5"/>
          </w:tcPr>
          <w:p>
            <w:pPr>
              <w:ind w:left="76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53"/>
        </w:trPr>
        <w:tc>
          <w:tcPr>
            <w:tcW w:w="4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earnout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17,477</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122,333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4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Accounts receivable, trade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Intercompany (receivable)</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Intangible—developed technology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Intangible—customer relationships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1,918</w:t>
            </w: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Intangible—trade name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Intangible—non-compete agreements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Accrued expenses and other</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(payable)</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net assets acquired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17,477</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122,333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w:t>
            </w: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Updox</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24"/>
        </w:trPr>
        <w:tc>
          <w:tcPr>
            <w:tcW w:w="6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1"/>
              </w:rPr>
              <w:t>(in thousands)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53"/>
        </w:trPr>
        <w:tc>
          <w:tcPr>
            <w:tcW w:w="6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410,479</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earnout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415,268</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Accounts receivable, trade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6,855</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2,441</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Intercompany (receivable)</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Intangible—developed technology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20,557</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Intangible—customer relationships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145,820</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Intangible—trade name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Intangible—non-compete agreements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240,755</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liability</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(9,344)</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(payable)</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Total net assets acquired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415,268</w:t>
            </w:r>
          </w:p>
        </w:tc>
      </w:tr>
      <w:tr>
        <w:trPr>
          <w:trHeight w:val="20"/>
        </w:trPr>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Remodeling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6, 2020, the Company acquired 100% of the interest of Azar, LLC and Alnashmi for Digital Marketing, LLC (“Remodeling”), an online platform that connects homeowners with home improvement companies, for $28.4 million.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purchase agreement, the Company is required to pay the seller an earnout based on achieving $6.6 million and $5.0 million of total revenue during calendar years ended 2020 and 2019, respectively. The earnout amount will be $2.0 million per year, if the target is met; no consideration will be paid if the target is not met. At the acquisition date, the Company determined the fair value of the earnout to be $2.5 million and has included the amount in the total consideration above. The 2019 earnout target was met and the earnout of $2 million was paid in 2020. At December 31, 2020, the Company concluded that the 2020 earnout target was not met and released the remaining liability with a corresponding gain of $0.5 million recorded in general and administrative expense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Qiigo</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16, 2020, the Company acquired 100% of the interest of Qiigo, LLC (“Qiigo”), a local marketing agent that builds brand unity and helps national brands and their franchises boost their qualified leads, for $22.2 million. Under the terms of the purchase agreement, certain members of Qiigo received 127,249 shares of common stock rollover equity. The Company assessed the fair value of the shares at $0.6 million by applying a market approach. The fair value of the rollover equity is reflected in the total consideration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AlertMD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24, 2020, the Company acquired certain assets and liabilities of Rulester, LLC dba AlertMD, LLC and ChargeMD, LLC (“AlertMD”), a provider of SaaS-based back-office, patient care coordination and front-office solutions, for $21.9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Invoice Simple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17, 2020, the Company acquired 100% of the interest of Zenvoice Inc. dba Invoice Simple (“Invoice Simple”), a provider of invoicing and estimation software platform for independent contracts, freelancers and business owners, for $32.5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Brighter Vision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21, 2020, the Company acquired 100% of the interest of Brighter Vision Web Solutions, Inc. (“Brighter Vision”), a provider of offerings of custom-built websites and marketing solutions to therapists in the behavioral health sector, for $17.5 million. Under the terms of the purchase agreement, certain members of Brighter Vision received 21,892 shares of common stock rollover equity. The Company assessed the fair value of the shares at $0.1 million by applying a market approach. The fair value of the rollover equity is reflected in the total consideration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Socius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16, 2020, the Company acquired 100% of the interest of Socius Marketing, Inc. (“Socius”), a provider of full service internet marketing that specializes in content design, website development and search engine optimization, for $15.7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Fusion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17, 2020 the Company acquired 100% of the interest of FSM Technologies, LLC (“Service Fusion”), a provider of an end-to-end field service management SaaS platform, for $122.3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 PT Hub</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18, 2020, the Company acquired 100% of the interest of Fitii, Limited and Fitii LLC (collectively “My PT Hub”), a provider of software that enables gym and health club customers to improve monthly collections, generate new business, enhance member engagement, increase retention and automate business processes, for $11.7 million.</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of the purchase agreement, the Company is required to pay the seller an earnout based on achieving $4.6 million of total revenue during calendar year end 2021. The earnout amount will be $2.7 million, if the target is met; no consideration will be paid if the target is not met. At the acquisition date, the Company determined the fair value of the earnout to be $1.0 million and has included the amount in the total consideration above.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December 31, 2020, the Company noted no change in the fair value of the earnout from the acquisition date. At March 31, 2021, the Company concluded that the 2021 earnout target will not be met and released the liability with a corresponding gain of $1.0 million recorded in general and administrative expense on the consolidated statements of operations and comprehensive loss. There has been no further change in the fair value of the earnout from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Updox</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16, 2020, the Company acquired 100% of the interest of Updox, LLC (“Updox”), a provider of a healthcare customer relationship management solution, for $143.1 million. Under the terms of the purchase agreement, certain members of Updox received 72,896 shares of common stock rollover equity. The Company assessed the fair value of the shares at $0.6 million by applying a market approach. The fair value of the rollover equity is reflected in the total consideration above.</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 respect to total goodwill recognized for the business acquisitions consummated during the year ended December 31, 2020, the Company expects that $167.1 million of goodwill with be deductible for income tax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 of Acquisitions (unaudited)</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table presents unaudited pro forma consolidated results of operations for the three and nine months ended September 30, 2021 and 2020, as if the aforementioned 2021 and 2020 acquisitions had occurred as of January 1, 2020. The pro forma information includes the business combination accounting effects resulting from these acquisitions, including interest expense of nil and $6.9 million for the three months ended September 30, 2021 and 2020, respectively, and $3.8 million and $21.7 million for the nine months ended September 30, 2021 and 2020, respectively, to account for funds borrowed earlier, issuance of our common shares at earlier dates which impacts the calculation of basic and diluted net loss per share, removal of transaction costs of $4.1 million and $0.9 million for the three months ended September 30, 2021 and 2020, respectively, and $6.8 million and $5.7 million for the nine months ended September 30, 2021 and 2020, respectively, and additional amortization expense of nil and $4.2 million for the three months ended September 30, 2021 and 2020, respectively, and $1.8 million and $14.4 million for the nine months ended September 30, 2021 and 2020, respectively, resulting from the amortization of intangible assets beginning as of January 1, 2020. We prepared the pro forma financial information for the combined entities for comparative purposes only, and the information is not indicative of what actual results would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acquisitions had occurred at the beginning of the periods presented, nor is the information intended to represent or be indicative of future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7"/>
                <w:szCs w:val="17"/>
                <w:color w:val="auto"/>
              </w:rPr>
            </w:pPr>
          </w:p>
        </w:tc>
        <w:tc>
          <w:tcPr>
            <w:tcW w:w="25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9"/>
                <w:szCs w:val="19"/>
                <w:color w:val="auto"/>
              </w:rPr>
            </w:pPr>
          </w:p>
        </w:tc>
        <w:tc>
          <w:tcPr>
            <w:tcW w:w="25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385"/>
        </w:trPr>
        <w:tc>
          <w:tcPr>
            <w:tcW w:w="57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Pro Forma</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Pro Forma</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Pro Forma</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222"/>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100" w:type="dxa"/>
            <w:vAlign w:val="bottom"/>
            <w:gridSpan w:val="9"/>
          </w:tcPr>
          <w:p>
            <w:pPr>
              <w:jc w:val="center"/>
              <w:ind w:right="1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(unaudited)</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129,358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303,762</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(32,775)</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(13,969)</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(78,846)</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(67,884)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net loss per share (see Note 12)</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(39,896)</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(107,780)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 attributable to common stockholders: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disaggregation of our revenue from contracts with customers by revenue recognition pattern and geographical market: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4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223"/>
        </w:trPr>
        <w:tc>
          <w:tcPr>
            <w:tcW w:w="5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24"/>
        </w:trPr>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53"/>
        </w:trPr>
        <w:tc>
          <w:tcPr>
            <w:tcW w:w="5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pattern of recognition (timing of transfer of services):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Point in time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13,743</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12,953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37,324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34,891</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 time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114,791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317,166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210,630</w:t>
            </w:r>
          </w:p>
        </w:tc>
      </w:tr>
      <w:tr>
        <w:trPr>
          <w:trHeight w:val="223"/>
        </w:trPr>
        <w:tc>
          <w:tcPr>
            <w:tcW w:w="518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128,534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89,151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354,490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245,521</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By Geographical Market: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118,721</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82,368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325,179</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227,152</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18,369</w:t>
            </w:r>
          </w:p>
        </w:tc>
      </w:tr>
      <w:tr>
        <w:trPr>
          <w:trHeight w:val="223"/>
        </w:trPr>
        <w:tc>
          <w:tcPr>
            <w:tcW w:w="518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128,534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89,151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354,490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245,521</w:t>
            </w: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contracts from customers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19"/>
                <w:szCs w:val="19"/>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24"/>
        </w:trPr>
        <w:tc>
          <w:tcPr>
            <w:tcW w:w="7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00" w:type="dxa"/>
            <w:vAlign w:val="bottom"/>
            <w:gridSpan w:val="3"/>
          </w:tcPr>
          <w:p>
            <w:pPr>
              <w:jc w:val="right"/>
              <w:ind w:right="1370"/>
              <w:spacing w:after="0"/>
              <w:rPr>
                <w:sz w:val="20"/>
                <w:szCs w:val="20"/>
                <w:color w:val="auto"/>
              </w:rPr>
            </w:pPr>
            <w:r>
              <w:rPr>
                <w:rFonts w:ascii="Arial" w:cs="Arial" w:eastAsia="Arial" w:hAnsi="Arial"/>
                <w:sz w:val="18"/>
                <w:szCs w:val="18"/>
                <w:i w:val="1"/>
                <w:iCs w:val="1"/>
                <w:color w:val="auto"/>
              </w:rPr>
              <w:t>(in thousands)</w:t>
            </w:r>
          </w:p>
        </w:tc>
      </w:tr>
      <w:tr>
        <w:trPr>
          <w:trHeight w:val="53"/>
        </w:trPr>
        <w:tc>
          <w:tcPr>
            <w:tcW w:w="7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31,699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24,966</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13,595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9,838</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21,677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8,384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8,247</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Accounts receivable, net: </w:t>
      </w:r>
      <w:r>
        <w:rPr>
          <w:rFonts w:ascii="Arial" w:cs="Arial" w:eastAsia="Arial" w:hAnsi="Arial"/>
          <w:sz w:val="18"/>
          <w:szCs w:val="18"/>
          <w:color w:val="auto"/>
        </w:rPr>
        <w:t>Accounts receivable represent rights to consideration in exchange for products or services that have been transferred by us, when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is unconditional and only the passage of time is required before payment is due.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Contract assets: </w:t>
      </w:r>
      <w:r>
        <w:rPr>
          <w:rFonts w:ascii="Arial" w:cs="Arial" w:eastAsia="Arial" w:hAnsi="Arial"/>
          <w:sz w:val="16"/>
          <w:szCs w:val="16"/>
          <w:color w:val="auto"/>
        </w:rPr>
        <w:t>Contract assets represent rights to consideration in exchange for products or services that have been transferred (i.e.,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or portion of the performance obligation has been satisfied), but payment is conditional on something other than the passage of time. These amounts typically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Contract liabilities</w:t>
      </w:r>
      <w:r>
        <w:rPr>
          <w:rFonts w:ascii="Arial" w:cs="Arial" w:eastAsia="Arial" w:hAnsi="Arial"/>
          <w:sz w:val="17"/>
          <w:szCs w:val="17"/>
          <w:color w:val="auto"/>
        </w:rPr>
        <w:t>: Contract liabilities represent our obligation to transfer products or services to a customer for which consideration has been received in</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of the satisfaction of performance obligations. Short-term contract liabilities are included within deferred revenue on the consolidated balance sheets. Long-term contract liabilities are included within long-term deferred revenue on the consolidated balance sheets. Revenue recognized from the contract liability balance at December 31, 2020 was $12.4 million for the nine months ended September 30, 2021.</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Customer deposits</w:t>
      </w:r>
      <w:r>
        <w:rPr>
          <w:rFonts w:ascii="Arial" w:cs="Arial" w:eastAsia="Arial" w:hAnsi="Arial"/>
          <w:sz w:val="18"/>
          <w:szCs w:val="18"/>
          <w:color w:val="auto"/>
        </w:rPr>
        <w:t>: Customer deposits relate to payments received in advance for contracts, which allow the customer to terminate a contract and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 refund for the unused portion of payments received to date. In these arrangements, we have concluded there are no enforceable rights and obligations during the period in which the option to cancel is exercisable by the customer and therefore the consideration received is recorded as a customer deposit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Variable consideration accounted for under the variable consideration allocation exception associated with unsatisfied performance obligations or an unsatisfied promise that forms part of a single performance obligation under application of the series guidance have been excluded. Remaining performance obligations generally relate to those which are stand-ready in nature, as found within the subscription and marketing technology solutions revenue streams. The aggregate amount of transaction consideration allocated to remaining performance obligations as of September 30, 2021, was $15.9 million, which is comprised of contracts where the contract term under ASC 606 is in excess of one year. The Company expects to recognize approximately 45% of its remaining performance obligations as revenue within the next year, 28% of its remaining performance obligations as revenue the subsequent year, 24% of its remaining performance obligations as revenue in the third year, and the remainder during the two year period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to Obtain and Fulfill a Contract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incurs certain costs to obtain contracts, principally sales and third-party commissions, which the Company capitalizes when the liability has been incurred if they are (i) incremental costs of obtaining a contract, (ii) expected to be recovered and (iii) have an expected amortization period that is greater than one year (as the Company has elected the practical expedient to expense any costs to obtain a contract when the liability is incurred if the amortization period of such costs would be one year or less).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Assets resulting from costs to obtain contracts are included within prepaid expenses and other current assets for short-term balances and other non-current assets for long-term balances on the Company’s consolidated balance sheets. The costs to obtain contracts are amortized over 5 years, which corresponds with the useful life of the related capitalized software. Short-term assets were $4.2 million and $2.7 million at September 30, 2021 and December 31, 2020, respectively, and long-term assets were $10.7 million and $7.2 million at September 30, 2021 and December 31, 2020, respectively. The Company recorded $1.0 million and $0.5 million of amortization expense related to assets for the three months ended September 30, 2021 and 2020, respectively, and $2.7 million and $1.5 million for the nine months ended September 30, 2021 and 2020, respectively, which is included in sales and marketing expense on the condensed consolidated statements of operations and comprehensive loss.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has concluded that there are no other material costs incurred in fulfillment of customer contracts that are not accounted for under other GAAP, which meet the capitalization criteria under ASC 606 and FASB ASC Topic 340-40, </w:t>
      </w:r>
      <w:r>
        <w:rPr>
          <w:rFonts w:ascii="Arial" w:cs="Arial" w:eastAsia="Arial" w:hAnsi="Arial"/>
          <w:sz w:val="17"/>
          <w:szCs w:val="17"/>
          <w:i w:val="1"/>
          <w:iCs w:val="1"/>
          <w:color w:val="auto"/>
        </w:rPr>
        <w:t>Accounting for Other Assets and Deferred Costs</w:t>
      </w:r>
      <w:r>
        <w:rPr>
          <w:rFonts w:ascii="Arial" w:cs="Arial" w:eastAsia="Arial" w:hAnsi="Arial"/>
          <w:sz w:val="17"/>
          <w:szCs w:val="17"/>
          <w:color w:val="auto"/>
        </w:rPr>
        <w:t xml:space="preserve"> (“ASC 340-40”). The Company has elected to account for shipping and handling activities as fulfillment activities and recognize the associated expense when the transfer of control of the product has occurred, as permitted under the shipping and handling activities practical expedient.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r>
              <w:rPr>
                <w:rFonts w:ascii="Arial" w:cs="Arial" w:eastAsia="Arial" w:hAnsi="Arial"/>
                <w:sz w:val="18"/>
                <w:szCs w:val="18"/>
                <w:b w:val="1"/>
                <w:bCs w:val="1"/>
                <w:color w:val="auto"/>
              </w:rPr>
              <w:t>Note 5. Goodwill</w:t>
            </w: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8940" w:type="dxa"/>
            <w:vAlign w:val="bottom"/>
          </w:tcPr>
          <w:p>
            <w:pPr>
              <w:spacing w:after="0"/>
              <w:rPr>
                <w:sz w:val="20"/>
                <w:szCs w:val="20"/>
                <w:color w:val="auto"/>
              </w:rPr>
            </w:pPr>
            <w:r>
              <w:rPr>
                <w:rFonts w:ascii="Arial" w:cs="Arial" w:eastAsia="Arial" w:hAnsi="Arial"/>
                <w:sz w:val="18"/>
                <w:szCs w:val="18"/>
                <w:color w:val="auto"/>
              </w:rPr>
              <w:t>Goodwill activity consisted of the following for the nine months ended September 30, 2021 (in thousands):</w:t>
            </w: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8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668,151</w:t>
            </w:r>
          </w:p>
        </w:tc>
      </w:tr>
      <w:tr>
        <w:trPr>
          <w:trHeight w:val="230"/>
        </w:trPr>
        <w:tc>
          <w:tcPr>
            <w:tcW w:w="8940" w:type="dxa"/>
            <w:vAlign w:val="bottom"/>
          </w:tcPr>
          <w:p>
            <w:pPr>
              <w:ind w:left="140"/>
              <w:spacing w:after="0"/>
              <w:rPr>
                <w:sz w:val="20"/>
                <w:szCs w:val="20"/>
                <w:color w:val="auto"/>
              </w:rPr>
            </w:pPr>
            <w:r>
              <w:rPr>
                <w:rFonts w:ascii="Arial" w:cs="Arial" w:eastAsia="Arial" w:hAnsi="Arial"/>
                <w:sz w:val="18"/>
                <w:szCs w:val="18"/>
                <w:color w:val="auto"/>
              </w:rPr>
              <w:t>Acquired goodwill</w:t>
            </w:r>
          </w:p>
        </w:tc>
        <w:tc>
          <w:tcPr>
            <w:tcW w:w="8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130,292</w:t>
            </w:r>
          </w:p>
        </w:tc>
      </w:tr>
      <w:tr>
        <w:trPr>
          <w:trHeight w:val="229"/>
        </w:trPr>
        <w:tc>
          <w:tcPr>
            <w:tcW w:w="89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Measurement period adjustments</w:t>
            </w:r>
            <w:r>
              <w:rPr>
                <w:rFonts w:ascii="Arial" w:cs="Arial" w:eastAsia="Arial" w:hAnsi="Arial"/>
                <w:sz w:val="23"/>
                <w:szCs w:val="23"/>
                <w:color w:val="auto"/>
                <w:vertAlign w:val="superscript"/>
              </w:rPr>
              <w:t>(1)</w:t>
            </w: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8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Effect of foreign currency exchange rate changes</w:t>
            </w:r>
          </w:p>
        </w:tc>
        <w:tc>
          <w:tcPr>
            <w:tcW w:w="8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796,218</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$0.3 million of measurement period adjustments relate to acquisitions consummated during the year ended December 31, 2020.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Note 6. Intangible Assets</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Intangible assets consisted of the following as of:</w:t>
            </w: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73"/>
        </w:trPr>
        <w:tc>
          <w:tcPr>
            <w:tcW w:w="42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 2021</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69"/>
        </w:trPr>
        <w:tc>
          <w:tcPr>
            <w:tcW w:w="4280" w:type="dxa"/>
            <w:vAlign w:val="bottom"/>
          </w:tcPr>
          <w:p>
            <w:pPr>
              <w:spacing w:after="0"/>
              <w:rPr>
                <w:sz w:val="14"/>
                <w:szCs w:val="14"/>
                <w:color w:val="auto"/>
              </w:rPr>
            </w:pPr>
          </w:p>
        </w:tc>
        <w:tc>
          <w:tcPr>
            <w:tcW w:w="174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87"/>
              </w:rPr>
              <w:t>Useful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1"/>
              </w:rPr>
              <w:t>Gross Carrying</w:t>
            </w:r>
          </w:p>
        </w:tc>
        <w:tc>
          <w:tcPr>
            <w:tcW w:w="220" w:type="dxa"/>
            <w:vAlign w:val="bottom"/>
          </w:tcPr>
          <w:p>
            <w:pPr>
              <w:spacing w:after="0"/>
              <w:rPr>
                <w:sz w:val="14"/>
                <w:szCs w:val="14"/>
                <w:color w:val="auto"/>
              </w:rPr>
            </w:pPr>
          </w:p>
        </w:tc>
        <w:tc>
          <w:tcPr>
            <w:tcW w:w="1540" w:type="dxa"/>
            <w:vAlign w:val="bottom"/>
            <w:gridSpan w:val="2"/>
          </w:tcPr>
          <w:p>
            <w:pPr>
              <w:ind w:left="100"/>
              <w:spacing w:after="0" w:line="169" w:lineRule="exact"/>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4"/>
                <w:szCs w:val="14"/>
                <w:color w:val="auto"/>
              </w:rPr>
            </w:pPr>
          </w:p>
        </w:tc>
        <w:tc>
          <w:tcPr>
            <w:tcW w:w="1380" w:type="dxa"/>
            <w:vAlign w:val="bottom"/>
          </w:tcPr>
          <w:p>
            <w:pPr>
              <w:jc w:val="center"/>
              <w:ind w:right="210"/>
              <w:spacing w:after="0" w:line="169" w:lineRule="exact"/>
              <w:rPr>
                <w:sz w:val="20"/>
                <w:szCs w:val="20"/>
                <w:color w:val="auto"/>
              </w:rPr>
            </w:pPr>
            <w:r>
              <w:rPr>
                <w:rFonts w:ascii="Arial" w:cs="Arial" w:eastAsia="Arial" w:hAnsi="Arial"/>
                <w:sz w:val="18"/>
                <w:szCs w:val="18"/>
                <w:b w:val="1"/>
                <w:bCs w:val="1"/>
                <w:color w:val="auto"/>
                <w:w w:val="91"/>
              </w:rPr>
              <w:t>Net Book</w:t>
            </w:r>
          </w:p>
        </w:tc>
      </w:tr>
      <w:tr>
        <w:trPr>
          <w:trHeight w:val="229"/>
        </w:trPr>
        <w:tc>
          <w:tcPr>
            <w:tcW w:w="4280" w:type="dxa"/>
            <w:vAlign w:val="bottom"/>
          </w:tcPr>
          <w:p>
            <w:pPr>
              <w:spacing w:after="0"/>
              <w:rPr>
                <w:sz w:val="19"/>
                <w:szCs w:val="19"/>
                <w:color w:val="auto"/>
              </w:rPr>
            </w:pPr>
          </w:p>
        </w:tc>
        <w:tc>
          <w:tcPr>
            <w:tcW w:w="17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Life</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Value</w:t>
            </w:r>
          </w:p>
        </w:tc>
      </w:tr>
      <w:tr>
        <w:trPr>
          <w:trHeight w:val="224"/>
        </w:trPr>
        <w:tc>
          <w:tcPr>
            <w:tcW w:w="4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60" w:type="dxa"/>
            <w:vAlign w:val="bottom"/>
            <w:gridSpan w:val="5"/>
          </w:tcPr>
          <w:p>
            <w:pPr>
              <w:jc w:val="center"/>
              <w:ind w:right="240"/>
              <w:spacing w:after="0"/>
              <w:rPr>
                <w:sz w:val="20"/>
                <w:szCs w:val="20"/>
                <w:color w:val="auto"/>
              </w:rPr>
            </w:pPr>
            <w:r>
              <w:rPr>
                <w:rFonts w:ascii="Arial" w:cs="Arial" w:eastAsia="Arial" w:hAnsi="Arial"/>
                <w:sz w:val="18"/>
                <w:szCs w:val="18"/>
                <w:i w:val="1"/>
                <w:iCs w:val="1"/>
                <w:color w:val="auto"/>
                <w:w w:val="91"/>
              </w:rPr>
              <w:t>(in thousands)</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53"/>
        </w:trPr>
        <w:tc>
          <w:tcPr>
            <w:tcW w:w="42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7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3-20 years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385,742</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89"/>
              </w:rPr>
              <w:t>2-12 years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97,707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38,192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59,515</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7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3-10 years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21,620</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Non-compete agreements</w:t>
            </w:r>
          </w:p>
        </w:tc>
        <w:tc>
          <w:tcPr>
            <w:tcW w:w="1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3-5 years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r>
      <w:tr>
        <w:trPr>
          <w:trHeight w:val="423"/>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688,834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220,986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467,848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42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88"/>
              </w:rPr>
              <w:t>December 31, 2020</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69"/>
        </w:trPr>
        <w:tc>
          <w:tcPr>
            <w:tcW w:w="4280" w:type="dxa"/>
            <w:vAlign w:val="bottom"/>
          </w:tcPr>
          <w:p>
            <w:pPr>
              <w:spacing w:after="0"/>
              <w:rPr>
                <w:sz w:val="14"/>
                <w:szCs w:val="14"/>
                <w:color w:val="auto"/>
              </w:rPr>
            </w:pPr>
          </w:p>
        </w:tc>
        <w:tc>
          <w:tcPr>
            <w:tcW w:w="174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87"/>
              </w:rPr>
              <w:t>Useful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1"/>
              </w:rPr>
              <w:t>Gross Carrying</w:t>
            </w:r>
          </w:p>
        </w:tc>
        <w:tc>
          <w:tcPr>
            <w:tcW w:w="220" w:type="dxa"/>
            <w:vAlign w:val="bottom"/>
          </w:tcPr>
          <w:p>
            <w:pPr>
              <w:spacing w:after="0"/>
              <w:rPr>
                <w:sz w:val="14"/>
                <w:szCs w:val="14"/>
                <w:color w:val="auto"/>
              </w:rPr>
            </w:pPr>
          </w:p>
        </w:tc>
        <w:tc>
          <w:tcPr>
            <w:tcW w:w="1540" w:type="dxa"/>
            <w:vAlign w:val="bottom"/>
            <w:gridSpan w:val="2"/>
          </w:tcPr>
          <w:p>
            <w:pPr>
              <w:ind w:left="100"/>
              <w:spacing w:after="0" w:line="169" w:lineRule="exact"/>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4"/>
                <w:szCs w:val="14"/>
                <w:color w:val="auto"/>
              </w:rPr>
            </w:pPr>
          </w:p>
        </w:tc>
        <w:tc>
          <w:tcPr>
            <w:tcW w:w="1380" w:type="dxa"/>
            <w:vAlign w:val="bottom"/>
          </w:tcPr>
          <w:p>
            <w:pPr>
              <w:jc w:val="center"/>
              <w:ind w:right="210"/>
              <w:spacing w:after="0" w:line="169" w:lineRule="exact"/>
              <w:rPr>
                <w:sz w:val="20"/>
                <w:szCs w:val="20"/>
                <w:color w:val="auto"/>
              </w:rPr>
            </w:pPr>
            <w:r>
              <w:rPr>
                <w:rFonts w:ascii="Arial" w:cs="Arial" w:eastAsia="Arial" w:hAnsi="Arial"/>
                <w:sz w:val="18"/>
                <w:szCs w:val="18"/>
                <w:b w:val="1"/>
                <w:bCs w:val="1"/>
                <w:color w:val="auto"/>
                <w:w w:val="91"/>
              </w:rPr>
              <w:t>Net Book</w:t>
            </w:r>
          </w:p>
        </w:tc>
      </w:tr>
      <w:tr>
        <w:trPr>
          <w:trHeight w:val="230"/>
        </w:trPr>
        <w:tc>
          <w:tcPr>
            <w:tcW w:w="4280" w:type="dxa"/>
            <w:vAlign w:val="bottom"/>
          </w:tcPr>
          <w:p>
            <w:pPr>
              <w:spacing w:after="0"/>
              <w:rPr>
                <w:sz w:val="19"/>
                <w:szCs w:val="19"/>
                <w:color w:val="auto"/>
              </w:rPr>
            </w:pPr>
          </w:p>
        </w:tc>
        <w:tc>
          <w:tcPr>
            <w:tcW w:w="17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Life</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Value</w:t>
            </w:r>
          </w:p>
        </w:tc>
      </w:tr>
      <w:tr>
        <w:trPr>
          <w:trHeight w:val="224"/>
        </w:trPr>
        <w:tc>
          <w:tcPr>
            <w:tcW w:w="4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60" w:type="dxa"/>
            <w:vAlign w:val="bottom"/>
            <w:gridSpan w:val="5"/>
          </w:tcPr>
          <w:p>
            <w:pPr>
              <w:jc w:val="center"/>
              <w:ind w:right="240"/>
              <w:spacing w:after="0"/>
              <w:rPr>
                <w:sz w:val="20"/>
                <w:szCs w:val="20"/>
                <w:color w:val="auto"/>
              </w:rPr>
            </w:pPr>
            <w:r>
              <w:rPr>
                <w:rFonts w:ascii="Arial" w:cs="Arial" w:eastAsia="Arial" w:hAnsi="Arial"/>
                <w:sz w:val="18"/>
                <w:szCs w:val="18"/>
                <w:i w:val="1"/>
                <w:iCs w:val="1"/>
                <w:color w:val="auto"/>
                <w:w w:val="91"/>
              </w:rPr>
              <w:t>(in thousands)</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53"/>
        </w:trPr>
        <w:tc>
          <w:tcPr>
            <w:tcW w:w="42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7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3-20 years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388,680</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89"/>
              </w:rPr>
              <w:t>2-12 years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85,510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27,311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58,199</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7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3-10 years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22,578</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Non-compete agreements</w:t>
            </w:r>
          </w:p>
        </w:tc>
        <w:tc>
          <w:tcPr>
            <w:tcW w:w="1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3-5 years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r>
      <w:tr>
        <w:trPr>
          <w:trHeight w:val="248"/>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470,729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was $24.2 million and $17.8 million for the three months ended September 30, 2021 and 2020, respectively, and $68.7 million and $51.3 million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r>
              <w:rPr>
                <w:rFonts w:ascii="Arial" w:cs="Arial" w:eastAsia="Arial" w:hAnsi="Arial"/>
                <w:sz w:val="18"/>
                <w:szCs w:val="18"/>
                <w:b w:val="1"/>
                <w:bCs w:val="1"/>
                <w:color w:val="auto"/>
              </w:rPr>
              <w:t>Note 7. Property and Equipment</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7480" w:type="dxa"/>
            <w:vAlign w:val="bottom"/>
          </w:tcPr>
          <w:p>
            <w:pPr>
              <w:spacing w:after="0"/>
              <w:rPr>
                <w:sz w:val="20"/>
                <w:szCs w:val="20"/>
                <w:color w:val="auto"/>
              </w:rPr>
            </w:pPr>
            <w:r>
              <w:rPr>
                <w:rFonts w:ascii="Arial" w:cs="Arial" w:eastAsia="Arial" w:hAnsi="Arial"/>
                <w:sz w:val="18"/>
                <w:szCs w:val="18"/>
                <w:color w:val="auto"/>
              </w:rPr>
              <w:t>Property and equipment consisted of the following as of:</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68"/>
        </w:trPr>
        <w:tc>
          <w:tcPr>
            <w:tcW w:w="7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4"/>
                <w:szCs w:val="24"/>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7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r>
      <w:tr>
        <w:trPr>
          <w:trHeight w:val="224"/>
        </w:trPr>
        <w:tc>
          <w:tcPr>
            <w:tcW w:w="7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20" w:type="dxa"/>
            <w:vAlign w:val="bottom"/>
            <w:gridSpan w:val="4"/>
          </w:tcPr>
          <w:p>
            <w:pPr>
              <w:jc w:val="right"/>
              <w:ind w:right="1270"/>
              <w:spacing w:after="0"/>
              <w:rPr>
                <w:sz w:val="20"/>
                <w:szCs w:val="20"/>
                <w:color w:val="auto"/>
              </w:rPr>
            </w:pPr>
            <w:r>
              <w:rPr>
                <w:rFonts w:ascii="Arial" w:cs="Arial" w:eastAsia="Arial" w:hAnsi="Arial"/>
                <w:sz w:val="18"/>
                <w:szCs w:val="18"/>
                <w:i w:val="1"/>
                <w:iCs w:val="1"/>
                <w:color w:val="auto"/>
              </w:rPr>
              <w:t>(in thousands)</w:t>
            </w:r>
          </w:p>
        </w:tc>
      </w:tr>
      <w:tr>
        <w:trPr>
          <w:trHeight w:val="53"/>
        </w:trPr>
        <w:tc>
          <w:tcPr>
            <w:tcW w:w="7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3,728</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r>
      <w:tr>
        <w:trPr>
          <w:trHeight w:val="223"/>
        </w:trPr>
        <w:tc>
          <w:tcPr>
            <w:tcW w:w="7480" w:type="dxa"/>
            <w:vAlign w:val="bottom"/>
          </w:tcPr>
          <w:p>
            <w:pPr>
              <w:ind w:left="140"/>
              <w:spacing w:after="0"/>
              <w:rPr>
                <w:sz w:val="20"/>
                <w:szCs w:val="20"/>
                <w:color w:val="auto"/>
              </w:rPr>
            </w:pPr>
            <w:r>
              <w:rPr>
                <w:rFonts w:ascii="Arial" w:cs="Arial" w:eastAsia="Arial" w:hAnsi="Arial"/>
                <w:sz w:val="18"/>
                <w:szCs w:val="18"/>
                <w:color w:val="auto"/>
              </w:rPr>
              <w:t>Total property and equipment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23,222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21,069</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r>
      <w:tr>
        <w:trPr>
          <w:trHeight w:val="223"/>
        </w:trPr>
        <w:tc>
          <w:tcPr>
            <w:tcW w:w="74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$1.0 million and $0.8 million for the three months ended September 30, 2021 and 2020, respectively, and $2.8 million and $2.3 million for the nine months ended September 30, 2021 and 2020, respectively.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Capitalized Software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consisted of the following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Capitalized software,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9"/>
                <w:szCs w:val="19"/>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4"/>
        </w:trPr>
        <w:tc>
          <w:tcPr>
            <w:tcW w:w="240" w:type="dxa"/>
            <w:vAlign w:val="bottom"/>
          </w:tcPr>
          <w:p>
            <w:pPr>
              <w:spacing w:after="0"/>
              <w:rPr>
                <w:sz w:val="19"/>
                <w:szCs w:val="19"/>
                <w:color w:val="auto"/>
              </w:rPr>
            </w:pPr>
          </w:p>
        </w:tc>
        <w:tc>
          <w:tcPr>
            <w:tcW w:w="3480" w:type="dxa"/>
            <w:vAlign w:val="bottom"/>
            <w:gridSpan w:val="4"/>
          </w:tcPr>
          <w:p>
            <w:pPr>
              <w:ind w:left="1100"/>
              <w:spacing w:after="0"/>
              <w:rPr>
                <w:sz w:val="20"/>
                <w:szCs w:val="20"/>
                <w:color w:val="auto"/>
              </w:rPr>
            </w:pPr>
            <w:r>
              <w:rPr>
                <w:rFonts w:ascii="Arial" w:cs="Arial" w:eastAsia="Arial" w:hAnsi="Arial"/>
                <w:sz w:val="18"/>
                <w:szCs w:val="18"/>
                <w:i w:val="1"/>
                <w:iCs w:val="1"/>
                <w:color w:val="auto"/>
              </w:rPr>
              <w:t>(in thousands)</w:t>
            </w:r>
          </w:p>
        </w:tc>
      </w:tr>
      <w:tr>
        <w:trPr>
          <w:trHeight w:val="282"/>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ind w:left="1000"/>
              <w:spacing w:after="0"/>
              <w:rPr>
                <w:sz w:val="20"/>
                <w:szCs w:val="20"/>
                <w:color w:val="auto"/>
              </w:rPr>
            </w:pPr>
            <w:r>
              <w:rPr>
                <w:rFonts w:ascii="Arial" w:cs="Arial" w:eastAsia="Arial" w:hAnsi="Arial"/>
                <w:sz w:val="18"/>
                <w:szCs w:val="18"/>
                <w:color w:val="auto"/>
              </w:rPr>
              <w:t>29,397</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ind w:left="1000"/>
              <w:spacing w:after="0"/>
              <w:rPr>
                <w:sz w:val="20"/>
                <w:szCs w:val="20"/>
                <w:color w:val="auto"/>
              </w:rPr>
            </w:pPr>
            <w:r>
              <w:rPr>
                <w:rFonts w:ascii="Arial" w:cs="Arial" w:eastAsia="Arial" w:hAnsi="Arial"/>
                <w:sz w:val="18"/>
                <w:szCs w:val="18"/>
                <w:color w:val="auto"/>
                <w:w w:val="98"/>
              </w:rPr>
              <w:t>20,339</w:t>
            </w:r>
          </w:p>
        </w:tc>
      </w:tr>
      <w:tr>
        <w:trPr>
          <w:trHeight w:val="230"/>
        </w:trPr>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4"/>
              </w:rPr>
              <w:t>(6,705)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94"/>
              </w:rPr>
              <w:t>(4,270)</w:t>
            </w:r>
          </w:p>
        </w:tc>
      </w:tr>
      <w:tr>
        <w:trPr>
          <w:trHeight w:val="223"/>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22,692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98"/>
              </w:rPr>
              <w:t>16,069</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20"/>
          </w:cols>
          <w:pgMar w:left="320" w:top="175" w:right="339" w:bottom="1440" w:gutter="0" w:footer="0" w:header="0"/>
          <w:type w:val="continuous"/>
        </w:sectPr>
      </w:pPr>
    </w:p>
    <w:p>
      <w:pPr>
        <w:spacing w:after="0" w:line="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was $0.9 million and $0.6 million for the three months ended September 30, 2021 and 2020, respectively, and $2.4 million and $1.7 million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r>
              <w:rPr>
                <w:rFonts w:ascii="Arial" w:cs="Arial" w:eastAsia="Arial" w:hAnsi="Arial"/>
                <w:sz w:val="18"/>
                <w:szCs w:val="18"/>
                <w:b w:val="1"/>
                <w:bCs w:val="1"/>
                <w:color w:val="auto"/>
              </w:rPr>
              <w:t>Note 9. Long-Term Debt</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20" w:type="dxa"/>
            <w:vAlign w:val="bottom"/>
          </w:tcPr>
          <w:p>
            <w:pPr>
              <w:spacing w:after="0"/>
              <w:rPr>
                <w:sz w:val="20"/>
                <w:szCs w:val="20"/>
                <w:color w:val="auto"/>
              </w:rPr>
            </w:pPr>
            <w:r>
              <w:rPr>
                <w:rFonts w:ascii="Arial" w:cs="Arial" w:eastAsia="Arial" w:hAnsi="Arial"/>
                <w:sz w:val="18"/>
                <w:szCs w:val="18"/>
                <w:color w:val="auto"/>
              </w:rPr>
              <w:t>Long-term debt consisted of the following as of:</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4"/>
                <w:szCs w:val="24"/>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7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4"/>
        </w:trPr>
        <w:tc>
          <w:tcPr>
            <w:tcW w:w="7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80" w:type="dxa"/>
            <w:vAlign w:val="bottom"/>
            <w:gridSpan w:val="4"/>
          </w:tcPr>
          <w:p>
            <w:pPr>
              <w:jc w:val="right"/>
              <w:ind w:right="125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53"/>
        </w:trPr>
        <w:tc>
          <w:tcPr>
            <w:tcW w:w="7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Term notes with interest payable monthly, interest rate at Adjusted LIBOR or Alternative Base Rate,</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plus an applicable margin of 3.25% (3.75% at September 30, 2021) quarterly principal payments of</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0.25% of original principal balance with balloon payment due July 2028</w:t>
            </w:r>
          </w:p>
        </w:tc>
        <w:tc>
          <w:tcPr>
            <w:tcW w:w="24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20"/>
              <w:spacing w:after="0" w:line="176" w:lineRule="exact"/>
              <w:rPr>
                <w:sz w:val="20"/>
                <w:szCs w:val="20"/>
                <w:color w:val="auto"/>
              </w:rPr>
            </w:pPr>
            <w:r>
              <w:rPr>
                <w:rFonts w:ascii="Arial" w:cs="Arial" w:eastAsia="Arial" w:hAnsi="Arial"/>
                <w:sz w:val="18"/>
                <w:szCs w:val="18"/>
                <w:color w:val="auto"/>
                <w:w w:val="92"/>
              </w:rPr>
              <w:t>Revolver with interest payable monthly, interest rate at Adjusted LIBOR or Alternative Base Rate, plus</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180"/>
              <w:spacing w:after="0" w:line="176" w:lineRule="exact"/>
              <w:rPr>
                <w:sz w:val="20"/>
                <w:szCs w:val="20"/>
                <w:color w:val="auto"/>
              </w:rPr>
            </w:pPr>
            <w:r>
              <w:rPr>
                <w:rFonts w:ascii="Arial" w:cs="Arial" w:eastAsia="Arial" w:hAnsi="Arial"/>
                <w:sz w:val="18"/>
                <w:szCs w:val="18"/>
                <w:color w:val="auto"/>
                <w:w w:val="94"/>
              </w:rPr>
              <w:t>an applicable margin of 3.25% (3.33% at September 30, 2021), and outstanding balance due July</w:t>
            </w:r>
          </w:p>
        </w:tc>
        <w:tc>
          <w:tcPr>
            <w:tcW w:w="24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tcPr>
          <w:p>
            <w:pPr>
              <w:ind w:left="18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Term notes with interest payable monthly, interest rate at Adjusted LIBOR or Alternative Base Rate,</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plus an applicable margin of 5.50% (5.65% at December 31, 2020) quarterly principal payments of</w:t>
            </w:r>
          </w:p>
        </w:tc>
        <w:tc>
          <w:tcPr>
            <w:tcW w:w="240" w:type="dxa"/>
            <w:vAlign w:val="bottom"/>
            <w:shd w:val="clear" w:color="auto" w:fill="CCEEFF"/>
          </w:tcPr>
          <w:p>
            <w:pPr>
              <w:spacing w:after="0"/>
              <w:rPr>
                <w:sz w:val="15"/>
                <w:szCs w:val="15"/>
                <w:color w:val="auto"/>
              </w:rPr>
            </w:pPr>
          </w:p>
        </w:tc>
        <w:tc>
          <w:tcPr>
            <w:tcW w:w="1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720,964</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0.25% of original principal balance with balloon payment due August 2025</w:t>
            </w:r>
          </w:p>
        </w:tc>
        <w:tc>
          <w:tcPr>
            <w:tcW w:w="240" w:type="dxa"/>
            <w:vAlign w:val="bottom"/>
            <w:shd w:val="clear" w:color="auto" w:fill="CCEEFF"/>
          </w:tcPr>
          <w:p>
            <w:pPr>
              <w:spacing w:after="0"/>
              <w:rPr>
                <w:sz w:val="19"/>
                <w:szCs w:val="19"/>
                <w:color w:val="auto"/>
              </w:rPr>
            </w:pPr>
          </w:p>
        </w:tc>
        <w:tc>
          <w:tcPr>
            <w:tcW w:w="16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20"/>
              <w:spacing w:after="0" w:line="176" w:lineRule="exact"/>
              <w:rPr>
                <w:sz w:val="20"/>
                <w:szCs w:val="20"/>
                <w:color w:val="auto"/>
              </w:rPr>
            </w:pPr>
            <w:r>
              <w:rPr>
                <w:rFonts w:ascii="Arial" w:cs="Arial" w:eastAsia="Arial" w:hAnsi="Arial"/>
                <w:sz w:val="18"/>
                <w:szCs w:val="18"/>
                <w:color w:val="auto"/>
                <w:w w:val="92"/>
              </w:rPr>
              <w:t>Asset purchase agreement related to acquisition of Service Nation, Inc., zero-interest unsecured debt</w:t>
            </w:r>
          </w:p>
        </w:tc>
        <w:tc>
          <w:tcPr>
            <w:tcW w:w="240" w:type="dxa"/>
            <w:vAlign w:val="bottom"/>
          </w:tcPr>
          <w:p>
            <w:pPr>
              <w:spacing w:after="0"/>
              <w:rPr>
                <w:sz w:val="15"/>
                <w:szCs w:val="15"/>
                <w:color w:val="auto"/>
              </w:rPr>
            </w:pPr>
          </w:p>
        </w:tc>
        <w:tc>
          <w:tcPr>
            <w:tcW w:w="1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520" w:type="dxa"/>
            <w:vAlign w:val="bottom"/>
          </w:tcPr>
          <w:p>
            <w:pPr>
              <w:ind w:left="180"/>
              <w:spacing w:after="0"/>
              <w:rPr>
                <w:sz w:val="20"/>
                <w:szCs w:val="20"/>
                <w:color w:val="auto"/>
              </w:rPr>
            </w:pPr>
            <w:r>
              <w:rPr>
                <w:rFonts w:ascii="Arial" w:cs="Arial" w:eastAsia="Arial" w:hAnsi="Arial"/>
                <w:sz w:val="18"/>
                <w:szCs w:val="18"/>
                <w:color w:val="auto"/>
              </w:rPr>
              <w:t>(effective interest of 10%) with principal payments due monthly through February 2021</w:t>
            </w:r>
          </w:p>
        </w:tc>
        <w:tc>
          <w:tcPr>
            <w:tcW w:w="24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Subordinated unsecured promissory note related to acquisition of Service Nation, Inc., interest paid-in-</w:t>
            </w:r>
          </w:p>
        </w:tc>
        <w:tc>
          <w:tcPr>
            <w:tcW w:w="24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kind, interest rate at 8.5% with balloon payment due September 2022</w:t>
            </w:r>
          </w:p>
        </w:tc>
        <w:tc>
          <w:tcPr>
            <w:tcW w:w="24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20"/>
              <w:spacing w:after="0" w:line="176" w:lineRule="exact"/>
              <w:rPr>
                <w:sz w:val="20"/>
                <w:szCs w:val="20"/>
                <w:color w:val="auto"/>
              </w:rPr>
            </w:pPr>
            <w:r>
              <w:rPr>
                <w:rFonts w:ascii="Arial" w:cs="Arial" w:eastAsia="Arial" w:hAnsi="Arial"/>
                <w:sz w:val="18"/>
                <w:szCs w:val="18"/>
                <w:color w:val="auto"/>
                <w:w w:val="92"/>
              </w:rPr>
              <w:t>Subordinated unsecured promissory note related to acquisition of Technique Fitness, Inc. D/B/A Club</w:t>
            </w:r>
          </w:p>
        </w:tc>
        <w:tc>
          <w:tcPr>
            <w:tcW w:w="24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OS, interest paid-in-kind, interest rate at 7% with balloon payment due December 2022</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Principal debt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726,088</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Deferred financing costs on long-term debt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on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(26,702)</w:t>
            </w:r>
          </w:p>
        </w:tc>
        <w:tc>
          <w:tcPr>
            <w:tcW w:w="0" w:type="dxa"/>
            <w:vAlign w:val="bottom"/>
          </w:tcPr>
          <w:p>
            <w:pPr>
              <w:spacing w:after="0"/>
              <w:rPr>
                <w:sz w:val="1"/>
                <w:szCs w:val="1"/>
                <w:color w:val="auto"/>
              </w:rPr>
            </w:pPr>
          </w:p>
        </w:tc>
      </w:tr>
      <w:tr>
        <w:trPr>
          <w:trHeight w:val="223"/>
        </w:trPr>
        <w:tc>
          <w:tcPr>
            <w:tcW w:w="7520" w:type="dxa"/>
            <w:vAlign w:val="bottom"/>
          </w:tcPr>
          <w:p>
            <w:pPr>
              <w:ind w:left="56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385,068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698,332</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23"/>
        </w:trPr>
        <w:tc>
          <w:tcPr>
            <w:tcW w:w="7520" w:type="dxa"/>
            <w:vAlign w:val="bottom"/>
          </w:tcPr>
          <w:p>
            <w:pPr>
              <w:ind w:left="560"/>
              <w:spacing w:after="0"/>
              <w:rPr>
                <w:sz w:val="20"/>
                <w:szCs w:val="20"/>
                <w:color w:val="auto"/>
              </w:rPr>
            </w:pPr>
            <w:r>
              <w:rPr>
                <w:rFonts w:ascii="Arial" w:cs="Arial" w:eastAsia="Arial" w:hAnsi="Arial"/>
                <w:sz w:val="18"/>
                <w:szCs w:val="18"/>
                <w:color w:val="auto"/>
              </w:rPr>
              <w:t>Long-term portion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691,038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the fair value of long-term debt based on trading prices for its debt if available. As of September 30, 2021, the Company obtained trading prices for the term notes outstanding. Such instruments are classified as Level 1. If no such trading prices are available, the Company determines the fair value of long-term debt using discounted cash flows, applying current interest rates and current credit spreads, based on its own credit risk. Such instruments are classified as Level 2. The fair value amounts were approximately $390.9 million and $710.3 million as of September 30, 2021 and December 31, 2020, respectively.</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January 1, 2020, the Company had an outstanding credit agreement under which the Company obtained (i) a term loan of $415.0 million (“Term Loan”), (ii) commitments for delayed draw term loans (“DDTLs”) up to $135.0 million and (iii) commitments for revolving loans (Revolver) up to $50.0 million including commitments for the issuance of up to $10.0 million of letters of credit (together, the “Credit Facility”).</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year ended December 31, 2020, the Company entered into an amendment to the Credit Facility which provided an incremental commitment for additional DDTLs of $250.0 million, resulting in a total commitment for DDTLs of $385.0 million. The incremental commitment DDTLs bore the same terms and conditions as the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DDTLs within the Credit Facility. During the year ended December 31, 2020, the Company received proceeds of $264.7 million, net of discount on long-term debt of $9.0 million, in connection with the DDTLs. During the three and nine months ended September 30, 2021, the Company received proceeds of nil and $69.2 million, respectively, net of discount on long-term debt of nil and $2.9 million, respectively, in connection with the DDTLs. The Company paid commitment fees on the revolver at a variable rate that ranged from 0.375% to 0.50% per annum (based on the Company’s most recent first lien leverage ratio) and the incremental delayed draw unused commitments of 1.5% per annum paid quarterly in arrears.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2020, the Company borrowed $50.0 million under the revolver at rates ranging from 5.68% to 6.25%. The Company repaid the revolver in full in September 2020 and no balance was outstanding at December 31, 2020.</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connection with the IPO, the Company refinanced its outstanding credit facility on July 6, 2021. The Company entered into a new credit facility (“New Credit Facility”) that includes term loans in an aggregate principal amount of $350.0 million (“New Term Loans”) and a revolver with a capacity of $190.0 million (“New Revolver”), of which it borrowed $79.0 million upon closing, and which it repaid $44.0 million during the three months ended September 30, 2021. The proceeds from the New Term Loans and New Revolver were used in conjunction with the proceeds from the IPO to retire the existing Credit Facility. The New Term Loans have a term of seven years, and quarterly payments of principal of $0.9 million and interest in arrears. The New Revolver has a term of five years. Borrowings under the New Credit Agreement will be available as alternate base rate (“ABR”) or Eurocurrency borrowings. ABR borrowings under the New Credit Agreement accrue interest at an alternate base rate plus an applicable rate, and Eurocurrency borrowings accrue interest at an adjusted LIBOR rate plus an applicable rate. The ABR rate represents the greater of the prime rate, Federal Reserve Bank of New York rate plus ½ of 1%, and an adjusted LIBOR rate for a one month interest period plus 1%. At the time of origination, the applicable rate for the New Term Loans and the New Revolver was 3% for Eurocurrency borrowings and 2% for ABR borrowings, in each case subject to change based on the Company’s first lien net leverage ratio. The Company concluded that the refinance qualified as an extinguishment of the existing Credit Facility. In connection therewith, the Company recorded a loss on debt extinguishment of approximately $28.7 million during three months ended September 30, 2021.</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January 1, 2020, the Company also had outstanding subordinated promissory notes (“Legacy Subordinated Notes”) that included paid-in-kind (“PIK”) interest. The interest on the Legacy Subordinated Notes is all PIK and is due upon maturity. Total PIK interest was $0.1 million for each of the three months ended September 30, 2021 and 2020, and $0.3 million for each of the nine months ended September 30, 2021 and 2020.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New Credit Facility is subject to certain financial and nonfinancial covenants and is secured by substantially all assets of the Company. As of September 30, 2021, the Company was in compliance with all of its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the Company’s debt for the years ending December 31 are as follows as of September 30, 2021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three months)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9,362</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370,125</w:t>
            </w:r>
          </w:p>
        </w:tc>
      </w:tr>
      <w:tr>
        <w:trPr>
          <w:trHeight w:val="248"/>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aggregate maturities of the Company’s debt</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390,862</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Included in aggregate maturities is future paid-in-kind interest totaling $0.5 million that will accrue over the term of the related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Convertible Preferred Stock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Immediately prior to the closing of the IPO, the Company filed an Amended and Restated Certificate of Incorporation on July 6, 2021 with the Secretary of State of the State of Delaware to authorize the issuance up to 2,050,000,000 shares, par value $0.00001 per share, consisting of 2,000,000,000 shares of common stock and 50,000,000 shares of preferred stock. In connection with the IPO, all of the Company’s then outstanding convertible preferred stock converted into shares of common stock on a one-for-one basis. Upon conversion of the convertible preferred stock, the Company reclassified the carrying value of the convertible preferred stock to common stock and additional paid-in capital.</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5, 2021, the Company amended its Certificate of Incorporation (“Third Amended and Restated Certificate of Incorporation”) to increase the number of authorized shares of Preferred Stock from 125,000,000 shares to 140,000,000 shares. Prior to the effectiveness of the Amended and Restated Certificate of Incorporation on July 6, 2021 the Company was authorized to issue 140,000,000 shares of Preferred Stock, $0.00001 par value per share, of which 50,000,000 were designated as Series A, 75,000,000 were designated as Series B and 15,000,000 were designated as Series C as of such date. Each share of Series A, Series B and Series C could have been converted into common stock at any time, at the option of the holder, based on a prescribed formula set forth in the Company’s Third Amended and Restated Certificate of Incorporation. In the event of a liquidation, dissolution, winding up of the Company or other similar event, liquidation payments would have first been made to the holders of Series B, then to Series C, then to Series A.</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Series A shares were redeemable upon a deemed liquidation event not solely within the Company’s control. The redemption price would have been the cash or value of the property, rights or securities paid or distributed upon a deemed liquidation event. Prior to the Second Amended and Restated Certificate of Incorporation, Series A preferred stock holders were entitled to cumulative dividends that accrued at annual rate of 4% of the Series A Preferred Stock original issue price, compounded annually. The Series A preferred stock holders were not entitled to accrue additional dividends after August 23, 2019.</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B shares were redeemable upon a deemed liquidation event not solely within the Company’s control or upon written notice from a majority of the holders of Series B shares at any time on or after February 23, 2026. The redemption price was prescribed in the Company’s Second Amended and Restated Certificate of Incorporation, and was based on inputs including, but not limited to, the original issuance price of the Series B shares, accrued dividends whether or not declared, and the fair value of common stock.</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Series B holders were entitled to cumulative dividends that accrued at an annual rate of 10% of the Series B share original issue price (as adjusted in accordance with the Company’s Second Amended and Restated Certificate of Incorporation), compounded annually. The initial original issue price for the Series B shares issued ranged from $9.12 per share to $9.14 per share. Accumulated and undeclared Series B preferred dividends were $101.1 million and $86.0 million as of July 6, 2021 (the date on which the Series B converted to common) and December 31, 2020, respectively. Such dividends would have been payable only upon the occurrence of a deemed liquidation event or voluntary or involuntary dissolution, liquidation or winding up of the Company without certain consents required by the organizational documents of the Company.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2021, the Company issued 7,857,142 shares of Series C for proceeds of $109.8 million net of issuance costs. The Series C shares were redeemable upon a deemed liquidation event not solely within the Company’s control. The redemption price would have been the cash or value of the property, rights or securities paid or distributed upon a deemed liquidation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accordance with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if the carrying value of redeemable preferred stock is less than its redemption value, redeemable preferred stock shall be accreted to its redemption value if it is probable it will become redeemable. Prior to March 15, 2021, the Company concluded it was probable that the Series B would become redeemable due to the passage of time. However, after that date the Company concluded that it was no longer probable that the Series B would become redeemable due to the increased likelihood of a successful IPO prior to February 23, 2026. The Company’s Series B accruing dividends comprised a component of the redemption value of such stock. The Company recorded the accretion of Series B through March 15, 2021, by increasing its carrying value and recording a corresponding reduction of Additional Paid-In Capital in the amounts of nil and $13.7 million for the three months ended September 30, 2021 and 2020, respectively, and $15.1 million and $39.9 million for the nine months ended September 30, 2021 and 2020,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In connection with the IPO, the Company’s board of directors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(A) 3% of the shares outstanding (on an as-converted basis) on the last day of the immediately preceding fiscal year and (B) such smaller number of shares as determined by the Company’s board of directors, provided that no more than 22,000,000 shares may be issued upon the exercise of incentive stock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nine months ended September 30, 2021 and 2020, the Company granted time-based and performance-based stock options to employees and directors. Time-based options granted under the 2016 Plan vest 25% after one year, and then monthly over the next three years whereas time-based options granted under the 2021 Plan vest 25% after one year and then quarterly over the next three years. Time-based options granted under both the 2016 Plan and the 2021 Plan expire 10 years from date of grant and carry an exercise price equal to the fair market value at the date of grant as determined by the Company’s board of directors for options granted under the 2016 Plan and an exercise price equal to the closing price of the Company’s stock at the date of grant for options granted under the 2021 Plan. The overwhelming majority of performance-based options granted prior to the IPO had vesting conditions as follows: 50% of a holder’s award would have vested upon a change in control or an initial public offering if the per share cash price received in connection with such change in control or the per share offering price in such initial public offering was at least $27.41, and the other 50% of the holder’s award would have vested upon a change in control or an initial public offering if the per share cash price received in connection with such change in control or the per share offering price in such initial public offer was at least $36.54. The performance-based options generally carried an exercise price equal to the fair market value at the date of grant as determined by the board of directors and expired 10 years from date of grant. In connection with the IPO, the Company modified the performance-based stock options to market condition-based options such that 50% of a holder’s award will vest if the market price for the Company’s stock reaches and maintains a volume weighted average stock price of $27.41, and the other 50% of the holder’s award will vest if the market price for the Company’s stock reaches and maintains a volume weighted average stock price of $36.54. Each tranche of options is eligible to vest if the applicable volume weighted average stock price goal is achieved during the first measurement period of January through March of 2023, and if such goal(s) are not achieved during such period, then the tranche(s) of options are again eligible to vest during a second measurement period of April through June of 2023. To date, $2.4 million of stock-based compensation expense has been recognized related to the market condition-based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Units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2017, the Company granted 3.9 million time vesting restricted stock awards (“RSAs”). The awards vested over a four-year period starting on October 17, 2016. On the grant date the awards were valued at $0.75 per award totaling $2.9 million. The Company recorded compensation expense for these awards on a straight-line basis over the vesting period, which approximates the service period. The time vesting RSAs were fully vested as of December 31, 2020.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granted 1.6 million shares of funding RSAs during the year ended December 31, 2018. The funding awards only vested in the instances in which the majority owners of the Company purchase preferred stock. The shares vested in an amount equal to a percentage of the number of preferred shares purchased by majority owners of the Company.</w:t>
      </w:r>
    </w:p>
    <w:p>
      <w:pPr>
        <w:spacing w:after="0" w:line="17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On August 23, 2019 and September 4, 2020, all unvested funding RSAs were modified such that the awards vested upon an investment by either of the equity sponsors and the percentage of awards that vested upon such investment was also modified. These modifications did not result in additional compensation expense at the date of each modification; however, future compensation expense for these awards was recognized based on the fair value of the award at the modification date. The compensation expense associated with the unvested funding awards was recorded on the vesting date. Unvested funding RSAs terminated upon the earlier of an IPO or a sale of the Company, as defined in the respective recipients’ Amended and Restated Restricted Stock Award Agreements dated May 7, 2021.</w:t>
      </w:r>
    </w:p>
    <w:p>
      <w:pPr>
        <w:spacing w:after="0" w:line="17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On May 7 and May 20, 2021, the Company issued 7.6 million shares of Series C for $105.8 million and 0.3 million shares of Series C for $4.2 million, respectively, to fund an acquisition. In connection with these contributions, the funding RSAs were modified, and 0.6 million and 18 thousand, respectively, of funding RSAs vested at $17.00 per share. There was nil and $9.7 million in compensation expense recorded in the three and nine months ended September 30, 2021, respectively, in general and administrative expense in the statements of operations and comprehensive loss. There was $2.5 million of compensation expense related to funding restricted stock awards which vested during the three and nine months ended September 30, 2020. In connection with the IPO, all remaining unvested funding awards were cancelled.</w:t>
      </w:r>
    </w:p>
    <w:p>
      <w:pPr>
        <w:spacing w:after="0" w:line="17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connection with the IPO, the Company issued 0.5 million time vesting restricted stock units (“ RSUs”). The awards vest over a four-year period starting on the date of grant, with 25% of the awards vesting on the one year anniversary, and then in equal quarterly installments for the subsequent three years. On the grant date the awards were valued at $17.00 per share totaling $9.1 million. The Company records compensation expense for these awards on a straight-line basis, which approximates the service period. For the three and nine months ended September 30, 2021 the Company recorded $0.6 million related to these time vesting RSUs, the majority of which is included in general and administrative in the accompanying condensed consolidated statements of operations and comprehensive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connection with the IPO, the Company’s board of directors adopted the 2021 Employee Stock Purchase Plan (the “ESPP”). The ESPP is designed to allow eligible employees to purchase shares of our common stock, at periodic intervals, with their accumulated payroll deductions. The ESPP consists of two components: a Section 423 component, which is intended to qualify under Section 423 of the Internal Revenue Code (the “Code”) and a non-Section 423 component, which need not qualify under Section 423 of the Code. The aggregate number of shares of common stock that were initially reserved for issuance under the ESPP is equal to the sum of (i) 4,500,000 shares and (ii) an annual increase on the first day of each calendar year beginning in 2022 and ending in and including 2031 equal to the lesser of (A) one percent (1%) of the outstanding shares of our common stock on the last day of the immediately preceding fiscal year and (B) such smaller number of shares as determined by our board of directors; provided that in no event will more than 60,000,000 shares of our common stock be available for issuance under the Section 423 component of the ESPP. During the three months ended September 30, 2021 employees were not yet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offered the opportunity to participate in the 2021 Employee Stock Purchase Plan and accordingly no compensation expense has been recorded.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classified in the condensed consolidated statements of operations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4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24"/>
        </w:trPr>
        <w:tc>
          <w:tcPr>
            <w:tcW w:w="5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i w:val="1"/>
                <w:iCs w:val="1"/>
                <w:color w:val="auto"/>
                <w:w w:val="92"/>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53"/>
        </w:trPr>
        <w:tc>
          <w:tcPr>
            <w:tcW w:w="5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4,117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3,470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w:t>
            </w:r>
          </w:p>
        </w:tc>
      </w:tr>
      <w:tr>
        <w:trPr>
          <w:trHeight w:val="248"/>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4,745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 Attributable to Common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net loss per share for the Company’s common stock as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6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4"/>
        </w:trPr>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60" w:type="dxa"/>
            <w:vAlign w:val="bottom"/>
            <w:gridSpan w:val="9"/>
          </w:tcPr>
          <w:p>
            <w:pPr>
              <w:jc w:val="right"/>
              <w:ind w:right="19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(36,906)</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(77,235)</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(39,031)</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Accretion of Series B to redemption value</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(39,896)</w:t>
            </w:r>
          </w:p>
        </w:tc>
        <w:tc>
          <w:tcPr>
            <w:tcW w:w="0" w:type="dxa"/>
            <w:vAlign w:val="bottom"/>
          </w:tcPr>
          <w:p>
            <w:pPr>
              <w:spacing w:after="0"/>
              <w:rPr>
                <w:sz w:val="1"/>
                <w:szCs w:val="1"/>
                <w:color w:val="auto"/>
              </w:rPr>
            </w:pPr>
          </w:p>
        </w:tc>
      </w:tr>
      <w:tr>
        <w:trPr>
          <w:trHeight w:val="155"/>
        </w:trPr>
        <w:tc>
          <w:tcPr>
            <w:tcW w:w="5180" w:type="dxa"/>
            <w:vAlign w:val="bottom"/>
          </w:tcPr>
          <w:p>
            <w:pPr>
              <w:ind w:left="180"/>
              <w:spacing w:after="0" w:line="156" w:lineRule="exact"/>
              <w:rPr>
                <w:sz w:val="20"/>
                <w:szCs w:val="20"/>
                <w:color w:val="auto"/>
              </w:rPr>
            </w:pPr>
            <w:r>
              <w:rPr>
                <w:rFonts w:ascii="Arial" w:cs="Arial" w:eastAsia="Arial" w:hAnsi="Arial"/>
                <w:sz w:val="18"/>
                <w:szCs w:val="18"/>
                <w:color w:val="auto"/>
              </w:rPr>
              <w:t>Numerator for basic and diluted EPS – net loss attributable to</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(36,906)</w:t>
            </w:r>
          </w:p>
        </w:tc>
        <w:tc>
          <w:tcPr>
            <w:tcW w:w="100" w:type="dxa"/>
            <w:vAlign w:val="bottom"/>
          </w:tcPr>
          <w:p>
            <w:pPr>
              <w:spacing w:after="0"/>
              <w:rPr>
                <w:sz w:val="13"/>
                <w:szCs w:val="13"/>
                <w:color w:val="auto"/>
              </w:rPr>
            </w:pPr>
          </w:p>
        </w:tc>
        <w:tc>
          <w:tcPr>
            <w:tcW w:w="52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(19,130)</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(92,340)</w:t>
            </w:r>
          </w:p>
        </w:tc>
        <w:tc>
          <w:tcPr>
            <w:tcW w:w="100" w:type="dxa"/>
            <w:vAlign w:val="bottom"/>
          </w:tcPr>
          <w:p>
            <w:pPr>
              <w:spacing w:after="0"/>
              <w:rPr>
                <w:sz w:val="13"/>
                <w:szCs w:val="13"/>
                <w:color w:val="auto"/>
              </w:rPr>
            </w:pPr>
          </w:p>
        </w:tc>
        <w:tc>
          <w:tcPr>
            <w:tcW w:w="52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(78,927)</w:t>
            </w:r>
          </w:p>
        </w:tc>
        <w:tc>
          <w:tcPr>
            <w:tcW w:w="0" w:type="dxa"/>
            <w:vAlign w:val="bottom"/>
          </w:tcPr>
          <w:p>
            <w:pPr>
              <w:spacing w:after="0"/>
              <w:rPr>
                <w:sz w:val="1"/>
                <w:szCs w:val="1"/>
                <w:color w:val="auto"/>
              </w:rPr>
            </w:pPr>
          </w:p>
        </w:tc>
      </w:tr>
      <w:tr>
        <w:trPr>
          <w:trHeight w:val="208"/>
        </w:trPr>
        <w:tc>
          <w:tcPr>
            <w:tcW w:w="5180" w:type="dxa"/>
            <w:vAlign w:val="bottom"/>
          </w:tcPr>
          <w:p>
            <w:pPr>
              <w:ind w:left="360"/>
              <w:spacing w:after="0" w:line="202" w:lineRule="exact"/>
              <w:rPr>
                <w:sz w:val="20"/>
                <w:szCs w:val="20"/>
                <w:color w:val="auto"/>
              </w:rPr>
            </w:pPr>
            <w:r>
              <w:rPr>
                <w:rFonts w:ascii="Arial" w:cs="Arial" w:eastAsia="Arial" w:hAnsi="Arial"/>
                <w:sz w:val="18"/>
                <w:szCs w:val="18"/>
                <w:color w:val="auto"/>
              </w:rPr>
              <w:t>common stockholders</w:t>
            </w:r>
          </w:p>
        </w:tc>
        <w:tc>
          <w:tcPr>
            <w:tcW w:w="28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1"/>
              </w:rPr>
              <w:t>Denominator for basic and diluted EPS – weighted-average shares of</w:t>
            </w: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187,994,437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41,694,762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91,655,461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41,335,411</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shd w:val="clear" w:color="auto" w:fill="CCEEFF"/>
          </w:tcPr>
          <w:p>
            <w:pPr>
              <w:ind w:left="240"/>
              <w:spacing w:after="0" w:line="202" w:lineRule="exact"/>
              <w:rPr>
                <w:sz w:val="20"/>
                <w:szCs w:val="20"/>
                <w:color w:val="auto"/>
              </w:rPr>
            </w:pPr>
            <w:r>
              <w:rPr>
                <w:rFonts w:ascii="Arial" w:cs="Arial" w:eastAsia="Arial" w:hAnsi="Arial"/>
                <w:sz w:val="18"/>
                <w:szCs w:val="18"/>
                <w:color w:val="auto"/>
                <w:w w:val="95"/>
              </w:rPr>
              <w:t>common stock outstanding used in computing net loss per share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Basic and diluted net loss per share attributable to common</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computation of diluted net loss per share attributable to common stockholders for the periods presented due to their anti-dilutive effect as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26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34"/>
        </w:trPr>
        <w:tc>
          <w:tcPr>
            <w:tcW w:w="8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common stock</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16,967,629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14,234,009</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Outstanding convertible preferred stock (Series A and B)</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106,547,383</w:t>
            </w:r>
          </w:p>
        </w:tc>
      </w:tr>
      <w:tr>
        <w:trPr>
          <w:trHeight w:val="248"/>
        </w:trPr>
        <w:tc>
          <w:tcPr>
            <w:tcW w:w="8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anti-dilutive outstanding potential common stock</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16,967,629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120,781,392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8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Valuations based on quoted prices in active markets for identical assets or liabilities that an entity has the ability to access.</w:t>
      </w:r>
    </w:p>
    <w:p>
      <w:pPr>
        <w:spacing w:after="0" w:line="225" w:lineRule="exact"/>
        <w:rPr>
          <w:rFonts w:ascii="Arial" w:cs="Arial" w:eastAsia="Arial" w:hAnsi="Arial"/>
          <w:sz w:val="18"/>
          <w:szCs w:val="18"/>
          <w:b w:val="1"/>
          <w:bCs w:val="1"/>
          <w:color w:val="auto"/>
        </w:rPr>
      </w:pPr>
    </w:p>
    <w:p>
      <w:pPr>
        <w:ind w:left="660" w:hanging="328"/>
        <w:spacing w:after="0" w:line="347"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Valuations based on quoted prices for similar assets or liabilities, quoted prices for identical assets or liabilities in markets that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active, or other inputs that are observable or can be corroborated by observable data for substantially the full term of the assets or liabilities.</w:t>
      </w:r>
    </w:p>
    <w:p>
      <w:pPr>
        <w:spacing w:after="0" w:line="115" w:lineRule="exact"/>
        <w:rPr>
          <w:rFonts w:ascii="Arial" w:cs="Arial" w:eastAsia="Arial" w:hAnsi="Arial"/>
          <w:sz w:val="16"/>
          <w:szCs w:val="16"/>
          <w:color w:val="auto"/>
        </w:rPr>
      </w:pPr>
    </w:p>
    <w:p>
      <w:pPr>
        <w:ind w:left="660" w:hanging="328"/>
        <w:spacing w:after="0" w:line="282" w:lineRule="auto"/>
        <w:tabs>
          <w:tab w:leader="none" w:pos="65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Valuations based on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Liabilities historically valued with Level 3 inputs on a recurring basis are contingent consideration.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 of cash and cash equivalents, accounts receivable, contract assets, contract liabilities and accounts payable approximate their fair value because of the short-term nature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fair value measurement levels during the three and nine months ended September 30,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center"/>
              <w:ind w:right="230"/>
              <w:spacing w:after="0"/>
              <w:rPr>
                <w:sz w:val="20"/>
                <w:szCs w:val="20"/>
                <w:color w:val="auto"/>
              </w:rPr>
            </w:pPr>
            <w:r>
              <w:rPr>
                <w:rFonts w:ascii="Arial" w:cs="Arial" w:eastAsia="Arial" w:hAnsi="Arial"/>
                <w:sz w:val="18"/>
                <w:szCs w:val="18"/>
                <w:b w:val="1"/>
                <w:bCs w:val="1"/>
                <w:color w:val="auto"/>
                <w:w w:val="89"/>
              </w:rPr>
              <w:t>September 30, 2021</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Level 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Level 2</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8"/>
              </w:rPr>
              <w:t>Level 3</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24"/>
        </w:trPr>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2"/>
          </w:tcPr>
          <w:p>
            <w:pPr>
              <w:jc w:val="center"/>
              <w:ind w:left="670"/>
              <w:spacing w:after="0"/>
              <w:rPr>
                <w:sz w:val="20"/>
                <w:szCs w:val="20"/>
                <w:color w:val="auto"/>
              </w:rPr>
            </w:pPr>
            <w:r>
              <w:rPr>
                <w:rFonts w:ascii="Arial" w:cs="Arial" w:eastAsia="Arial" w:hAnsi="Arial"/>
                <w:sz w:val="18"/>
                <w:szCs w:val="18"/>
                <w:i w:val="1"/>
                <w:iCs w:val="1"/>
                <w:color w:val="auto"/>
                <w:w w:val="91"/>
              </w:rPr>
              <w:t>(in thousands)</w:t>
            </w: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53"/>
        </w:trPr>
        <w:tc>
          <w:tcPr>
            <w:tcW w:w="4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32,434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32,434</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673</w:t>
            </w:r>
          </w:p>
        </w:tc>
      </w:tr>
    </w:tbl>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center"/>
              <w:ind w:right="230"/>
              <w:spacing w:after="0"/>
              <w:rPr>
                <w:sz w:val="20"/>
                <w:szCs w:val="20"/>
                <w:color w:val="auto"/>
              </w:rPr>
            </w:pPr>
            <w:r>
              <w:rPr>
                <w:rFonts w:ascii="Arial" w:cs="Arial" w:eastAsia="Arial" w:hAnsi="Arial"/>
                <w:sz w:val="18"/>
                <w:szCs w:val="18"/>
                <w:b w:val="1"/>
                <w:bCs w:val="1"/>
                <w:color w:val="auto"/>
                <w:w w:val="90"/>
              </w:rPr>
              <w:t>December 31, 2020</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Level 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Level 2</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8"/>
              </w:rPr>
              <w:t>Level 3</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24"/>
        </w:trPr>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2"/>
          </w:tcPr>
          <w:p>
            <w:pPr>
              <w:jc w:val="center"/>
              <w:ind w:left="670"/>
              <w:spacing w:after="0"/>
              <w:rPr>
                <w:sz w:val="20"/>
                <w:szCs w:val="20"/>
                <w:color w:val="auto"/>
              </w:rPr>
            </w:pPr>
            <w:r>
              <w:rPr>
                <w:rFonts w:ascii="Arial" w:cs="Arial" w:eastAsia="Arial" w:hAnsi="Arial"/>
                <w:sz w:val="18"/>
                <w:szCs w:val="18"/>
                <w:i w:val="1"/>
                <w:iCs w:val="1"/>
                <w:color w:val="auto"/>
                <w:w w:val="91"/>
              </w:rPr>
              <w:t>(in thousands)</w:t>
            </w: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53"/>
        </w:trPr>
        <w:tc>
          <w:tcPr>
            <w:tcW w:w="4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15,802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15,802</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2,911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2,911</w:t>
            </w:r>
          </w:p>
        </w:tc>
      </w:tr>
    </w:tbl>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opening and closing balance for contingent consideration measured at fair value on a recurring basis using significant unobservable inputs (Level 3) during the nine months ended September 30, 2021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Fair value adjustments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(892)</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settled through payment</w:t>
            </w:r>
          </w:p>
        </w:tc>
        <w:tc>
          <w:tcPr>
            <w:tcW w:w="9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r>
      <w:tr>
        <w:trPr>
          <w:trHeight w:val="223"/>
        </w:trPr>
        <w:tc>
          <w:tcPr>
            <w:tcW w:w="9000" w:type="dxa"/>
            <w:vAlign w:val="bottom"/>
          </w:tcPr>
          <w:p>
            <w:pPr>
              <w:ind w:left="14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r>
      <w:tr>
        <w:trPr>
          <w:trHeight w:val="21"/>
        </w:trPr>
        <w:tc>
          <w:tcPr>
            <w:tcW w:w="9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adjustments made during the nine months ended September 30, 2021 result from adjustments to revenue target forecasts. The gain of $0.9 million for the nine months ended September 30, 2021, is presented in general and administrative expense in the condensed consolidated statements of operations and comprehensive loss.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make estimates and judgments in determining our provision for income taxes for financial statement purposes. These estimates and judgments occur in the calculation of certain tax assets and liabilities that arise from differences in the timing of recognition of revenue and expense for tax and financial statement purposes.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provision for income taxes in interim periods is based on our estimated annual effective tax rate. We record cumulative adjustments in the quarter in which a change in the estimated annual effective rate is determined. The estimated annual effective tax rate calculation does not include the effect of discrete events that may occur during the year. The effect of these events, if any, is recorded in the quarter in which the event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income tax benefit was $1.0 million and $0.6 million for the three months ended September 30, 2021 and 2020, respectively, and $4.2 million and $2.7 million for the nine months ended September 30, 2021 and 2020, respectively. Our effective income tax rate was 2.7% and 9.5% for the three months ended September 30, 2021 and 2020, respectively, and 5.1% and 6.6% for the nine months ended September 30, 2021 and 2020, respectively.</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difference between the effective tax rate and the statutory rate for the three and nine months ended September 30, 2021 was primarily driven by acquisition accounting, exclusion of loss companies from the quarterly tax computation, a Jordanian tax holiday, the accrual of estimated current state taxes and various other discrete items recorded in the three and nine months ended September 30, 2021.</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difference between the effective tax rate and the statutory rate for the three and nine months ended September 30, 2020 was primarily driven by acquisition accounting and the exclusion of loss companies from the quarterly tax computation.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obligated under non-cancelable operating leases for office space and office machines expiring through 2030. Most of these leases include renewal options. Future minimum payments due under the existing lease agreements are as follows as of September 30, 2021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three months)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7,594</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4,965</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17,256</w:t>
            </w:r>
          </w:p>
        </w:tc>
      </w:tr>
      <w:tr>
        <w:trPr>
          <w:trHeight w:val="248"/>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future minimum payments due</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43,178</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the condensed consolidated statements of operations and comprehensive loss is total rent expense of approximately $2.5 million and $1.7 million for the three months ended September 30, 2021 and 2020, respectively, and $7.1 million and $6.8 million for the nine months ended September 30, 2021 and 2020, respectively.</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From time to time, the Company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assesses the applicability of nexus in jurisdictions in which the Company sells products and services. As of September 30, 2021 and December 31, 2020, the Company recorded a liability in the amount of $10.0 million and $8.3 million, respectively, within other long-term liabilities as a provision for sales and use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Note 16. Geographic Areas</w:t>
            </w: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6700" w:type="dxa"/>
            <w:vAlign w:val="bottom"/>
          </w:tcPr>
          <w:p>
            <w:pPr>
              <w:spacing w:after="0"/>
              <w:rPr>
                <w:sz w:val="20"/>
                <w:szCs w:val="20"/>
                <w:color w:val="auto"/>
              </w:rPr>
            </w:pPr>
            <w:r>
              <w:rPr>
                <w:rFonts w:ascii="Arial" w:cs="Arial" w:eastAsia="Arial" w:hAnsi="Arial"/>
                <w:sz w:val="18"/>
                <w:szCs w:val="18"/>
                <w:color w:val="auto"/>
              </w:rPr>
              <w:t>The following table sets forth long-lived assets by geographic area as of:</w:t>
            </w: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4"/>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Pr>
          <w:p>
            <w:pPr>
              <w:spacing w:after="0"/>
              <w:rPr>
                <w:sz w:val="24"/>
                <w:szCs w:val="24"/>
                <w:color w:val="auto"/>
              </w:rPr>
            </w:pPr>
          </w:p>
        </w:tc>
        <w:tc>
          <w:tcPr>
            <w:tcW w:w="1700" w:type="dxa"/>
            <w:vAlign w:val="bottom"/>
          </w:tcPr>
          <w:p>
            <w:pPr>
              <w:jc w:val="right"/>
              <w:ind w:right="4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24"/>
        </w:trPr>
        <w:tc>
          <w:tcPr>
            <w:tcW w:w="6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Pr>
          <w:p>
            <w:pPr>
              <w:spacing w:after="0"/>
              <w:rPr>
                <w:sz w:val="19"/>
                <w:szCs w:val="19"/>
                <w:color w:val="auto"/>
              </w:rPr>
            </w:pPr>
          </w:p>
        </w:tc>
      </w:tr>
      <w:tr>
        <w:trPr>
          <w:trHeight w:val="53"/>
        </w:trPr>
        <w:tc>
          <w:tcPr>
            <w:tcW w:w="6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34,053</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2,719</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2,697</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November 2, 2021, the Company entered into an agreement to acquire 100% of the interest of DrChrono Inc., a software and digital billing service platform supporting physician-customer’s with practice management and revenue cycle management, for approximately $182.5 million. The transaction will close following all pending legal and regulatory matters being successfully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Unless the context requires otherwise, references in this report to "EverCommerce Inc.,"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final prospectus for our initial public offering of our common stock (“IPO”) dated as of June 30, 2021 and filed with the SEC pursuant to Rule 424(b)(4) on July 6, 2021 (the “Prospectus”). Additionally, our historical results are not necessarily indicative of the results that may be expected for any period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Today, we serve over 500,000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and wellness. Our platform provides vertically-tailored SaaS solutions that address service SMBs’ increasingly specialized demands, as well as highly complementary solutions that complete end-to-end offerings, allowing service SMBs and EverCommerce to succeed in the market, and provide end consumers more convenient service experiences.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focus on addressing how service SMBs market their services, streamline operations, and retain and engage their customers.</w:t>
      </w:r>
    </w:p>
    <w:p>
      <w:pPr>
        <w:spacing w:after="0" w:line="200" w:lineRule="exact"/>
        <w:rPr>
          <w:sz w:val="20"/>
          <w:szCs w:val="20"/>
          <w:color w:val="auto"/>
        </w:rPr>
      </w:pPr>
    </w:p>
    <w:p>
      <w:pPr>
        <w:jc w:val="both"/>
        <w:ind w:left="500" w:hanging="168"/>
        <w:spacing w:after="0" w:line="266" w:lineRule="auto"/>
        <w:tabs>
          <w:tab w:leader="none" w:pos="49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Business Management Software: </w:t>
      </w:r>
      <w:r>
        <w:rPr>
          <w:rFonts w:ascii="Arial" w:cs="Arial" w:eastAsia="Arial" w:hAnsi="Arial"/>
          <w:sz w:val="16"/>
          <w:szCs w:val="16"/>
          <w:color w:val="auto"/>
        </w:rPr>
        <w:t>Our vertically-tailored Business Management Software is the system of action at the center of a service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 and is typically the point-of-entry and first solution adopted by a customer. Our software, designed for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183" w:lineRule="exact"/>
        <w:rPr>
          <w:rFonts w:ascii="Arial" w:cs="Arial" w:eastAsia="Arial" w:hAnsi="Arial"/>
          <w:sz w:val="16"/>
          <w:szCs w:val="16"/>
          <w:color w:val="auto"/>
        </w:rPr>
      </w:pPr>
    </w:p>
    <w:p>
      <w:pPr>
        <w:jc w:val="both"/>
        <w:ind w:left="500" w:hanging="168"/>
        <w:spacing w:after="0" w:line="242" w:lineRule="auto"/>
        <w:tabs>
          <w:tab w:leader="none" w:pos="49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Billing &amp; Payment Solutions: </w:t>
      </w:r>
      <w:r>
        <w:rPr>
          <w:rFonts w:ascii="Arial" w:cs="Arial" w:eastAsia="Arial" w:hAnsi="Arial"/>
          <w:sz w:val="17"/>
          <w:szCs w:val="17"/>
          <w:color w:val="auto"/>
        </w:rPr>
        <w:t>Our Billing &amp; Payment Solutions provide integrated payments, billing and invoicing automation, and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and analytics. Our omni-channel payments capabilities include point-of-sale (“POS”), eCommerce, online bill payments, recurring billing, electronic invoicing, and mobile payments. Supported payment types include credit card, debit card and ACH processing. Our payments platform also provides a full suite of service commerce features, including customer management as well as cash flow reporting and analytics. These value-add features help SMBs to ensure more timely billing and payments collection and provide improved cash flow visibility.</w:t>
      </w:r>
    </w:p>
    <w:p>
      <w:pPr>
        <w:spacing w:after="0" w:line="202" w:lineRule="exact"/>
        <w:rPr>
          <w:rFonts w:ascii="Arial" w:cs="Arial" w:eastAsia="Arial" w:hAnsi="Arial"/>
          <w:sz w:val="17"/>
          <w:szCs w:val="17"/>
          <w:color w:val="auto"/>
        </w:rPr>
      </w:pPr>
    </w:p>
    <w:p>
      <w:pPr>
        <w:jc w:val="both"/>
        <w:ind w:left="500" w:hanging="168"/>
        <w:spacing w:after="0" w:line="228"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Engagement Applications: </w:t>
      </w:r>
      <w:r>
        <w:rPr>
          <w:rFonts w:ascii="Arial" w:cs="Arial" w:eastAsia="Arial" w:hAnsi="Arial"/>
          <w:sz w:val="18"/>
          <w:szCs w:val="18"/>
          <w:color w:val="auto"/>
        </w:rPr>
        <w:t>Our Customer Engagement Applications modernize how businesses engage and interact with customers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leveraging 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voice-of-the-customer insights and manage the customer experience lifecycle. These applications include: customer health scoring, customer support systems, real-time alerts,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500" w:right="20"/>
        <w:spacing w:after="0" w:line="235" w:lineRule="auto"/>
        <w:rPr>
          <w:sz w:val="20"/>
          <w:szCs w:val="20"/>
          <w:color w:val="auto"/>
        </w:rPr>
      </w:pPr>
      <w:r>
        <w:rPr>
          <w:rFonts w:ascii="Arial" w:cs="Arial" w:eastAsia="Arial" w:hAnsi="Arial"/>
          <w:sz w:val="18"/>
          <w:szCs w:val="18"/>
          <w:color w:val="auto"/>
        </w:rPr>
        <w:t>NPS-based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202" w:lineRule="exact"/>
        <w:rPr>
          <w:sz w:val="20"/>
          <w:szCs w:val="20"/>
          <w:color w:val="auto"/>
        </w:rPr>
      </w:pPr>
    </w:p>
    <w:p>
      <w:pPr>
        <w:jc w:val="both"/>
        <w:ind w:left="500" w:hanging="168"/>
        <w:spacing w:after="0"/>
        <w:tabs>
          <w:tab w:leader="none" w:pos="49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Technology Solutions: </w:t>
      </w:r>
      <w:r>
        <w:rPr>
          <w:rFonts w:ascii="Arial" w:cs="Arial" w:eastAsia="Arial" w:hAnsi="Arial"/>
          <w:sz w:val="17"/>
          <w:szCs w:val="17"/>
          <w:color w:val="auto"/>
        </w:rPr>
        <w:t>Our Marketing Technology Solutions work with our Customer Engagement Applications to help customers build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businesses by invigorating marketing 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go to market with suites of solutions that are aligned to our three core verticals: (1) the EverPro suite of solutions in Home Services; (2) the EverHealth suite of solutions within Health Services; and (3) the EverWell suite of solutions in Fitness &amp; Wellness Services.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spacing w:after="0" w:line="190" w:lineRule="exact"/>
        <w:rPr>
          <w:sz w:val="20"/>
          <w:szCs w:val="20"/>
          <w:color w:val="auto"/>
        </w:rPr>
      </w:pPr>
    </w:p>
    <w:p>
      <w:pPr>
        <w:jc w:val="both"/>
        <w:ind w:left="660" w:hanging="328"/>
        <w:spacing w:after="0" w:line="242"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Subscription and Transaction Fees revenue includes: (i) recurring monthly, quarterly and annual SaaS subscriptions and software license and maintenance fees from the sale of our Business Management, Customer Engagement,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w:t>
      </w:r>
    </w:p>
    <w:p>
      <w:pPr>
        <w:spacing w:after="0" w:line="202" w:lineRule="exact"/>
        <w:rPr>
          <w:rFonts w:ascii="Arial" w:cs="Arial" w:eastAsia="Arial" w:hAnsi="Arial"/>
          <w:sz w:val="17"/>
          <w:szCs w:val="17"/>
          <w:color w:val="auto"/>
        </w:rPr>
      </w:pPr>
    </w:p>
    <w:p>
      <w:pPr>
        <w:jc w:val="both"/>
        <w:ind w:left="660" w:right="20" w:hanging="328"/>
        <w:spacing w:after="0" w:line="23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Technology Solutions revenue includes: (i) recurring revenues for managing digital advertising programs on behalf of our customers including website hosting, search engine management and optimization, social media management and blog automation; and (ii) re-occurring fees paid by service professionals for consumer leads generated by our various platforms.</w:t>
      </w:r>
    </w:p>
    <w:p>
      <w:pPr>
        <w:spacing w:after="0" w:line="201"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revenue includes: (i) consulting, implementation, training and other professional services; (ii) website development; (iii) revenue from various business development partnerships; (iv) event income; and (v) hardware sales related to our business management or payment software solutions.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benefits from attractive unit economics. Approximately 95% of our revenue in the nine months ended September 30, 2021 and the year ended December 31, 2020 was recurring or re-occurring, and we maintained a stable average monthly net pro forma revenue retention rate of 99% or more in each of the last 8 -quarters.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calculation of net pro forma revenue retention rate remains consistent with prior periods. This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acquire companies to deepen our competitive moats in existing verticals, and enter new verticals and geographies. We have acquired 51 companies since our inception, including 9 in 2020 and 4 in 2021 as of October 31, 2021. We have an established framework for identification, execution, integration, and onboarding of targets, which leverages our significant acquisition experience and utilizes internal criteria for evaluating acquisition candidates and prospective businesses. We have developed and refined our internal criteria over time with our acquisitions, which has helped us to more readily identify attractive and complementary targets that can be efficiently onboarded.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4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July 6, 2021, we completed our IPO which resulted in the issuance and sale of 19,117,648 shares of common stock at the IPO price of $17.00 generating net proceeds of $303.9 million after deducting underwriting discounts. Additionally, we incurred other IPO related fees of $6.9 million. On July 29, 2021, the underwriters of our IPO fully exercised their over-allotment option, resulting in the sale of an additional 2.8 million shares at the IPO price of $17.00 per share and after underwriter discounts, net proceeds were $43.9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July 6, 2021 we sold 4,411,764 shares of our common stock to entities affiliated with Silver Lake in a private placement at a purchase price equal to the IPO price of $17.00 per share of common stock for net proceeds of $75.0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COVID-19 pandemic has caused economies, businesses, markets and communities around the globe to be disrupted, and in many cases, shut-down. In the interest of public health, many governments closed physical stores and business locations deemed to be non-essential, which has caused increasing unemployment levels and businesses to permanently close. Many SMBs have been adversely impacted by the COVID-19 pandemic, and as a result, certain of our business operations were negatively impacted, while others have benefited from customers shifting to technology-focused, digital-first business models. A McKinsey survey from October 2020 revealed that global business executives have accelerated the digitization of their customer and supply-chain interactions by as much as three to four years. Although we cannot predict when the United States and global economy will fully recover from the COVID-19 pandemic, we believe that our business is well positioned to be a partner-of-choice for new customers, to capitalize on the growing trend of digital transformation, and to benefit from the revival of the SMB economy. Nevertheless, we do not have certainty that a full economic recovery will happen in the near future, and it is possible that the prolonging of the COVID-19 pandemic will adversely affect our business, financial condition, and results of operations. For more information regarding the potential impact of the COVID-19 pandemic on our business, refer to Part II. Item 1A. “Risk Factors—Risks Related to our Business—The outbreak of the novel strain of coronavirus disease has impacted, and a future pandemic, epidemic or outbreak of an infectious disease in the United States could impact, our business, financial condition and results of operations, as well as the business or operations of third parties with whom we conduct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Operations</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March 2020, in compliance with the local, state and federal government regulations, we transitioned our worldwide workforce and operations to a remote, work-from-home setting, with the exception of certain customer support personnel. We quickly developed a plan of action, supplied our employees with the necessary equipment and tools, and while we have started to return a portion of our workforce to physical locations, we have retained functionality and practices to be able to work remotely as needed. Additionally, in the second quarter of 2020 we completed a reduction in our workforce. We do not believe remote operations or the impact from our reduction in workforce have significantly impacted productivity of our workforce.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Financial Performance</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COVID-19 pandemic negatively impacted our financial performance in first half of 2020 due to the adverse impact the pandemic had on certain service SMBs. However, given the diversification of our business, the financial impact was primarily limited to declines in revenue attributable to customers in the fitness and wellness and health services verticals. In the three months ended June 30, 2020, our revenue declined 4.7% sequentially from the three months ended March 31, 2020, excluding the impact of acquisitions closed in the first and second quarters of 2020. As our customers resumed operations throughout the second half of 2020, our revenue increased. In the three months ended September 30, 2020, our revenue grew 11.9% sequentially from the three months ended June 30, 2020, excluding the impact of acquisitions closing in the second and third quarters of 2020. Our revenue growth has continued as the impact of the pandemic has lessened and many service SMBs have resumed operations. Our sequential revenue growth was 3.4% in the three months ended September 30, 2021 compared to the three months ended June 30, 2021, excluding the impact of acquisitions closed during the third quarter of 2021. In the three months ended September 30, 2021, our revenue increased 17.7% compared to the three months ended September 30, 2020, excluding the impact of all acquisitions closed subsequent to June 30, 2020.</w:t>
      </w:r>
    </w:p>
    <w:p>
      <w:pPr>
        <w:spacing w:after="0" w:line="20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the second quarter of 2020 we proactively responded to the significant uncertainty around the severity and duration of the COVID-19 pandemic, including a reduction in workforce. Additionally, we reduced other operating expenses to maintain current levels of profitability and cash flow. As restrictions started to lift throughout 2020 and 2021 we have seen slight improvements in the sale of our solutions to health service professionals, but we have continued to see impacts from COVID-19 on sales to our customers in the fitness and wellness vertical.</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Given the impacts of COVID-19 continue to rapidly evolve, the extent to which COVID-19 may further impact our financial condition, results of operations, or liquidity continues to be uncertain and difficult to predict.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trends continue to vary by vertical and specific solutions, depending primarily on differences in the timing and phases of re-openings. Our priority remains the safety of our employees, customers and the communities in which we live and operate. We continue to remain in close and regular contact with our employees, customers, business partners and communities to help navigate these challenging times.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For discussion of these factors, please see “Key Factors Affecting Our Performance” in the Management’s Discussion and Analysis section of our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to our results and measures of performance determined in accordance with GAAP, we believe the following key business and non-GAAP financial measures are useful in evaluating and comparing our financial and operational performance over multiple periods, identifying trends affecting our business, formulating business plans and making strategic decisions.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Revenue Growth Rate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 Forma Revenue Growth Rate is a key performance measure that our management uses to assess our consolidated operating performance over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Management also uses this metric for planning and forecasting purposes.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year-over-year Pro Forma Revenue Growth Rate is calculated as though all acquisitions closed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to our results of operations, and then calculate our revenue growth rate between the two reported periods. As a result, Pro Forma Revenue Growth Rate includes pro forma revenue from businesses acquired during the period, including revenue generated during periods when we did not yet own the acquired businesses. In including such pre-acquisition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This metric is particularly useful to management due to the number of acquired entities.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the economy has continued to reopen and additional local, state and federal restrictions have been scaled back, our Pro Forma Revenue Growth Rate has continued to increase.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8"/>
                <w:szCs w:val="18"/>
                <w:color w:val="auto"/>
              </w:rPr>
            </w:pPr>
          </w:p>
        </w:tc>
        <w:tc>
          <w:tcPr>
            <w:tcW w:w="22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Three Months Ended</w:t>
            </w:r>
          </w:p>
        </w:tc>
        <w:tc>
          <w:tcPr>
            <w:tcW w:w="17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Nine Months Ended</w:t>
            </w:r>
          </w:p>
        </w:tc>
      </w:tr>
      <w:tr>
        <w:trPr>
          <w:trHeight w:val="229"/>
        </w:trPr>
        <w:tc>
          <w:tcPr>
            <w:tcW w:w="7280" w:type="dxa"/>
            <w:vAlign w:val="bottom"/>
          </w:tcPr>
          <w:p>
            <w:pPr>
              <w:spacing w:after="0"/>
              <w:rPr>
                <w:sz w:val="19"/>
                <w:szCs w:val="19"/>
                <w:color w:val="auto"/>
              </w:rPr>
            </w:pPr>
          </w:p>
        </w:tc>
        <w:tc>
          <w:tcPr>
            <w:tcW w:w="22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September 30,</w:t>
            </w:r>
          </w:p>
        </w:tc>
        <w:tc>
          <w:tcPr>
            <w:tcW w:w="1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7280" w:type="dxa"/>
            <w:vAlign w:val="bottom"/>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760" w:type="dxa"/>
            <w:vAlign w:val="bottom"/>
            <w:tcBorders>
              <w:bottom w:val="single" w:sz="8" w:color="auto"/>
            </w:tcBorders>
          </w:tcPr>
          <w:p>
            <w:pPr>
              <w:spacing w:after="0"/>
              <w:rPr>
                <w:sz w:val="19"/>
                <w:szCs w:val="19"/>
                <w:color w:val="auto"/>
              </w:rPr>
            </w:pPr>
          </w:p>
        </w:tc>
      </w:tr>
      <w:tr>
        <w:trPr>
          <w:trHeight w:val="34"/>
        </w:trPr>
        <w:tc>
          <w:tcPr>
            <w:tcW w:w="7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 Growth Rate</w:t>
            </w:r>
          </w:p>
        </w:tc>
        <w:tc>
          <w:tcPr>
            <w:tcW w:w="2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20.0 %</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23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calculate Adjusted Gross Profit as gross profit (as defined below) adjusted to exclude depreciation and amortization allocated to cost of revenues. Adjusted Gross Profit should be viewed as a measure of operating performance that is a supplement to, and not a substitute for, operating income or loss, net earnings or loss and other GAAP measures of income (loss) or profitability. The following table presents a reconciliation of gross profit, the most directly comparable financial measure calculated in accordance with GAAP, to Adjusted Gross Profit on a consolidated basis.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Nine Months Ended</w:t>
            </w:r>
          </w:p>
        </w:tc>
        <w:tc>
          <w:tcPr>
            <w:tcW w:w="360" w:type="dxa"/>
            <w:vAlign w:val="bottom"/>
          </w:tcPr>
          <w:p>
            <w:pPr>
              <w:spacing w:after="0"/>
              <w:rPr>
                <w:sz w:val="17"/>
                <w:szCs w:val="17"/>
                <w:color w:val="auto"/>
              </w:rPr>
            </w:pPr>
          </w:p>
        </w:tc>
      </w:tr>
      <w:tr>
        <w:trPr>
          <w:trHeight w:val="230"/>
        </w:trPr>
        <w:tc>
          <w:tcPr>
            <w:tcW w:w="4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4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9"/>
                <w:szCs w:val="19"/>
                <w:color w:val="auto"/>
              </w:rPr>
            </w:pPr>
          </w:p>
        </w:tc>
      </w:tr>
      <w:tr>
        <w:trPr>
          <w:trHeight w:val="224"/>
        </w:trPr>
        <w:tc>
          <w:tcPr>
            <w:tcW w:w="4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gridSpan w:val="3"/>
          </w:tcPr>
          <w:p>
            <w:pPr>
              <w:jc w:val="right"/>
              <w:ind w:right="10"/>
              <w:spacing w:after="0"/>
              <w:rPr>
                <w:sz w:val="20"/>
                <w:szCs w:val="20"/>
                <w:color w:val="auto"/>
              </w:rPr>
            </w:pPr>
            <w:r>
              <w:rPr>
                <w:rFonts w:ascii="Arial" w:cs="Arial" w:eastAsia="Arial" w:hAnsi="Arial"/>
                <w:sz w:val="18"/>
                <w:szCs w:val="18"/>
                <w:i w:val="1"/>
                <w:iCs w:val="1"/>
                <w:color w:val="auto"/>
              </w:rPr>
              <w:t>(in thousands)</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53"/>
        </w:trPr>
        <w:tc>
          <w:tcPr>
            <w:tcW w:w="4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29"/>
        </w:trPr>
        <w:tc>
          <w:tcPr>
            <w:tcW w:w="4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80,327</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56,062</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(3)</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220,493</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(4)</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148,641</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(5)</w:t>
            </w: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3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14,509</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w:t>
            </w:r>
          </w:p>
        </w:tc>
        <w:tc>
          <w:tcPr>
            <w:tcW w:w="360" w:type="dxa"/>
            <w:vAlign w:val="bottom"/>
            <w:tcBorders>
              <w:bottom w:val="single" w:sz="8" w:color="CCEEFF"/>
            </w:tcBorders>
          </w:tcPr>
          <w:p>
            <w:pPr>
              <w:spacing w:after="0"/>
              <w:rPr>
                <w:sz w:val="19"/>
                <w:szCs w:val="19"/>
                <w:color w:val="auto"/>
              </w:rPr>
            </w:pPr>
          </w:p>
        </w:tc>
      </w:tr>
      <w:tr>
        <w:trPr>
          <w:trHeight w:val="248"/>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Adjusted gross profit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85,576</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59,671</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235,002</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159,149</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hanging="328"/>
        <w:spacing w:after="0" w:line="258"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is calculated as total revenues less cost of revenues (exclusive of depreciation and amortization), amortization of developed technology, amortization of capitalized software and depreciation expense (allocated to cost of revenues).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three months ended September 30, 2021, gross profit represents total revenues of $128.5 million less cost of revenues (exclusive of depreciation and amortization) of $43.0 million, amortization of developed technology of $4.0 million, amortization of capitalized software of $0.8 million and depreciation expense (allocated to cost of revenues) of $0.4 million.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three months ended September 30, 2020, gross profit represents total revenues of $89.2 million less cost of revenues (exclusive of depreciation and amortization) of $29.5 million, amortization of developed technology of $2.6 million, amortization of capitalized software of $0.6 million and depreciation expense (allocated to cost of revenues) of $0.4 million.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nine months ended September 30, 2021, gross profit represents total revenues of $354.5 million less cost of revenues (exclusive of depreciation and amortization) of $119.5 million, amortization of developed technology of $10.9 million, amortization of capitalized software of $2.4 million and depreciation expense (allocated to cost of revenues) of $1.2 million.</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nine months ended September 30, 2020, gross profit represents total revenues of $245.5 million less cost of revenues (exclusive of depreciation and amortization) of $86.4 million, amortization of developed technology of $7.8 million, amortization of capitalized software of $1.7 million and depreciation expense (allocated to cost of revenues) of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and/or different forms of employee compensation.</w:t>
      </w:r>
    </w:p>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Adjusted EBITDA is used by our management team as an additional measure of our performance for purposes of business decision-making, including managing expenditures, and evaluating potential acquisitions. Period-to-period comparisons of Adjusted EBITDA help our management identify additional trends in our financial results that may not be shown solely by period-to-period comparisons of net income or income from continuing operations. In addition, we may use Adjusted EBITDA in the incentive compensation programs applicable to some of our employees. Our Management recognizes that Adjusted EBITDA has inherent limitations because of the excluded items, and may not be directly comparable to similarly titled metrics used by other companies.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calculate Adjusted EBITDA as net income (loss) adjusted to exclude interest and other expense, net, income tax benefit, loss on debt extinguishment, depreciation and amortization, other amortization, acquisition related costs, stock-based compensation, and other non-recurring costs. Other amortization includes amortization for capitalized contract acquisition costs. Acquisition related costs are specific deal-related costs such as legal fees, financial and tax due diligence, consulting and escrow fees. Other non-recurring costs are expenses such as system implementation costs and severance related to planned restructuring activities. Acquisition related costs and other non-recurring costs are excluded as they are not representative of our underlying operating performance. Adjusted EBITDA should be viewed as a measure of operating performance that is a supplement to, and not a substitute for, operating income or loss, net earnings or loss and other GAAP measures of income (loss). The following table presents a reconciliation of net loss, the most directly comparable financial measure calculated in accordance with GAAP, to Adjusted EBITDA on a consolidated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4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24"/>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53"/>
        </w:trPr>
        <w:tc>
          <w:tcPr>
            <w:tcW w:w="5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(39,031)</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and other expense,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30,653</w:t>
            </w: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(2,748)</w:t>
            </w:r>
          </w:p>
        </w:tc>
      </w:tr>
      <w:tr>
        <w:trPr>
          <w:trHeight w:val="229"/>
        </w:trPr>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55,300</w:t>
            </w:r>
          </w:p>
        </w:tc>
      </w:tr>
      <w:tr>
        <w:trPr>
          <w:trHeight w:val="230"/>
        </w:trPr>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Acquisition related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4,522</w:t>
            </w:r>
          </w:p>
        </w:tc>
      </w:tr>
      <w:tr>
        <w:trPr>
          <w:trHeight w:val="229"/>
        </w:trPr>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r>
      <w:tr>
        <w:trPr>
          <w:trHeight w:val="230"/>
        </w:trPr>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non-recurring costs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r>
      <w:tr>
        <w:trPr>
          <w:trHeight w:val="248"/>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from the sale of distinct professional services and hardware. Our revenue recognition policies are discussed in more detail under “Critical Accounting Policies and Significant Judgments and Estimates.”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Subscription and Transaction Fees</w:t>
      </w:r>
      <w:r>
        <w:rPr>
          <w:rFonts w:ascii="Arial" w:cs="Arial" w:eastAsia="Arial" w:hAnsi="Arial"/>
          <w:sz w:val="17"/>
          <w:szCs w:val="17"/>
          <w:color w:val="auto"/>
        </w:rPr>
        <w:t>: Revenue includes (i) recurring monthly, quarterly and annual SaaS subscriptions and software license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fees from the sale of our Business Management, Customer Engagement,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Marketing Technology Solutions: </w:t>
      </w:r>
      <w:r>
        <w:rPr>
          <w:rFonts w:ascii="Arial" w:cs="Arial" w:eastAsia="Arial" w:hAnsi="Arial"/>
          <w:sz w:val="18"/>
          <w:szCs w:val="18"/>
          <w:color w:val="auto"/>
        </w:rPr>
        <w:t>Revenue includes (i) recurring revenues for managing digital advertising programs on behalf of our customers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hosting, search engine management and optimization, social media management and blog automation; and (ii) re-occurring fees paid by service professionals for consumer leads generated by our various platforms.</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Revenue includes (i) consulting, implementation, training and other professional services; (ii) website development; (iii) revenue from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development partnerships; (iv) event income; and (v) hardware sales related to our business management or payment software solutions.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Cost of revenue (exclusive of depreciation and amortization) consists primarily of employee costs for our customer success teams, media expense related to our lead generation solutions, campaign mail expense, contract services, hosting costs, partnership costs and promotional costs.</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In particular, marketing technology solutions revenue generally has a higher cost of revenue as a percentage of revenue than our subscription and transaction fee revenue. For the three and nine months ended September 30, 2021, revenue from subscription and transaction fees increased 52.9% and 49.7%, respectively, compared to the three and nine months ended September 30, 2020, whereas marketing technology solutions revenue increased 29.8% and 41.8%, respectively. To the extent our marketing technology solutions revenue grows at a faster rate, whether by acquisition or otherwise, than our subscription and transaction fees revenue, it could negatively impact our cost of revenues as a percentage of revenue.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3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Sales and marketing expense consist primarily of employee costs for our sales and marketing personnel, including salaries, benefits, bonuses,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sales and marketing expenses will increase on an absolute dollar basis for the foreseeable future as we continue to increase investments to support our growth. We also anticipate that sales and marketing expenses will increase as a percentage of revenue in the near and medium-term.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3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Product development expense consists primarily of employee costs for our product development, including salaries, benefits,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remain generally consistent as a percentage of revenue for the foreseeable future as we continue to dedicate substantial resources to develop, improve and expand the functionality of our solutions.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as we continue to increase investments to support our growth and as a result of increased costs as a result of becoming a public company. We also anticipate that general and administrative expenses will increase as a percentage of revenue in the near and medium-term. As we are able to further scale our operations in the future, we would expect that general and administrative expenses would decrease as a percentage of revenue.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primarily relate to intangible assets, property and equipment, and capitalized software.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expense, net, primarily consists of interest expense on long-term debt. It also includes amortization expense of financing costs and discounts, as well as realized and unrealized gains and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on debt extinguishment represents the difference between the amount paid to extinguish the debt and the carrying value of the debt, inclusive of the write-off of previously deferred financing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benefit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summarize key components of our results of operations for the periods presented. The period-to-period comparisons of our historical results are not necessarily indicative of the results that may be expected in the future. We operate as a single reportable segment to reflect the way our chief operating decision maker (“CODM”) reviews and assesses the performance of our business. For additional information concerning our accounting policies, see Note 2 to our consolidated financial statements for the year ended December 31, 2020 included in our Prospectus.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Acquisitions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comparability of our operating results is impacted by our business combinations and acquisitions. In our discussion of changes in our results of operations for the three and nine months ended September 30, 2021 compared to the three and nine months ended September 30, 2020, respectively, we quantitatively disclose the impact of the growth in certain of our revenues where such discussions would be meaningful. Expense contributions from our recent acquisitions for each of the respective period comparisons generally were not separately identifiable due to the integration of these businesses into our existing operations, and as such the discussion is focused on major changes in components of costs.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24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24"/>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53"/>
        </w:trPr>
        <w:tc>
          <w:tcPr>
            <w:tcW w:w="5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91,788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60,017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252,119</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168,413</w:t>
            </w:r>
          </w:p>
        </w:tc>
      </w:tr>
      <w:tr>
        <w:trPr>
          <w:trHeight w:val="230"/>
        </w:trPr>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technology solutions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62,738</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14,370</w:t>
            </w:r>
          </w:p>
        </w:tc>
      </w:tr>
      <w:tr>
        <w:trPr>
          <w:trHeight w:val="22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245,521</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20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(exclusive of 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presented separately below)</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86,372</w:t>
            </w:r>
          </w:p>
        </w:tc>
      </w:tr>
      <w:tr>
        <w:trPr>
          <w:trHeight w:val="230"/>
        </w:trPr>
        <w:tc>
          <w:tcPr>
            <w:tcW w:w="5200" w:type="dxa"/>
            <w:vAlign w:val="bottom"/>
          </w:tcPr>
          <w:p>
            <w:pPr>
              <w:ind w:left="1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36,305</w:t>
            </w:r>
          </w:p>
        </w:tc>
      </w:tr>
      <w:tr>
        <w:trPr>
          <w:trHeight w:val="229"/>
        </w:trPr>
        <w:tc>
          <w:tcPr>
            <w:tcW w:w="5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Product development</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22,282</w:t>
            </w:r>
          </w:p>
        </w:tc>
      </w:tr>
      <w:tr>
        <w:trPr>
          <w:trHeight w:val="230"/>
        </w:trPr>
        <w:tc>
          <w:tcPr>
            <w:tcW w:w="5200" w:type="dxa"/>
            <w:vAlign w:val="bottom"/>
          </w:tcPr>
          <w:p>
            <w:pPr>
              <w:ind w:left="10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79,796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56,388</w:t>
            </w:r>
          </w:p>
        </w:tc>
      </w:tr>
      <w:tr>
        <w:trPr>
          <w:trHeight w:val="230"/>
        </w:trPr>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55,300</w:t>
            </w:r>
          </w:p>
        </w:tc>
      </w:tr>
      <w:tr>
        <w:trPr>
          <w:trHeight w:val="223"/>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375,931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256,647</w:t>
            </w:r>
          </w:p>
        </w:tc>
      </w:tr>
      <w:tr>
        <w:trPr>
          <w:trHeight w:val="22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(11,126)</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(30,653)</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Net loss before income tax benefit</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(37,928)</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(81,417)</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(41,779)</w:t>
            </w: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r>
      <w:tr>
        <w:trPr>
          <w:trHeight w:val="223"/>
        </w:trPr>
        <w:tc>
          <w:tcPr>
            <w:tcW w:w="5200" w:type="dxa"/>
            <w:vAlign w:val="bottom"/>
          </w:tcPr>
          <w:p>
            <w:pPr>
              <w:ind w:left="56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(77,235)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(39,031)</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3"/>
          </w:tcPr>
          <w:p>
            <w:pPr>
              <w:ind w:left="340"/>
              <w:spacing w:after="0"/>
              <w:rPr>
                <w:sz w:val="20"/>
                <w:szCs w:val="20"/>
                <w:color w:val="auto"/>
              </w:rPr>
            </w:pPr>
            <w:r>
              <w:rPr>
                <w:rFonts w:ascii="Arial" w:cs="Arial" w:eastAsia="Arial" w:hAnsi="Arial"/>
                <w:sz w:val="18"/>
                <w:szCs w:val="18"/>
                <w:color w:val="auto"/>
              </w:rPr>
              <w:t>(1) Includes stock-based compensation expense as follows: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9"/>
          </w:tcPr>
          <w:p>
            <w:pPr>
              <w:ind w:left="240"/>
              <w:spacing w:after="0" w:line="202" w:lineRule="exact"/>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gridSpan w:val="7"/>
          </w:tcPr>
          <w:p>
            <w:pPr>
              <w:jc w:val="right"/>
              <w:ind w:right="1260"/>
              <w:spacing w:after="0" w:line="202" w:lineRule="exact"/>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gridSpan w:val="9"/>
          </w:tcPr>
          <w:p>
            <w:pPr>
              <w:ind w:left="50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7"/>
          </w:tcPr>
          <w:p>
            <w:pPr>
              <w:jc w:val="right"/>
              <w:ind w:right="14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6"/>
          </w:tcPr>
          <w:p>
            <w:pPr>
              <w:jc w:val="right"/>
              <w:ind w:right="670"/>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4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650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96"/>
              </w:rPr>
              <w:t>Comparison of the three and nine months ended September 30, 2021 and 2020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9"/>
          </w:tcPr>
          <w:p>
            <w:pPr>
              <w:jc w:val="center"/>
              <w:ind w:right="120"/>
              <w:spacing w:after="0" w:line="202" w:lineRule="exact"/>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4"/>
            <w:vMerge w:val="restart"/>
          </w:tcPr>
          <w:p>
            <w:pPr>
              <w:jc w:val="right"/>
              <w:ind w:right="1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Amount</w:t>
            </w:r>
          </w:p>
        </w:tc>
        <w:tc>
          <w:tcPr>
            <w:tcW w:w="15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6"/>
          </w:tcPr>
          <w:p>
            <w:pPr>
              <w:jc w:val="right"/>
              <w:ind w:right="30"/>
              <w:spacing w:after="0"/>
              <w:rPr>
                <w:sz w:val="20"/>
                <w:szCs w:val="20"/>
                <w:color w:val="auto"/>
              </w:rPr>
            </w:pPr>
            <w:r>
              <w:rPr>
                <w:rFonts w:ascii="Arial" w:cs="Arial" w:eastAsia="Arial" w:hAnsi="Arial"/>
                <w:sz w:val="18"/>
                <w:szCs w:val="18"/>
                <w:i w:val="1"/>
                <w:iCs w:val="1"/>
                <w:color w:val="auto"/>
              </w:rPr>
              <w:t>(dollars in thousands)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3"/>
          </w:tcPr>
          <w:p>
            <w:pPr>
              <w:ind w:left="140"/>
              <w:spacing w:after="0"/>
              <w:rPr>
                <w:sz w:val="20"/>
                <w:szCs w:val="20"/>
                <w:color w:val="auto"/>
              </w:rPr>
            </w:pPr>
            <w:r>
              <w:rPr>
                <w:rFonts w:ascii="Arial" w:cs="Arial" w:eastAsia="Arial" w:hAnsi="Arial"/>
                <w:sz w:val="18"/>
                <w:szCs w:val="18"/>
                <w:color w:val="auto"/>
              </w:rPr>
              <w:t>Subscription and transaction fees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91,788</w:t>
            </w:r>
          </w:p>
        </w:tc>
        <w:tc>
          <w:tcPr>
            <w:tcW w:w="360" w:type="dxa"/>
            <w:vAlign w:val="bottom"/>
            <w:gridSpan w:val="5"/>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60,017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31,771</w:t>
            </w:r>
          </w:p>
        </w:tc>
        <w:tc>
          <w:tcPr>
            <w:tcW w:w="1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52.9 %</w:t>
            </w:r>
          </w:p>
        </w:tc>
        <w:tc>
          <w:tcPr>
            <w:tcW w:w="0" w:type="dxa"/>
            <w:vAlign w:val="bottom"/>
          </w:tcPr>
          <w:p>
            <w:pPr>
              <w:spacing w:after="0"/>
              <w:rPr>
                <w:sz w:val="1"/>
                <w:szCs w:val="1"/>
                <w:color w:val="auto"/>
              </w:rPr>
            </w:pPr>
          </w:p>
        </w:tc>
      </w:tr>
      <w:tr>
        <w:trPr>
          <w:trHeight w:val="229"/>
        </w:trPr>
        <w:tc>
          <w:tcPr>
            <w:tcW w:w="51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31,610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7,251</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5,136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4,775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43"/>
        </w:trPr>
        <w:tc>
          <w:tcPr>
            <w:tcW w:w="5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128,534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89,151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39,383</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44.2 %</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6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4"/>
            <w:vMerge w:val="restart"/>
          </w:tcPr>
          <w:p>
            <w:pPr>
              <w:jc w:val="right"/>
              <w:ind w:right="1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Amount</w:t>
            </w:r>
          </w:p>
        </w:tc>
        <w:tc>
          <w:tcPr>
            <w:tcW w:w="15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6"/>
          </w:tcPr>
          <w:p>
            <w:pPr>
              <w:jc w:val="right"/>
              <w:ind w:right="50"/>
              <w:spacing w:after="0"/>
              <w:rPr>
                <w:sz w:val="20"/>
                <w:szCs w:val="20"/>
                <w:color w:val="auto"/>
              </w:rPr>
            </w:pPr>
            <w:r>
              <w:rPr>
                <w:rFonts w:ascii="Arial" w:cs="Arial" w:eastAsia="Arial" w:hAnsi="Arial"/>
                <w:sz w:val="18"/>
                <w:szCs w:val="18"/>
                <w:i w:val="1"/>
                <w:iCs w:val="1"/>
                <w:color w:val="auto"/>
              </w:rPr>
              <w:t>(dollars in thousands)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3"/>
          </w:tcPr>
          <w:p>
            <w:pPr>
              <w:ind w:left="140"/>
              <w:spacing w:after="0"/>
              <w:rPr>
                <w:sz w:val="20"/>
                <w:szCs w:val="20"/>
                <w:color w:val="auto"/>
              </w:rPr>
            </w:pPr>
            <w:r>
              <w:rPr>
                <w:rFonts w:ascii="Arial" w:cs="Arial" w:eastAsia="Arial" w:hAnsi="Arial"/>
                <w:sz w:val="18"/>
                <w:szCs w:val="18"/>
                <w:color w:val="auto"/>
              </w:rPr>
              <w:t>Subscription and transaction fees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252,119</w:t>
            </w:r>
          </w:p>
        </w:tc>
        <w:tc>
          <w:tcPr>
            <w:tcW w:w="360" w:type="dxa"/>
            <w:vAlign w:val="bottom"/>
            <w:gridSpan w:val="5"/>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168,413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83,706</w:t>
            </w:r>
          </w:p>
        </w:tc>
        <w:tc>
          <w:tcPr>
            <w:tcW w:w="1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49.7 %</w:t>
            </w:r>
          </w:p>
        </w:tc>
        <w:tc>
          <w:tcPr>
            <w:tcW w:w="0" w:type="dxa"/>
            <w:vAlign w:val="bottom"/>
          </w:tcPr>
          <w:p>
            <w:pPr>
              <w:spacing w:after="0"/>
              <w:rPr>
                <w:sz w:val="1"/>
                <w:szCs w:val="1"/>
                <w:color w:val="auto"/>
              </w:rPr>
            </w:pPr>
          </w:p>
        </w:tc>
      </w:tr>
      <w:tr>
        <w:trPr>
          <w:trHeight w:val="229"/>
        </w:trPr>
        <w:tc>
          <w:tcPr>
            <w:tcW w:w="51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88,974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62,738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26,236</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41.8 %</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13,397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14,370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354,490</w:t>
            </w: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spacing w:after="0"/>
              <w:rPr>
                <w:sz w:val="21"/>
                <w:szCs w:val="21"/>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245,521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108,969</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44.4 %</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-2622550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-2622550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increased $39.4 million or 44.2% and $109.0 million or 44.4% for the three and nine months ended September 30, 2021, respectively, as compared to the corresponding periods in 2020. These increases were primarily driven by increases in subscription and transaction fees of $31.8 million and $83.7 million, respectively, and marketing technology solutions of $7.3 million and $26.2 million, respectively. The increases in subscription and transaction fees related to growth in our customer base, higher transaction volumes processed through our payments platform and revenue earned from acquisitions completed in 2021 and 2020. Included in revenues for the three and nine months ended September 30, 2021 is $20.8 million and $57.5 million of revenue from acquisitions closed subsequent to September 30, 2020.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Cost of Revenues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gridSpan w:val="4"/>
          </w:tcPr>
          <w:p>
            <w:pPr>
              <w:jc w:val="center"/>
              <w:ind w:right="420"/>
              <w:spacing w:after="0" w:line="202" w:lineRule="exact"/>
              <w:rPr>
                <w:sz w:val="20"/>
                <w:szCs w:val="20"/>
                <w:color w:val="auto"/>
              </w:rPr>
            </w:pPr>
            <w:r>
              <w:rPr>
                <w:rFonts w:ascii="Arial" w:cs="Arial" w:eastAsia="Arial" w:hAnsi="Arial"/>
                <w:sz w:val="18"/>
                <w:szCs w:val="18"/>
                <w:b w:val="1"/>
                <w:bCs w:val="1"/>
                <w:color w:val="auto"/>
                <w:w w:val="90"/>
              </w:rPr>
              <w:t>Three Months Ended</w:t>
            </w:r>
          </w:p>
        </w:tc>
        <w:tc>
          <w:tcPr>
            <w:tcW w:w="260" w:type="dxa"/>
            <w:vAlign w:val="bottom"/>
          </w:tcPr>
          <w:p>
            <w:pPr>
              <w:spacing w:after="0"/>
              <w:rPr>
                <w:sz w:val="17"/>
                <w:szCs w:val="17"/>
                <w:color w:val="auto"/>
              </w:rPr>
            </w:pP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6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9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revenues (exclusive of depreciation and amortization</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42,958</w:t>
            </w:r>
          </w:p>
        </w:tc>
        <w:tc>
          <w:tcPr>
            <w:tcW w:w="60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29,480</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vMerge w:val="restart"/>
            <w:shd w:val="clear" w:color="auto" w:fill="CCEEFF"/>
          </w:tcPr>
          <w:p>
            <w:pPr>
              <w:jc w:val="right"/>
              <w:ind w:right="570"/>
              <w:spacing w:after="0"/>
              <w:rPr>
                <w:sz w:val="20"/>
                <w:szCs w:val="20"/>
                <w:color w:val="auto"/>
              </w:rPr>
            </w:pPr>
            <w:r>
              <w:rPr>
                <w:rFonts w:ascii="Arial" w:cs="Arial" w:eastAsia="Arial" w:hAnsi="Arial"/>
                <w:sz w:val="18"/>
                <w:szCs w:val="18"/>
                <w:color w:val="auto"/>
              </w:rPr>
              <w:t>13,478</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45.7 %</w:t>
            </w: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presented separately below)</w:t>
            </w:r>
          </w:p>
        </w:tc>
        <w:tc>
          <w:tcPr>
            <w:tcW w:w="3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33.4 %</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260" w:type="dxa"/>
            <w:vAlign w:val="bottom"/>
          </w:tcPr>
          <w:p>
            <w:pPr>
              <w:spacing w:after="0"/>
              <w:rPr>
                <w:sz w:val="24"/>
                <w:szCs w:val="24"/>
                <w:color w:val="auto"/>
              </w:rPr>
            </w:pP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6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w w:val="99"/>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9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revenues (exclusive of depreciation and amortization</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119,488</w:t>
            </w:r>
          </w:p>
        </w:tc>
        <w:tc>
          <w:tcPr>
            <w:tcW w:w="60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86,372</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vMerge w:val="restart"/>
            <w:shd w:val="clear" w:color="auto" w:fill="CCEEFF"/>
          </w:tcPr>
          <w:p>
            <w:pPr>
              <w:jc w:val="right"/>
              <w:ind w:right="570"/>
              <w:spacing w:after="0"/>
              <w:rPr>
                <w:sz w:val="20"/>
                <w:szCs w:val="20"/>
                <w:color w:val="auto"/>
              </w:rPr>
            </w:pPr>
            <w:r>
              <w:rPr>
                <w:rFonts w:ascii="Arial" w:cs="Arial" w:eastAsia="Arial" w:hAnsi="Arial"/>
                <w:sz w:val="18"/>
                <w:szCs w:val="18"/>
                <w:color w:val="auto"/>
              </w:rPr>
              <w:t>33,116</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presented separately below)</w:t>
            </w:r>
          </w:p>
        </w:tc>
        <w:tc>
          <w:tcPr>
            <w:tcW w:w="3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33.7 %</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-1894205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-1894205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-591185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-591185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revenues increased by $13.5 million or 45.7% and $33.1 million or 38.3% for the three and nine months ended September 30, 2021, respectively, as compared to the corresponding periods in 2020. Increases for the three and nine months ended September 30, 2021 as compared to the corresponding periods in 2020 include $4.1 million and $9.9 million in personnel and compensation expense, respectively, $2.1 million and $6.2 million in outsourced services, respectively, and other miscellaneous increases including, but not limited to, promotional expense, campaign mail expense, hosting expense and product expense. As a percentage of revenue, cost of revenue was 33.4% and 33.1% for the three months ended September 30, 2021 and 2020, respectively, and 33.7% and 35.2% for the nine months ended September 30, 2021 and 2020,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17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25,156</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13,084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108.4 %</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19.6 %</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8"/>
                <w:szCs w:val="18"/>
                <w:color w:val="auto"/>
              </w:rPr>
            </w:pPr>
          </w:p>
        </w:tc>
        <w:tc>
          <w:tcPr>
            <w:tcW w:w="17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67,647</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31,342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86.3 %</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19.1 %</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marketing expenses increased by $13.1 million or 108.4% and $31.3 million or 86.3% for the three and nine months ended September 30, 2021, respectively, as compared to the corresponding periods in 2020. These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were primarily driven by increases of $4.4 million and $11.4 million in personnel and compensation expense, respectively, $2.7 million and $8.3 million in advertising spend, respectively, and $2.6 million and $6.2 million in partner commission, respectively. As a percentage of revenue, sales and marketing was 19.6% and 13.5% for the three months ended September 30, 2021 and 2020, respectively, and 19.1% and 14.8% for the nine months ended September 30, 2021 and 2020,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17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12,711</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5,089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66.8 %</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9.9 %</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1"/>
              </w:rPr>
              <w:t>Nine Months Ended</w:t>
            </w:r>
          </w:p>
        </w:tc>
        <w:tc>
          <w:tcPr>
            <w:tcW w:w="260" w:type="dxa"/>
            <w:vAlign w:val="bottom"/>
          </w:tcPr>
          <w:p>
            <w:pPr>
              <w:spacing w:after="0"/>
              <w:rPr>
                <w:sz w:val="17"/>
                <w:szCs w:val="17"/>
                <w:color w:val="auto"/>
              </w:rPr>
            </w:pP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6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35,083</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22,282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12,801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57.4 %</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9.9 %</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development expenses increased by $5.1 million or 66.8% and $12.8 million or 57.4% for the three and nine months ended September 30, 2021, respectively, as compared to the corresponding periods in 2020. These increases were primarily driven by increases in product development related personnel expenses of $4.9 million and $8.8 million, respectively, due to investments in additions to our technology teams to support our various solutions as well as centralized security operations, information technology, and cloud engineering. As a percentage of revenue, product development expenses were 9.9% and 8.5% for the three months ended September 30, 2021 and 2020, respectively, and 9.9% and 9.1% for the nine months ended September 30, 2021 and 2020, respectively.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17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25,779</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8,692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50.9 %</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20.1 %</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1"/>
              </w:rPr>
              <w:t>Nine Months Ended</w:t>
            </w:r>
          </w:p>
        </w:tc>
        <w:tc>
          <w:tcPr>
            <w:tcW w:w="260" w:type="dxa"/>
            <w:vAlign w:val="bottom"/>
          </w:tcPr>
          <w:p>
            <w:pPr>
              <w:spacing w:after="0"/>
              <w:rPr>
                <w:sz w:val="17"/>
                <w:szCs w:val="17"/>
                <w:color w:val="auto"/>
              </w:rPr>
            </w:pP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6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79,796</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56,388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23,408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22.5 %</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expenses increased by $8.7 million or 50.9% and $23.4 million or 41.5% for the three and nine months ended September 30, 2021, respectively, as compared to the corresponding periods in 2020. These increases were primarily driven by increases in stock-based compensation expense, personnel and compensation expense resulting from increased headcount, and professional fees</w:t>
      </w:r>
      <w:r>
        <w:rPr>
          <w:rFonts w:ascii="Arial" w:cs="Arial" w:eastAsia="Arial" w:hAnsi="Arial"/>
          <w:sz w:val="18"/>
          <w:szCs w:val="18"/>
          <w:b w:val="1"/>
          <w:bCs w:val="1"/>
          <w:color w:val="auto"/>
        </w:rPr>
        <w:t>.</w:t>
      </w:r>
      <w:r>
        <w:rPr>
          <w:rFonts w:ascii="Arial" w:cs="Arial" w:eastAsia="Arial" w:hAnsi="Arial"/>
          <w:sz w:val="18"/>
          <w:szCs w:val="18"/>
          <w:color w:val="auto"/>
        </w:rPr>
        <w:t xml:space="preserve"> For additional details regarding our stock-based compensation expense related to the vesting of certain restricted stock awards refer to Note 11 in the notes to the unaudited condensed consolidated financial statements included in this Quarterly Report on Form 10-Q. As a percentage of revenue, general and administrative expenses were 20.1% and 19.2% for the three months ended September 30, 2021 and 2020, respectively, and 22.5% and 23.0% for the nine months ended September 30, 2021 and 2020, respectively.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17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25,996</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6,844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20.2 %</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1"/>
              </w:rPr>
              <w:t>Nine Months Ended</w:t>
            </w:r>
          </w:p>
        </w:tc>
        <w:tc>
          <w:tcPr>
            <w:tcW w:w="260" w:type="dxa"/>
            <w:vAlign w:val="bottom"/>
          </w:tcPr>
          <w:p>
            <w:pPr>
              <w:spacing w:after="0"/>
              <w:rPr>
                <w:sz w:val="18"/>
                <w:szCs w:val="18"/>
                <w:color w:val="auto"/>
              </w:rPr>
            </w:pP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6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73,917</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55,300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18,617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20.9 %</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increased by $6.8 million or 35.7% and $18.6 million or 33.7% for the three and nine months ended September 30, 2021, respectively, as compared to the corresponding periods in 2020. These increases were primarily driven by increases of $6.4 million and $17.4 million in intangible assets amortization as a result of intangible asset additions from our 2020 and 2021 acquisitions, respectively. As a percentage of revenue, depreciation and amortization expenses were 20.2% and 21.5% for the three months ended September 30, 2021 and 2020, respectively, and 20.9% and 22.5%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Interest and Other Expense, net</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80" w:type="dxa"/>
            <w:vAlign w:val="bottom"/>
            <w:gridSpan w:val="6"/>
          </w:tcPr>
          <w:p>
            <w:pPr>
              <w:ind w:left="18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5,148</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(4,608)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4.0 %</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Nine Months Ended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vMerge w:val="restart"/>
          </w:tcPr>
          <w:p>
            <w:pPr>
              <w:ind w:left="98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80" w:type="dxa"/>
            <w:vAlign w:val="bottom"/>
            <w:gridSpan w:val="6"/>
          </w:tcPr>
          <w:p>
            <w:pPr>
              <w:ind w:left="18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31,262</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30,653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609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8.8 %</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and other expense, net, increased (decreased) by ($4.6 million) or (47.2%) and $0.6 million or 2.0% for the three and nine months ended September 30, 2021, respectively, as compared to the corresponding periods in 2020. The decrease in interest expense for the three month period is due to a lower average outstanding debt balance and a lower interest rate due to the Refinance. The increase in interest expense for the nine month period is due to an overall higher outstanding debt balance prior to the Refinance, partially offset by a lower effective interest rate for the debt as a result of the Refinance. As a percentage of revenue, interest and other expense were 4.0% and 10.9% for the three months ended September 30, 2021 and 2020, respectively, and 8.8% and 12.5% for the nine months ended September 30, 2021 and 2020,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Loss on Debt Extinguishment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20" w:type="dxa"/>
            <w:vAlign w:val="bottom"/>
            <w:gridSpan w:val="5"/>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28,714</w:t>
            </w:r>
          </w:p>
        </w:tc>
        <w:tc>
          <w:tcPr>
            <w:tcW w:w="11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28,714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22.3 %</w:t>
            </w:r>
          </w:p>
        </w:tc>
        <w:tc>
          <w:tcPr>
            <w:tcW w:w="1100" w:type="dxa"/>
            <w:vAlign w:val="bottom"/>
          </w:tcPr>
          <w:p>
            <w:pPr>
              <w:spacing w:after="0"/>
              <w:rPr>
                <w:sz w:val="20"/>
                <w:szCs w:val="20"/>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1"/>
              </w:rPr>
              <w:t>Nine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20" w:type="dxa"/>
            <w:vAlign w:val="bottom"/>
            <w:gridSpan w:val="5"/>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28,714</w:t>
            </w:r>
          </w:p>
        </w:tc>
        <w:tc>
          <w:tcPr>
            <w:tcW w:w="11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28,714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8.1 %</w:t>
            </w:r>
          </w:p>
        </w:tc>
        <w:tc>
          <w:tcPr>
            <w:tcW w:w="1100" w:type="dxa"/>
            <w:vAlign w:val="bottom"/>
          </w:tcPr>
          <w:p>
            <w:pPr>
              <w:spacing w:after="0"/>
              <w:rPr>
                <w:sz w:val="20"/>
                <w:szCs w:val="20"/>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40" w:type="dxa"/>
            <w:vAlign w:val="bottom"/>
          </w:tcPr>
          <w:p>
            <w:pPr>
              <w:spacing w:after="0"/>
              <w:rPr>
                <w:sz w:val="20"/>
                <w:szCs w:val="20"/>
                <w:color w:val="auto"/>
              </w:rPr>
            </w:pPr>
            <w:r>
              <w:rPr>
                <w:rFonts w:ascii="Arial" w:cs="Arial" w:eastAsia="Arial" w:hAnsi="Arial"/>
                <w:sz w:val="18"/>
                <w:szCs w:val="18"/>
                <w:color w:val="auto"/>
              </w:rPr>
              <w:t>_______________</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tcPr>
          <w:p>
            <w:pPr>
              <w:spacing w:after="0"/>
              <w:rPr>
                <w:sz w:val="20"/>
                <w:szCs w:val="20"/>
                <w:color w:val="auto"/>
              </w:rPr>
            </w:pPr>
            <w:r>
              <w:rPr>
                <w:rFonts w:ascii="Arial" w:cs="Arial" w:eastAsia="Arial" w:hAnsi="Arial"/>
                <w:sz w:val="18"/>
                <w:szCs w:val="18"/>
                <w:color w:val="auto"/>
              </w:rPr>
              <w:t>N.M. — Not Meaningful.</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Loss on debt extinguishment increased by $28.7 million for both the three and nine months ended September 30, 2021 as compared to the corresponding periods in 2020. As a result of the Refinance, the Company recorded a loss on debt extinguishment of approximately $28.7 million. For additional information concerning our loss on debt extinguishment, see Note 9 in the notes to the unaudited condensed consolidated financial statements included in this Quarterly Report on Form 10-Q.</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Income Tax Benefit</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0"/>
              </w:rPr>
              <w:t>Three Months Ended</w:t>
            </w:r>
          </w:p>
        </w:tc>
        <w:tc>
          <w:tcPr>
            <w:tcW w:w="260" w:type="dxa"/>
            <w:vAlign w:val="bottom"/>
          </w:tcPr>
          <w:p>
            <w:pPr>
              <w:spacing w:after="0"/>
              <w:rPr>
                <w:sz w:val="24"/>
                <w:szCs w:val="24"/>
                <w:color w:val="auto"/>
              </w:rPr>
            </w:pPr>
          </w:p>
        </w:tc>
        <w:tc>
          <w:tcPr>
            <w:tcW w:w="17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1,022</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448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78.0 %</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0.8 %</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2"/>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1"/>
              </w:rPr>
              <w:t>Nine Months Ended</w:t>
            </w:r>
          </w:p>
        </w:tc>
        <w:tc>
          <w:tcPr>
            <w:tcW w:w="260" w:type="dxa"/>
            <w:vAlign w:val="bottom"/>
          </w:tcPr>
          <w:p>
            <w:pPr>
              <w:spacing w:after="0"/>
              <w:rPr>
                <w:sz w:val="24"/>
                <w:szCs w:val="24"/>
                <w:color w:val="auto"/>
              </w:rPr>
            </w:pPr>
          </w:p>
        </w:tc>
        <w:tc>
          <w:tcPr>
            <w:tcW w:w="17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4,182</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1,434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52.2 %</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1.2 %</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benefit increased by $0.4 million or 78.0% and $1.4 million or 52.2% for the three and nine months ended September 30, 2021, respectively, as compared to the corresponding periods in 2020. These increases were primarily driven by acquisition accounting, exclusion of loss companies from the quarterly tax computation, a Jordanian tax holiday, the accrual of estimated current state taxes and various other discrete items recorded in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To date, our primary sources of liquidity have been net cash provided by operating activities, proceeds from preferred stock issuances, proceeds from our recent IPO, and proceeds from long-term debt. Our primary use of liquidity has been acquisitions of businesses. Absent significant deterioration of market conditions, we expect that working capital requirements, capital expenditures, acquisitions, debt servicing, and lease obligations will be our principal needs for liquidity going forward. During the nine months ended September 30, 2021, we have completed four acquisitions for total consideration of $185.3 million. During the year ended December 31, 2020, we completed nine acquisitions for total consideration of $415.3 million.</w:t>
      </w:r>
    </w:p>
    <w:p>
      <w:pPr>
        <w:spacing w:after="0" w:line="20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As of September 30, 2021, we had cash, cash equivalents and restricted cash of $98.3 million, $155.0 million of available borrowing capacity under our New Revolver (as defined below) and $385.0 million outstanding under our New Credit Facilities (as defined below). We believe that our existing cash, cash equivalents and restricted cash, availability under our New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We expect to consummate acquisitions of complementary businesses in the future that could require us to seek additional equity or debt financing. Additional funds may not be available on terms favorable to us, or at all. In particular, the widespread COVID-19 pandemic has resulted in, and may continue to result in, significant disruption of global financial markets, reducing our ability to access capital. If we are unable to raise additional funds when desired, our business, financial condition and results of operations could be adversely affected. See Part II, Item 1A.“Risk Factors.”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cash flow data for the periods indicated therein:</w:t>
      </w:r>
    </w:p>
    <w:p>
      <w:pPr>
        <w:spacing w:after="0" w:line="277"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Nine Months Ended</w:t>
      </w:r>
    </w:p>
    <w:p>
      <w:pPr>
        <w:jc w:val="center"/>
        <w:ind w:left="778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24"/>
        </w:trPr>
        <w:tc>
          <w:tcPr>
            <w:tcW w:w="7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19"/>
                <w:szCs w:val="19"/>
                <w:color w:val="auto"/>
              </w:rPr>
            </w:pPr>
          </w:p>
        </w:tc>
      </w:tr>
      <w:tr>
        <w:trPr>
          <w:trHeight w:val="53"/>
        </w:trPr>
        <w:tc>
          <w:tcPr>
            <w:tcW w:w="7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(194,239)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(130,642)</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180,514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138,276</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2021, net cash provided by operating activities consisted of net loss of $77.2 million, offset by net non-cash adjustments to net loss of $122.2 million and net changes in operating assets and liabilities of $31.3 million. Non-cash adjustments primarily consisted of depreciation and amortization of $73.9 million, loss on debt extinguishment of $28.7 million and stock-based compensation of $16.8 million. Changes in working capital during the nine months ended September 30, 2021 primarily included cash outflows from other non-current assets of $11.5 million, prepaid expenses and other current assets of $11.4 million, accounts receivable, net of $7.0 million and accrued expenses and other of $6.8 million, partially offset by cash inflows of $7.9 million from deferred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2020, net cash provided by operating activities consisted of net loss of $39.0 million, offset by net non-cash adjustments to net loss of $66.2 million, and net changes in operating assets and liabilities of $4.9 million. Non-cash adjustments primarily consisted of depreciation and amortization of $55.3 million. Changes in working capital during the nine months ended September 30, 2020 primarily included cash inflows from customer deposits and other long-term liabilities of $8.3 million and accrued expenses and other of $4.3 million, partially offset by cash outflows from other non-current assets of $6.6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net cash used in investing activities was $194.2 million. The cash flow used was driven primarily by acquisition of companies, net of cash acquired, of $183.2 million.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net cash used in investing activities was $130.6 million. The cash flow used was driven primarily by acquisition of companies, net of cash acquired, of $118.0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2021, net cash provided by financing activities was $180.5 million. The cash flow provided was driven primarily by net proceeds from preferred and common stock issuances of $109.8 million and $415.9 million, respectively, and proceeds from long-term debt of $496.5 million, offset by payments on long-term debt of $837.1 million. The proceeds from these financings were primarily used, after payments on long-term debt, to fund acquisitions.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2020, net cash provided by financing activities was $138.3 million. The cash flow provided was driven primarily by proceeds from long-term debt of $143.9 million. The proceeds from these financings were primarily used to fund acquisitions.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our IPO, see Note 2 in the notes to the unaudited condensed consolidated financial statements included in this Quarterly Report on Form 10-Q.</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August 2019, EverCommerce Solutions Inc. (formerly PaySimple, Inc.), as borrower, and EverCommerce Intermediate Inc. (formerly PaySimple Intermediate, Inc.) entered into a credit agreement with various agents and lenders (the “Credit Agreement”). The Credit Agreement provided for (i) a term loan in an aggregate principal amount of $415.0 million (the “term loan”), (ii) commitments for delayed draw term loans up to an aggregate principal amount of $135.0 million (the “Delayed Draw Term Loans”), (iii) commitments for revolving loans up to an aggregate principal amount of $50.0 million (the “Revolver”), and (iv) a sub-limit of the Revolver available for letters of credit up to an aggregate face amount of $10.0 million, or the letters of credit (the term loan, Delayed Draw Term Loans and Revolver are referred to herein as the “Credit Facilities”). In September 2020, the Credit Agreement was amended to provide for additional commitments of Delayed Draw Term Loans in an aggregate principal amount of $250.0 million on the same terms and conditions as the original Delayed Draw Term Loans under the Credit Agreement. Following this amendment, the aggregate principal amount of Delayed Draw Term Loans available under the Credit Agreement was $385.0 million.</w:t>
      </w:r>
    </w:p>
    <w:p>
      <w:pPr>
        <w:spacing w:after="0" w:line="20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Simultaneously with the execution of the Credit Agreement, we and various of our subsidiaries entered into a collateral agreement and guarantee agreement. Pursuant to the guarantee agreement, EverCommerce Intermediate Inc. and various of our subsidiaries were guarantors under the Credit Agreement. Pursuant to the collateral agreement, the Credit Facilities were collateralized by substantially all our assets, including our intellectual property and the equity interests of our various subsidiaries, including EverCommerce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Credit Agreement that governed the Credit Facilities contained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and a passive holding company covenant applicable to EverCommerce Intermediate Inc. In addition, we were subject to a financial covenant with respect to the Revolver whereby, if the aggregate principal amount of revolving loans and letter of credit disbursements, together with the amount of all undrawn letters of credit (excluding undrawn letters of credit up to $5.0 million and letters of credit that are cash collateralized) outstanding on the last day of any fiscal quarter, exceeded 35% of the aggregate principal amount of the Revolver, then our First Lien Leverage Ratio (as defined in the Credit Agreement) as of the last day of such fiscal quarter was required to be 8.80 to 1.00 or less.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Credit Facilities</w:t>
      </w:r>
    </w:p>
    <w:p>
      <w:pPr>
        <w:spacing w:after="0" w:line="22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connection with our IPO, on July 6, 2021 we refinanced our existing Credit Facilities and EverCommerce Solutions Inc., as borrower, and EverCommerce Intermediate Inc. entered into a new credit agreement (the “New Credit Agreement”) in an aggregate principal amount of $540.0 million, consisting of (i) an aggregate principal amount of $350.0 million (“New Term Loans”), (ii) a revolver with a capacity of $190.0 million (“New Revolver”), and (iii) a sub-limit of the New Revolver available for letters of credit up to an aggregate face amount of $20.0 million (the New Term Loans and New Revolver are collectively referred to herein as the “New Credit Facilities”). We used the net proceeds of the New Term Loans and a portion of the funds available under our New Revolver, together with the net proceeds from the IPO, to repay all amounts outstanding under our Credit Facilities. These transactions are collectively referred to herein as the Refinancing. On August 4, 2021, the Company used the net proceeds from the sale of the additional shares of common stock following the exercise of the underwriters’ over-allotment option granted in our IPO to repay $44.0 million of the amount outstanding under the New Revolver.</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Simultaneously with the execution of the New Credit Agreement, we and various of our subsidiaries entered into a collateral agreement and guarantee agreement. Pursuant to the guarantee agreement, EverCommerce Intermediate Inc. and various of our subsidiaries are guarantors of the obligations under the New Credit Agreement. Pursuant to the collateral agreement, the New Credit Facilities are secured by liens on substantially all of our assets, including our intellectual property and the equity interests of our various subsidiaries, including EverCommerce Solutions Inc.</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New Credit Agreement contains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New Revolver whereby, if the aggregate principal amount of revolving loans (excluding letters of credit) outstanding on the last day of any fiscal quarter exceeds 35% of the aggregate commitments available under the New Revolver, then our first lien leverage ratio as of the last day of such fiscal quarter must be 7.50 to 1.00 or less.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Borrowings under the New Credit Agreement are available as ABR or Eurocurrency borrowings. ABR borrowings under the New Credit Agreement accrue interest at an alternate base rate plus an applicable rate, and Eurocurrency borrowings accrue interest at an adjusted LIBOR rate plus an applicable rate. The ABR rate represents the greater of the prime rate, Federal Reserve Bank of New York rate plus ½ of 1%, and an adjusted LIBOR rate for a one month interest period plus 1%. The applicable rate for the New Term Loans and the New Revolver loans is 3% for Eurocurrency borrowings and 2% for ABR Borrowings, in each case subject to change based on our first lien net leverage ratio.</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New Revolver has a variable commitment fee, which is based on our first lien leverage ratio. We expect the commitment fee to range from 0.25% to 0.375% per annum. We are obligated to pay a fixed fronting fee for letters of credit of 0.125% per annum.</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Amounts borrowed under the New Revolver may be repaid and re-borrowed through maturity of the New Revolver in July 2026. The New Term Loans mature in July 2028. New Term Loans may be repaid or prepaid but may not be re-borrowed.</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September 30, 2021, there was $385.0 million outstanding under our New Credit Facilities, comprising $350.0 million related to the New Term Loans and $35.0 million related to the New Revolver. The effective interest rate on the New Term Loans was approximately 4.0% from July 6, 2021 through September 30,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were in compliance with the covenants under the New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Acquisitions</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July 8, 2021, the Company acquired 100% of the interest of Timely LTD (“Timely”), a New Zealand booking and business management software company for $99.7 million. On July 8, 2021, the Company acquired 100% of the interest of PM Ventures, LLC dba MDTech (“MDTech”), a provider of electronic charge capture solutions to physicians via its SaaS-based MD Coder application, for $15.9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our contractual obligations as of September 30, 2021 from those disclosed in our Prospectus other than the Refinancing with the New Credit Facilities (as defined above).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Notes 9 and 15 in the unaudited condensed consolidated financial statements included in this Quarterly Report on Form 10-Q and notes thereto for a discussion of our debt and operating lease obligations,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3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do not have nor do we enter into off-balance sheet arrangements that had, or which are reasonably likely to have, a material effect on our financial condition, revenues or expenses, results of operations, liquidity, capital expenditures or capital resources.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financial statements are prepared in accordance with GAAP. The preparation of our financial statements in conformity with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critical accounting policies are described under the heading “Management’s Discussion and Analysis of Financial Condition and Results of Operations —Critical Accounting Policies” in our Prospectus and the notes to the condensed consolidated financial statements. During the nine months ended September 30, 2021, there were no material changes to our critical accounting policies from those discussed in our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Note 2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Under the Jumpstart Our Business Startups Act of 2012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There have been no material changes to our disclosures regarding market risk as described in our Prospectus under the heading “Quantitative and Qualitative Disclosures about Market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2021, our disclosure controls and procedures were effective at the reasonable assurance level.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business involves significant risks, some of which are described below. You should carefully consider the risks and uncertainties described below, together with all of the other information in this Quarterly Report on Form 10-Q, as well as our audited consolidated financial statements and related notes as disclosed in our prospectus, dated June 30, 2021, filed with the Securities and Exchange Commission (“SEC”) in accordance with Rule 424(b) of the Securities Act on July 6, 2021 (the “Prospectus”) in connection with our initial public offering (“IPO”).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Our limited operating history and our evolving business make it difficult to evaluate our future prospects and the risks and challenges we may encounter.</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limited operating history and evolving business make it difficult to evaluate and assess the success of our business to date, our future prospects and the risks and challenges that we may encounter. These risks and challenges include our ability to:</w:t>
      </w:r>
    </w:p>
    <w:p>
      <w:pPr>
        <w:spacing w:after="0" w:line="19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new and digitally-inclined service SMBs to the EverCommerce platform;</w:t>
      </w:r>
    </w:p>
    <w:p>
      <w:pPr>
        <w:ind w:left="660" w:hanging="328"/>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 existing customers and leverage cross-sell and upsell opportunities;</w:t>
      </w:r>
    </w:p>
    <w:p>
      <w:pPr>
        <w:ind w:left="660" w:hanging="328"/>
        <w:spacing w:after="0" w:line="21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update the EverCommerce platform, including expanding into new verticals and international markets and integrating additional solution capabilities to further benefit our service SMB customers and enhance the end-customer experience;</w:t>
      </w:r>
    </w:p>
    <w:p>
      <w:pPr>
        <w:ind w:left="660" w:hanging="328"/>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through future acquisitions and successfully identify and integrate acquired entities, services and technologies;</w:t>
      </w:r>
    </w:p>
    <w:p>
      <w:pPr>
        <w:ind w:left="660" w:hanging="328"/>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ind w:left="660" w:hanging="328"/>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 and in the industries in which we participate;</w:t>
      </w:r>
    </w:p>
    <w:p>
      <w:pPr>
        <w:ind w:left="660" w:hanging="328"/>
        <w:spacing w:after="0" w:line="21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anticipate and respond to macroeconomic changes, changes within the existing and future industries in which we participate, including the home services, health services, and fitness and wellness industries, and changes in the markets in which we operate;</w:t>
      </w:r>
    </w:p>
    <w:p>
      <w:pPr>
        <w:ind w:left="660" w:hanging="328"/>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foresee and manage market volatility impacts on market value;</w:t>
      </w:r>
    </w:p>
    <w:p>
      <w:pPr>
        <w:ind w:left="660" w:hanging="328"/>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react to challenges from existing and new competitors;</w:t>
      </w:r>
    </w:p>
    <w:p>
      <w:pPr>
        <w:ind w:left="660" w:hanging="328"/>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 and enhance the value of our reputation and brand;</w:t>
      </w:r>
    </w:p>
    <w:p>
      <w:pPr>
        <w:ind w:left="660" w:hanging="328"/>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manage our growth; and</w:t>
      </w:r>
    </w:p>
    <w:p>
      <w:pPr>
        <w:ind w:left="660" w:hanging="328"/>
        <w:spacing w:after="0" w:line="23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and improve the infrastructure underlying the EverCommerce platform, including our software, websites, mobile applications and data centers, as well as our cybersecurity and data protection measures.</w:t>
      </w:r>
    </w:p>
    <w:p>
      <w:pPr>
        <w:spacing w:after="0" w:line="2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and those described elsewhere in this “Risk Factors” section, our business, financial condition and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operations could be adversely affected. Further, because we have limited historical financial data and our business continues to evolve and expand within the industries in which we operate, any predictions about our future revenue and expenses may not be as accurate as they would be if we had a longer operating history, operated a more predictable business or operated in a single or unregulated industry. We have encountered in the past, and will encounter in the future, risks and uncertainties frequently experienced by growing companies with limited operating histories and evolving business that operate in regulated and competitive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recent growth rates may not be sustainable or indicative of future growth and we expect our growth rate to slow.</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Since our founding, we have generated significant growth through acquisitions and by driving organic growth of our business. Our revenue has grown at a CAGR of 61.3% from 2018 to 2020, and reached $337.5 million for the year ended December 31, 2020, up from $242.1 million for the year ended December 31, 2019, which represents revenue growth of 39.4% from 2019 to 2020 despite the impact of the COVID-19 pandemic. Our revenue was $128.5 million and $354.5 million for the three and nine months ended September 30, 2021, up from $89.2 million and $245.5 million for the three and nine months ended September 30, 2020, which represents revenue growth of 44.2% and 44.4%, respectively. Our historical rate of growth may not be sustainable or indicative of our future rate of growth. For example, while acquisitions have significantly contributed to our growth to date, we may make fewer or no acquisitions in the future. We believe that our continued growth in revenue, as well as our ability to improve or maintain margins and profitability, will depend upon, among other factors, our ability to address the challenges, risks and difficulties described elsewhere in this “Risk Factors” section and the extent to which our various offerings grow and contribute to our results of operations. We cannot provide assurance that we will be able to successfully manage any such challenges or risks to our future growth. In addition, our base of customers may not continue to grow or may decline due to a variety of possible risks, including increased competition, changes in the regulatory landscape and the maturation of our business. Any of these factors could cause our revenue growth to decline and may adversely affect our margins and profitability. Failure to continue our revenue growth or improve margins would have a material adverse effect on our business, financial condition and results of operations. You should not rely on our historical rate of revenue growth as an indication of our future performance.</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To manage our current and anticipated future growth effectively, we must continue to maintain and enhance our technology infrastructure, financial and accounting systems and controls. We must also attract, train and retain a significant number of qualified sales and marketing personnel, client support personnel, professional services personnel, software engineers, technical personnel and management personnel, and the availability of such personnel, in particular software engineers, may be constrained.</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 key element of how we manage our growth is our ability to scale our capabilities and satisfactorily implement our solutions for our customers’ needs.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net losses in the past and we may not achieve profitability in the future.</w:t>
      </w: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have incurred significant operating losses since our inception. Our net loss was $93.7 million and $60.0 million for the years ended December 31, 2019 and 2020, respectively, and $36.9 million and $77.2 million for the three and nine months ended September 30, 2021, respectively. Our operating expenses may increase substantially in the foreseeable future as we continue to invest to grow our business and build relationships with or clients and partners, develop new solutions and comply with being a public company. These efforts may prove to be more expensive than we currently anticipate, and we may not succeed in increasing our revenue sufficiently to offset these higher expenses. If we are unable to effectively manage the risks and difficulties of investing to grow our business,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relationships and developing new solutions as we encounter them, our business, financial condition and results of operations may suffer.</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We may continue to experience significant quarterly and annual fluctuations in our operating results due to a number of factors, which makes our future operating results difficult to predict.</w:t>
      </w:r>
    </w:p>
    <w:p>
      <w:pPr>
        <w:spacing w:after="0" w:line="19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Historically, we have experienced fluctuations in period to period operating results, with stronger results and higher revenue in the second and third quarters of the year, and our quarterly and annual operating results may continue to fluctuate significantly due to a variety of factors, many of which are outside of our control. As a result, comparing our operating results on a period-to-period basis may not be meaningful. Our past results may not be a predictor of our future performance.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affect our operating results and the ability to predict our future results and trajectory include:</w:t>
      </w:r>
    </w:p>
    <w:p>
      <w:pPr>
        <w:spacing w:after="0" w:line="22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sales to existing customers and to renew agreements with our existing customers at comparable prices;</w:t>
      </w:r>
    </w:p>
    <w:p>
      <w:pPr>
        <w:ind w:left="660" w:hanging="328"/>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new customers with greater needs for our services;</w:t>
      </w:r>
    </w:p>
    <w:p>
      <w:pPr>
        <w:ind w:left="660" w:hanging="328"/>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 or pricing pressure on our software and related services;</w:t>
      </w:r>
    </w:p>
    <w:p>
      <w:pPr>
        <w:ind w:left="660" w:hanging="328"/>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 fluctuations in demand for our software and services and volatility in the sales of our solutions and services;</w:t>
      </w:r>
    </w:p>
    <w:p>
      <w:pPr>
        <w:ind w:left="660" w:hanging="328"/>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or failure of our acquisition strategy;</w:t>
      </w:r>
    </w:p>
    <w:p>
      <w:pPr>
        <w:ind w:left="660" w:right="20" w:hanging="328"/>
        <w:spacing w:after="0" w:line="21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timely develop and implement new solutions and services, as well as improve and enhance existing solutions and services, in a manner that meets customer requirements;</w:t>
      </w:r>
    </w:p>
    <w:p>
      <w:pPr>
        <w:ind w:left="660" w:hanging="328"/>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train and retain key personnel;</w:t>
      </w:r>
    </w:p>
    <w:p>
      <w:pPr>
        <w:ind w:left="660" w:hanging="328"/>
        <w:spacing w:after="0" w:line="232"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significant changes in the competitive dynamics of our market, including new entrants or substantial discounting of products or services;</w:t>
      </w:r>
    </w:p>
    <w:p>
      <w:pPr>
        <w:ind w:left="660" w:hanging="328"/>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ind w:left="660" w:hanging="328"/>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significant change in our facilities-related costs;</w:t>
      </w:r>
    </w:p>
    <w:p>
      <w:pPr>
        <w:ind w:left="660" w:hanging="328"/>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hiring personnel and of large expenses such as those for third-party professional services;</w:t>
      </w:r>
    </w:p>
    <w:p>
      <w:pPr>
        <w:ind w:left="660" w:hanging="328"/>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w:t>
      </w:r>
    </w:p>
    <w:p>
      <w:pPr>
        <w:ind w:left="660" w:hanging="328"/>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appropriately resolve any disputes relating to our intellectual property; and</w:t>
      </w:r>
    </w:p>
    <w:p>
      <w:pPr>
        <w:ind w:left="660" w:hanging="328"/>
        <w:spacing w:after="0" w:line="23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a recession, pandemic or any other adverse global economic conditions on our business, including the impact of the ongoing COVID-19 pandemic.</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in the past experienced, and we may experience in the future, significant variations in our level of sales. Such variations in our sales have led and may lead to significant fluctuations in our cash flows, revenue and deferred revenue on a quarterly and annual basis. Failure to achieve our quarterly goals will decrease our value and, accordingly, the value of our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reduce our rate of acquisitions and may be unsuccessful in achieving continued growth through acquisitions.</w:t>
      </w:r>
    </w:p>
    <w:p>
      <w:pPr>
        <w:spacing w:after="0" w:line="22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Since April 2017, we have consummated 51 acquisitions and have generated significant growth through acquisitions. Although we expect to continue to acquire companies and other assets in the future, such acquisitions pose a number of challenges and risks, including the following:</w:t>
      </w:r>
    </w:p>
    <w:p>
      <w:pPr>
        <w:spacing w:after="0" w:line="17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identify suitable acquisition candidates or acquire additional assets at attractive valuations and on favorable terms;</w:t>
      </w:r>
    </w:p>
    <w:p>
      <w:pPr>
        <w:ind w:left="660" w:hanging="328"/>
        <w:spacing w:after="0" w:line="21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suitable acquisition candidates;</w:t>
      </w:r>
    </w:p>
    <w:p>
      <w:pPr>
        <w:ind w:left="660" w:hanging="328"/>
        <w:spacing w:after="0" w:line="21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compete successfully for identified acquisition candidates, complete acquisitions or accurately estimate the financial effect of acquisitions on our business;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than expected or unanticipated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60" w:hanging="328"/>
        <w:spacing w:after="0" w:line="22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integration and management of acquired businesses in a manner that permits the combined company to achieve the full revenue and cost synergies and other benefits anticipated to result from the acquisition, due to difficulties such as incompatible accounting, information management or other control systems;</w:t>
      </w:r>
    </w:p>
    <w:p>
      <w:pPr>
        <w:ind w:left="660" w:hanging="328"/>
        <w:spacing w:after="0" w:line="21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retention of an acquired company’s key employees or customers;</w:t>
      </w:r>
    </w:p>
    <w:p>
      <w:pPr>
        <w:ind w:left="660" w:hanging="328"/>
        <w:spacing w:after="0" w:line="21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contingent or undisclosed liabilities, incompatibilities and/or other obstacles to successful integration not discovered during the pre-acquisition due diligence process;</w:t>
      </w: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availability of management resources to evaluate acquisition candidates and oversee the integration and operation of the acquired businesses;</w:t>
      </w:r>
    </w:p>
    <w:p>
      <w:pPr>
        <w:spacing w:after="0" w:line="5" w:lineRule="exact"/>
        <w:rPr>
          <w:rFonts w:ascii="Arial" w:cs="Arial" w:eastAsia="Arial" w:hAnsi="Arial"/>
          <w:sz w:val="16"/>
          <w:szCs w:val="16"/>
          <w:color w:val="auto"/>
        </w:rPr>
      </w:pPr>
    </w:p>
    <w:p>
      <w:pPr>
        <w:ind w:left="660" w:hanging="328"/>
        <w:spacing w:after="0" w:line="21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obtain the necessary debt or equity financing, on favorable terms or at all, to finance any of our potential acquisitions;</w:t>
      </w:r>
    </w:p>
    <w:p>
      <w:pPr>
        <w:ind w:left="660" w:hanging="328"/>
        <w:spacing w:after="0" w:line="21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interest expense, restructuring charges and amortization expenses related to intangible assets;</w:t>
      </w:r>
    </w:p>
    <w:p>
      <w:pPr>
        <w:ind w:left="660" w:hanging="328"/>
        <w:spacing w:after="0" w:line="21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dilution to our shareholders for acquisitions made utilizing our securities; and</w:t>
      </w:r>
    </w:p>
    <w:p>
      <w:pPr>
        <w:ind w:left="660" w:hanging="328"/>
        <w:spacing w:after="0" w:line="23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generate cash necessary to execute our acquisition strategy and/or the reduction of cash that would otherwise be available to fund operations or for other purposes.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While our acquisition strategy leverages our experience and utilizes internal criteria for evaluating acquisition candidates and prospective businesses, there can be no guarantee that each business will have all of the positive attributes we seek. If we complete an acquisition that does not meet some or all of our criteria, such acquisition may not be as successful as one involving a business that does meet most or all of our criteria. There can be no assurance that our criteria are accurate or helpful indicators of success, and we may fail or opt not to acquire successful businesses that do not otherwise satisfy our internal requirements and preferences. In addition, we will consider acquisitions outside of our existing vertical markets and in industries or services in which we have limited expertise or experience. While we will endeavor to evaluate the risks inherent in any particular acquisition candidate, there can be no assurance that we will adequately ascertain or assess all of the significant risk factors to such new markets, industries or services.</w:t>
      </w:r>
    </w:p>
    <w:p>
      <w:pPr>
        <w:spacing w:after="0" w:line="19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Even if we are able to complete acquisitions and other investments, such activities may not ultimately strengthen our competitive position or achieve our strategic goals and could be viewed negatively by existing or prospective customers, investors or others. We may not realize the anticipated benefits of any or all of our acquisitions or other investments in the time frame expected or at all. For example, the process of integrating operations could cause an interruption of, or loss of momentum in, the activities of one or more of our combined businesses and the possible loss of key personnel. Further, acquisitions and consolidations may also disrupt our ongoing business, divert our resources and require significant management attention that would otherwise be available for ongoing development of our current business. Acquisitions can also result in a complex corporate structure with different systems and procedures in place across various acquired entities, particularly during periods in which acquired entities are being integrated or transitioned to our preferred systems and procedures. Initiatives to integrate these disparate systems and procedures can be challenging and costly, and the risk of failure high.</w:t>
      </w:r>
    </w:p>
    <w:p>
      <w:pPr>
        <w:spacing w:after="0" w:line="20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occurrence of any of these factors may result in a decrease in any or all acquisition activity and otherwise adversely impact our options, which may lead to less growth and a deterioration of our financial and operational condition.</w:t>
      </w:r>
    </w:p>
    <w:p>
      <w:pPr>
        <w:spacing w:after="0" w:line="19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color w:val="auto"/>
        </w:rPr>
        <w:t>Revenues and profits generated through acquisitions may be less than anticipated, and we may fail to uncover all liabilities of acquisition targets through the due diligence process prior to an acquisition, resulting in unanticipated costs, losses or a decline in profits, as well as potential impairment charges. Claims against us relating to any acquisition may necessitate our seeking claims against the seller for which the seller may not indemnify us or that may exceed the seller’s indemnification obligations.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evaluating and determining the purchase price for a prospective acquisition, we estimate the future revenues and profits from that acquisition based largely on historical financial performance. Following an acquisition, we may experience some attrition in the number of clients serviced by an acquired provider of billing and payment solutions and marketing and customer retention services. Should the rate of post-acquisition client attrition exceed the rate we forecasted, the revenues and profits from the acquisition may be less than we estimated, which could result in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or a decline in profits, as well as potential impairment charges. Moreover, the anticipated benefits of any acquisition, including our revenue or return on investment assumptions, may not be realized.</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perform a due diligence review of each of our acquisition targets. This due diligence review, however, may not adequately uncover all of the contingent or undisclosed liabilities we may incur as a consequence of the proposed acquisition, exposing us to potentially significant, unanticipated costs, as well as potential impairment charges. Although a seller generally may have indemnification obligations to us under an acquisition or merger agreement, these obligations usually will be subject to financial limitations, such as general deductibles and maximum recovery amounts, as well as time limitations. Certain transactions are also subject to limitations of the scope of a Representation and Warranty Insurance policy. We cannot assure you that our right to indemnification from any seller will be enforceable, collectible or sufficient in amount, scope or duration to fully offset the amount of any undiscovered or underestimated liabilities that we may incur. Any such liabilities, individually or in the aggregate, could have a material adverse effect on our business, results of operations and financial condition. In addition, our insurance does not cover all of our potential losses, and we are subject to various self-insured retentions and deductibles under our insurance. Although we believe we have sufficient reserves for contingencies, a judgment may be rendered against us in cases in which we could be uninsured or which exceed the amounts that we currently have reserved or anticipate incurring for such matters.</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In order to support the growth of our business and our acquisition strategy, we may need to incur additional indebtedness or seek capital through new equity or debt financings, which sources of additional capital may not be available to us on acceptable terms or at all and may result in substantial dilution to our stockholders.</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operations have consumed substantial amounts of cash since inception and we intend to continue to make significant investments to support our business growth, acquire complementary businesses and technologies, respond to business challenges or opportunities, develop new solutions and services, and enhance our existing solutions and services and operating infrastructure. Our net cash provided by operating activities was $57.5 million in 2020 and $13.7 million for the first nine months of 2021. We had cash and cash equivalents of $95.6 million and restricted cash of $2.8 million as of September 30, 2021. We received an additional $303.9 million of net proceeds in July 2021 from our IPO.</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may be significantly different from our current estimates and will depend on many factors, including the need to:</w:t>
      </w:r>
    </w:p>
    <w:p>
      <w:pPr>
        <w:spacing w:after="0" w:line="23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ind w:left="660" w:hanging="328"/>
        <w:spacing w:after="0" w:line="21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complementary businesses, technologies, solutions or services;</w:t>
      </w:r>
    </w:p>
    <w:p>
      <w:pPr>
        <w:ind w:left="660" w:hanging="328"/>
        <w:spacing w:after="0" w:line="21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or enhance our technological infrastructure and our existing solutions and services;</w:t>
      </w:r>
    </w:p>
    <w:p>
      <w:pPr>
        <w:ind w:left="660" w:hanging="328"/>
        <w:spacing w:after="0" w:line="21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 strategic relationships, including joint ventures and co-investments;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2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Accordingly, we may need to engage in equity or debt financings or collaborative arrangements to secure additional funds. Additional financing may not be available on terms favorable to us, or at all. If we raise additional funds through further issuances of equity or convertible debt securities, our existing shareholders could suffer significant dilution, and any new equity securities we issue could have rights, preferences and privileges superior to those of holders of our ordinary shares.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it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We may not be able to continue to expand our share of our existing vertical markets or expand into new vertical markets, which would inhibit our ability to grow and increase our profitability.</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future growth and profitability depend, in part, upon our continued expansion within the vertical markets in which we currently operate, the emergence of other vertical markets for our solutions and our ability to penetrate new vertical markets. As part of our strategy to expand into new vertical markets, we look for acquisition opportunities and partnerships that will allow us to increase our market penetration, technological capabilities, offering of solutions and distribution capabilities. We may not be able to successfully identify suitable acquisition or partnership candidates in the future, and if we do, they may not provide us with the benefits we anticipated.</w:t>
      </w:r>
    </w:p>
    <w:p>
      <w:pPr>
        <w:spacing w:after="0" w:line="20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expansion into new vertical markets also depends upon our ability to adapt our existing technology or to develop new technologies to meet the particular needs of each new vertical market. We may not have adequate financial or technological resources to develop effective and secure services or distribution channels that will satisfy the demands of these new vertical markets. Penetrating these new vertical markets may also prove to be more challenging or costly or take longer than we may anticipate. Further, as positive references from existing customers are vital to expanding into new vertical and geographic markets within the service economy, any dissatisfaction on the part of existing customers may harm our brand and reputation and inhibit market acceptance of our services. If we fail to expand into new vertical markets and increase our penetration into existing vertical markets, we may not be able to continue to grow our revenues and earnings.</w:t>
      </w:r>
    </w:p>
    <w:p>
      <w:pPr>
        <w:spacing w:after="0" w:line="20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color w:val="auto"/>
        </w:rPr>
        <w:t>We face intense competition in each of the industries in which we operate, which could negatively impact our business, results of operations and financial condition and cause our market share to decline.</w:t>
      </w:r>
    </w:p>
    <w:p>
      <w:pPr>
        <w:spacing w:after="0" w:line="19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market for our solutions and services is highly competitive and subject to rapidly changing technology, shifting customer needs and frequent introductions of new products and services. As our platform is utilized across industries, we compete in a variety of highly fragmented markets and face competition from a variety of sources, including manual processes, basic PC tools, homegrown solutions, as well as from vertically-specialized and horizontal competitors. Vertically-specialized competitors include mobile sales applications and field service management platforms in Home Services, EHR / EMR and practice management platforms in Health Services, and facility and employee management and member management and programming platforms in Fitness &amp; Wellness Services. Horizontal competitors include Salesforce for CRM, Intuit for financial products, Square for payments and HubSpot for marketing related solutions.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expect the intensity of competition to increase in the future as new companies enter our markets and existing competitors develop stronger capabilities. Our competitors may be able to devote greater resources to the development, promotion and sale of their offerings than we can to ours, which could allow them to respond more quickly than we can to new technologies and changes in customer needs and achieve wider market acceptance. Because the barriers to entry into our industry are generally low, we expect to continue to face competition from new entrants. We also encounter competition from a broad range of firms which possess greater resources than we do, and small independent firms that compete primarily on the basis of price. We may not compete effectively and competitive pressures might prevent us from acquiring and maintaining the customer base necessary for us to be successful.</w:t>
      </w:r>
    </w:p>
    <w:p>
      <w:pPr>
        <w:spacing w:after="0" w:line="19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may also potentially face competition from our current partners. Our partners, including our integration partners for our Electronic Health Record and Practice Management solutions within Health Services, our business management software solutions within Home Services and our payment and customer relationship management solutions within Fitness &amp; Wellness Services, as well as our third-party payment processing partners, could become our competitors by offering similar services. Some of our partners offer, or may begin to offer, services in the same or similar manner as we do. Although there are many potential opportunities for, and applications of, these services, our partners may seek opportunities or target new clients in areas that may overlap with those that we have chosen to pursue.</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may face competition from companies that we do not yet know about. If existing or new companies develop or market products or services that are similar to ours, develop entirely new solutions, acquire one of our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color w:val="auto"/>
        </w:rPr>
        <w:t>The industries in which we operate are rapidly evolving and the market for technology-enabled services that empower SMBs is relatively immature and unproven. If we are not successful in promoting the benefits of our solutions and services, our growth may be limited.</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three current verticals represent markets for our solutions and services that are subject to rapid and significant change. The market for software and technology-enabled services that empower SMBs is characterized by rapid technological change, new product and service introductions, consumerism and engagement, and the entrance of non-traditional competitors. In addition, there may be a limited-time opportunity to achieve and maintain a significant share of these markets due in part to the rapidly evolving nature of the businesses within our Home Services, Health Services and Fitness &amp; Wellness Services verticals, the technology industries that support these businesses and the substantial resources available to our existing and potential competitors. The market for technology-enabled services within these verticals is relatively new and unproven, and it is uncertain whether this market will achieve and sustain high levels of demand and market adoption.</w:t>
      </w:r>
    </w:p>
    <w:p>
      <w:pPr>
        <w:spacing w:after="0" w:line="20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services, growing our client base and penetrating new markets. Some of these projects include the expansion of our integration capabilities around our vertical markets, such as field service management, EHR, PM and other solutions. These projects carry risks, such as cost overruns, delays in delivery, performance problems and lack of acceptance by our clients.</w:t>
      </w:r>
    </w:p>
    <w:p>
      <w:pPr>
        <w:spacing w:after="0" w:line="198"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color w:val="auto"/>
        </w:rPr>
        <w:t>Consolidation in the industries in which we operate could decrease demand for our solutions and services by existing and potential clients in such industries.</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Participants and businesses in the industries in which we operate may consolidate and merge to create larger or more integrated entities with greater market power. We expect regulatory, economic and other conditions to result in additional consolidation in the future. As consolidation accelerates, the economies of scale of our clients’ organizations may grow. If a client experiences sizable growth following consolidation, it may determine that it no longer needs to rely on us and may reduce its demand for our solutions and services. In addition, if an existing independent client elects to become a part of a franchise group, or if an existing franchise client opts to change to a different franchise group, such clients may be required by the terms of their respective franchise group to use different solutions and services, which would have an adverse impact on our operations and demand for our solutions. Furthermore, as companies consolidate to create larger and more integrated entities with greater market power, these new entities may try to use their market power to negotiate fee reductions for our solutions and services. Finally, consolidation may also result in the acquisition or future development by our customers of products and services that compete with our solutions and services. Any of these potential results of consolidation could have a material adverse effect on our business, financial condition and results of operations.</w:t>
      </w:r>
    </w:p>
    <w:p>
      <w:pPr>
        <w:spacing w:after="0" w:line="1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We are dependent on payment card networks, such as Visa and MasterCard, and payment processors, such as Worldpay and PayPal, and if we fail to comply with the applicable requirements of our payment network or payment processors, they can seek to fine us, suspend us or terminate our registrations through our bank sponsors.</w:t>
      </w:r>
    </w:p>
    <w:p>
      <w:pPr>
        <w:spacing w:after="0" w:line="20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have entered into agreements with certain payment processors, including Worldpay and PayPal, in order to enable our clients’ processing of credit, debit and prepaid card transactions through the card networks, such as Visa and MasterCard. Pursuant to these agreements with payment processors, we are registered with the card networks as an independent sales organization (“ISO”) of our sponsor bank or as a payment facilitator, and are subject to the card network rules and certain other obligations. The payment networks routinely update and modify requirements applicable to merchant acquirers, including rules regulating data integrity, third-party relationships (such as those with respect to bank sponsors and ISOs), merchant chargeback standards and the Payment Card Industry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Security Standards (“PCI DSS”). The rules of the card networks are set by their boards, which may be influenced by card issuers, some of which offer competing transaction processing services.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we fail to comply with the applicable rules and requirements of the payment card networks or payment processors, they could suspend or terminate our registration. Further, our transaction processing capabilities, including with respect to settlement processes, could be delayed or otherwise disrupted, and recurring non-compliance could result in the payment networks or payment processors seeking to fine us, or suspend or terminate our registrations which allow us to process transactions on their networks, which would make it impossible for us to conduct our business on its current scale. Under certain circumstances specified in the payment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In the regular course of business, we enter into standard form contracts with a number of payment processors for the provision of payment processing and related services. Our contracts with payment processors, including Worldpay and PayPal, include standard confidentiality, indemnification and data protection obligations, among others. Our contracts with Worldpay and PayPal provide for certain termination events, such as material breach, and are subject to automatic annual renewal unless terminated by either party upon prior notice or for cause. The termination of our registration with the payment networks or our relationships with the payment processors, or any changes in payment network, payment processor or issuer rules that limit our ability to provide merchant acquiring services, could have an adverse effect on our payment processing volumes, revenues and operating costs. If we are unable to comply with the requirements applicable to our settlement activities, the payment networks or payment processors may no longer allow us to provide these services, which would require us to spend additional resources to obtain settlement services from a third-party provider. In addition, if we were precluded from processing Visa and MasterCard transactions, which we access through our payment processor arrangements, we would lose substantially all of our revenue.</w:t>
      </w:r>
    </w:p>
    <w:p>
      <w:pPr>
        <w:spacing w:after="0" w:line="20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are also subject to the operating rules of the National Automated Clearing House Association (“NACHA”),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These obligations include audit and oversight by the financial institutions and the imposition of mandatory corrective action, including termination, for serious violations. If an audit or self-assessment under PCI DSS or NACHA identifies any deficiencies that we need to remediate, the remediation efforts may distract our management team and be expensive and time consuming.</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Payment-related transactions comprised approximately 14% of our revenue in 2020. The electronic payments market is subject to constant and significant changes. This market is characterized by rapid technological evolution, new product and service introductions, evolving industry standards, changing client needs and the entrance of non-traditional competitors, including products and services that enable card networks and banks to transact with consumers directly. To remain competitive, we continually pursue initiatives to develop new solutions and services to compete with these new market entrants. These projects carry risks, such as cost overruns, delays in delivery, performance problems and lack of client acceptance. In addition, new solutions and offerings may not perform as intended or generate the business or revenue growth expected. Any delay in the delivery of new solutions and services or the failure to differentiate our solutions and services or to accurately predict and address market demand could render our solutions and services less desirable, or even obsolete, to our clients and to our distribution partners. Furthermore, even though the market for integrated payment processing solutions and services is evolving, it may develop too rapidly or not rapidly enough for us to recover the costs we have incurred in developing new solutions and services targeted at this market. Any of the foregoing could have a material and adverse effect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continued growth and development of our payment processing activities will depend on our ability to anticipate and adapt to changes in consumer behavior. For example, consumer behavior may change regarding the use of payment card transactions, including the relative increased use of crypto-currencies, other emerging or alternative payment methods and payment card systems that we or our processing partners do not adequately support or that do not provide adequate commissions to parties like us. Any failure to timely integrate emerging payment methods into our software, to anticipate consumer behavior changes or to contract with processing partners that support such emerging payment technologies could cause us to lose traction among our customers or referral sources, resulting in a corresponding loss of revenue, if those methods become popular among end-users of their services.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solutions and services we deliver are designed to process complex transactions and provide reports and other information on those transactions, all at very high volumes and processing speeds. Our technology offerings must also integrate with a variety of network, hardware, mobile and software platforms and technologies, and we need to continuously modify and enhance our solutions and services to adapt to changes and innovation in these technologies. Any failure to deliver an effective, reliable and secure service or any performance issue that arises with a new solution or service could result in significant processing or reporting errors or other losses. If we do not deliver a promised new solution or service to our clients or distribution partners in a timely manner or the solution or service does not perform as anticipated, our development efforts could result in increased costs and a loss in business that could reduce our earnings and cause a loss of revenue. We also rely in part on third parties, including some of our competitors and potential competitors, for the development of and access to new technologies, including software and hardware. Our future success will depend in part on our ability to develop or adapt to technological changes and evolving industry standards. If we are unable to develop, adapt to or access technological changes or evolving industry standards on a timely and cost-effective basis, our business, financial condition and results of operations would be materially adversely affected.</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Real or perceived errors, failures or bugs in our solutions could adversely affect our business, results of operations, financial condition and growth prospects.</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Our customers expect a consistent level of quality in the provision of our solutions and services. The support services that we provide are also a key element of the value proposition to our customers. However, complex technological solutions such as ours often contain errors or defects, particularly when first introduced or when new versions or enhancements are released. Errors will affect the implementation, as well as the performance, of our solutions and software and could delay the development or release of new solutions or new versions of solutions, adversely affect our reputation and our customers’ willingness to buy solutions from us, and adversely affect market acceptance or perception of our solutions. We may also experience technical or other difficulties in the integration of acquired technologies and software solutions into our existing platforms and applications. Any such errors or delays in introducing or implementing new or enhanced solutions or allegations of unsatisfactory performance could cause us to lose revenue or market share, increase our service costs, cause us to incur substantial costs, cause us to lose significant customers, negatively affect our ability to attract new clients, subject us to liability for damages and divert our resources from other tasks, any one of which could materially and adversely affect our business, results of operations and financial condition.</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Unauthorized disclosure, destruction or modification of data, disruption of our software or services or cyber breaches could expose us to liability, protracted and costly litigation and damage our reputation.</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are responsible both for our own business and to a significant degree for acts and omissions by certain of our distribution partners and third-party vendors under the rules and regulations established by the payment networks, such as Visa, MasterCard, Discover and American Express, and the debit networks. We and other third parties collect, process, store and transmit sensitive data, such as names, addresses, social security numbers, credit or debit card numbers and expiration dates or other payment card information, drivers’ license numbers and bank account numbers, and we have ultimate liability to the payment networks and member financial institutions that register us with the payment networks for our failure, or the failure of certain distribution partners and third parties with whom we contract, to protect this data in accordance with payment network requirements. Certain of our software and technology-enabled services are intended for use in collecting, storing and displaying clinical and health care-related information used in the diagnosis and treatment of patients and in related health care settings such as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scheduling and billing. We attempt to limit by contract our liability, however, the limitations of liability set forth in the contracts may not be enforceable or otherwise protect us from liability, and we may also be subject to claims that are not covered by contract. Although we maintain liability insurance coverage, there can be no assurance that such coverage will cover any claim, prove to be adequate or continue to remain available on acceptable terms, if at all. The loss, destruction or unauthorized modification of client or cardholder data could result in significant fines, sanctions and proceedings or actions against us by the payment networks, governmental bodies, our customers, our clients’ customers or others, which could have a material adverse effect on our business, financial condition and results of operations. Any such sanction, fine, proceeding or action could result in significant damage to our reputation or the reputation of our customers, negatively impact our ability to attract or retain customers, force us to incur significant expenses in defense of these proceedings, disrupt our operations, distract our management, increase our costs of doing business and may result in the imposition of monetary liability. A significant cybersecurity breach could also result in payment networks prohibiting us from processing transactions on their networks or the loss of our financial institution sponsorship that facilitates our participation in the payment networks, either of which could materially impede our ability to conduct business.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addition our products and services have been and may in the future be targets of cyber-attacks that attempt to sabotage or otherwise disable them, and the defensive and preventative measures we take ultimately may not be able to effectively detect, prevent, or protect against or otherwise mitigate losses from all cyber-attacks. Despite our efforts to create security barriers against such threats, it is virtually impossible for us to eliminate these risks entirely. Any such breach could compromise our networks or the products we offer our customers, creating system disruptions or slowdowns and exploiting security vulnerabilities of our products. Additionally, the information stored on our networks could be accessed, publicly disclosed, lost or stolen, any of which could subject us to liability and cause us financial harm. These breaches, or any perceived breach, may also result in reporting obligations damage to our reputation, negative publicity, loss of key partners, customers and transactions, increased remedial costs, or costly litigation, and may therefore adversely impact market acceptance of our products and services and may seriously affect our business, financial condition or results of operations.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on their websites, mobile applications, and infrastructure. The techniques used to obtain unauthorized, improper, or illegal access to systems and information (including customers’ personal data), disable or degrade service, or sabotage systems are constantly evolving and have become increasingly complex and sophisticated, may be difficult to detect quickly, and often are not recognized or detected until after they have been launched against a target.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Numerous and evolving cybersecurity threats, including advanced and persisting cyber-attacks, cyber-extortion, ransomware attacks, spear phishing and social engineering schemes, the introduction of computer viruses or other malware, and the physical destruction of all or portions of our information technology and infrastructure could compromise the confidentiality, availability, and integrity of the data in our systems.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have been and could in the future be subject to breaches of security by hackers or other malicious actors. Although we proactively employ multiple measures to defend our systems against intrusions and attacks and to protect the data we collect, our measures may not prevent unauthorized access or use of sensitive data. We experience cyber-attacks and other security incidents of varying degrees from time to time, though none which individually or in the aggregate has led to costs or consequences which have materially impacted our operations or business. We may be required to expend significant additional resources in our efforts to modify or enhance our protective measures against evolving threats. A breach of our system or a third-party system upon which we rely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our clients and potential clients from using electronic payments generally and our solutions and services specifically, thus reducing our revenue. In addition, any such misuse or breach could cause us to incur costs to correct the breaches or failures,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expose us to uninsured liability, increase our risk of regulatory scrutiny, subject us to lawsuits and result in the imposition of material penalties and fines under state and federal laws or by the payment networks. While we maintain insurance coverage that may, subject to policy terms and conditions, cover certain aspects of cyber risks, such insurance coverage may be insufficient to cover all losses.</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Although we generally require that our agreements with our distribution partners and service providers who have access to client and customer data include confidentiality obligations that restrict these parties from using or disclosing any client or customer data except as necessary to perform their services under the applicable agreements, there can be no assurance that these contractual measures will prevent the unauthorized disclosure of business or client data, nor can we be sure that such third parties would be willing or able to satisfy liabilities arising from their breach of these agreements. Any failure by such third parties to adequately take these protective measures could result in protracted or costly litigation.</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our agreements with our bank sponsors (as well as payment network requirements) require us to take certain protective measures to ensure the confidentiality of business and consumer data. Any failure to adequately comply with these protective measures could result in fees, penalties, litigation or termination of our bank sponsor agreements.</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contractors, then our reputation, business, results of operations and financial condition could be adversely affected.</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Our estimated total addressable market is subject to inherent challenges and uncertainties. If we have overestimated the size of our total addressable market or the various markets in which we operate, our future growth opportunities may be limited.</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estimate the total addressable market (“TAM”) for our current solutions for service SMBs was approximately $1.3 trillion globally in 2020, of which approximately $520 billion was in North America, which refers to the United States and Canada. Of the $520 billion, we estimate a $59 billion opportunity in Home Services, a $84 billion opportunity in Health Services, a $21 billion opportunity in Fitness &amp; Wellness Services, and a $356 billion opportunity in other services categories. We have based our estimates on a number of internal and third-party estimates and resources, including, without limitation, third party reports and the experience of our management team across these industries.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solutions and services may prove to be incorrect. If third-party or internally generated data prove to be inaccurate or we make errors in our assumptions based on that data, our the annual total addressable market for our solutions and services may be smaller than we have estimated, our future growth opportunities and sales growth may be impaired, any of which could have a material adverse effect on our business, financial condition and results of operations.</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refer to a number of operational metrics in our public disclosures, including Pro Forma Revenue Growth Rate, Adjusted Gross Profit, Adjusted EBITDA, monthly net pro forma revenue retention rate, lifetime value of a customer, customer acquisition costs, and other metrics. We calculate these metrics using internal systems and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on an ongoing basis. If the internal systems and tools we use to track these metrics under count or over 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solutions, services and offerings and other metrics.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Failure to effectively develop and expand our sales and marketing capabilities could harm our ability to increase our customer base and achieve broader market acceptance and utilization of our solutions.</w:t>
      </w:r>
    </w:p>
    <w:p>
      <w:pPr>
        <w:spacing w:after="0" w:line="19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ability to increase our customer base and achieve broader market acceptance of our solutions and services will depend to a significant extent on our ability to expand our sales and marketing organizations, and to deploy our sales and marketing resources efficiently. An important component of our growth strategy is to increase the cross-selling of our solutions and services to current and future SMB customers. However, if our sales force is not successful in doing so, or our existing and potential customers find our additional solutions and services to be unnecessary or unattractive, we may not be able to increase our customer base. We have invested, and plan to continue to invest, significant resources in expanding our direct-to-SMB sales force as well as our sales force focused on identifying new strategic partners. However, we may not achieve anticipated revenue growth from expanding our sales force if we are unable to hire, develop, integrate, and retain talented and effective sales personnel, if our new and existing sales personnel are unable to achieve desired productivity levels in a reasonable period of time.</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also dedicate significant resources to sales and marketing programs. The effectiveness and cost of our online advertising has varied over time and may vary in the future due to competition for key search terms, changes in search engine use, and changes in the search algorithms and rules used by major search engines. These efforts will require us to invest significant financial and other resources. Our business and operating results will be harmed if our sales and marketing efforts do not generate significant increases in revenue.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not able to maintain and enhance our reputation and brand recognition, our business and results of operations may be harmed.</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believe that maintaining and enhancing our reputation and brand recognition is critical to our relationships with existing clients and the customers or patients that they serve and to our ability to attract new clients. As our marketing efforts depend significantly on positive recommendations and referrals from our current and past SMB customers, a failure to maintain and provide high-quality solutions and services, or a market perception that we do not maintain or provide high-quality solutions and services, may harm our reputation and impair our ability to secure new customers. Any decisions we make regarding regulatory compliance, user privacy, payments and other issues, and any media, legislative or regulatory scrutiny of our business, or our current or former directors, employees, contractors, or vendors, could negatively affect our brands. If we do not successfully maintain and enhance the integrity, quality, efficiency and scalability of our software and systems, as well as our reputation and brand recognition among our customers and the end customers they serve, our business may not grow and we could lose existing customers, which would harm our business, results of operations and financial condition. For example, the success of our digital lead generation capabilities within our EverPro platform depends, in part, on our ability to establish and maintain relationships with quality and trustworthy home service professionals and home improvement contractors, such as home maintenance technicians and security alarm professionals operating in both residential and commercial settings. We provide our home service professionals with solutions to capture and manage lead generations to residential homeowners and business owners, who in turn want to work with home service professionals whom they can trust to provide quality workmanship. Unsatisfactory work performed by any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recommended home service professionals could result in bad publicity and related damage to our reputation and/or litigation, which in turn may adversely affect our business, financial condition and results of operations.</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Further, the promotion of our platforms and services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customers, could make it substantially more difficult for us to attract new customers.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If we are unable to retain our current customers, which are primarily SMBs, or sell additional functionality and services to them, our revenue growth may be adversely affected.</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To increase our revenue, in addition to acquiring new customers, we must continue to retain existing clients and convince them to expand their use of our solutions and services by increasing the number of users and incenting them to pay for additional functionality. Many of our clients are SMBs, which can be more difficult to retain than large enterprises as SMBs often have higher rates of business failures and more limited resources and are typically less able to make technology-related decisions based on factors other than price. Further, SMBs are fragmented in terms of size, geography, sophistication and nature of business and, consequently, are more challenging to serve at scale and in a cost-effective manner. As a result, we may be unable to retain existing clients or increase the usage of our solutions and services by them, which would have an adverse effect on our business, revenue and other operating results, and accordingly, on the trading price of our common stock.</w:t>
      </w:r>
    </w:p>
    <w:p>
      <w:pPr>
        <w:spacing w:after="0" w:line="20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Our ability to sell additional functionality to our existing customers may require more sophisticated and costly sales efforts, especially for our larger customers with more senior management and established procurement functions. Similarly, the rate at which our customers purchase additional solutions from us depends on several factors, including general economic conditions and the pricing of additional functionality. SMBs are typically more susceptible to such factors and any adverse changes in the economic environment or business failures of our SMB customers may have a greater impact on us than on our competitors who do not focus on SMBs to the extent that we do. If our efforts to sell additional functionality to our clients are not successful, our business and growth prospects would suffer.</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While some of our contracts are non-cancelable annual subscription contracts, most of our contracts with clients primarily consist of open-ended arrangements that can be terminated by either party without penalty, generally upon providing 30-day notice. Our clients have no obligation to renew their subscriptions for our solutions and services after the expiration of their subscription period. For us to maintain or improve our operating results, it is important that our customers continue to maintain their subscriptions on the same or more favorable terms. We cannot accurately predict renewal or expansion rates given the diversity of our customer base in terms of size, industry, and geography. Our renewal and expansion rates may decline or fluctuate as a result of several factors, including consumer spending levels, client satisfaction with our solutions and services, decreases in the number of users, changes in the type and size of our customers, pricing changes, competitive conditions, the acquisition of our customers by other companies, and general economic conditions. If our customers do not renew their subscriptions, our revenue and other operating results will decline and our business will suffer. If our renewal or expansion rates fall significantly below the expectations of the public market, securities analysts, or investors, the trading price of our common stock would likely decline.</w:t>
      </w:r>
    </w:p>
    <w:p>
      <w:pPr>
        <w:spacing w:after="0" w:line="20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Further, we have key customers and a more pronounced customer concentration in certain markets. Consequently, the loss of any of our key customers or any significant reduction in their usage of our solutions and services may reduce our sales revenue and net profit. There can be no guarantee that our key customers will not in the future seek to source some or all of their solutions and services from competitors or begin to develop such solutions or services in-house. Any loss, change or other adverse event related to our key customer relationships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b w:val="1"/>
          <w:bCs w:val="1"/>
          <w:color w:val="auto"/>
        </w:rPr>
        <w:t>Our systems and our third-party providers’ systems, including Worldpay, PayPal and other payment processing partners, may fail, or our third-party providers may discontinue providing their services or technology generally or to us specifically, which in either case could interrupt our business, cause us to lose business and increase our costs.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rely on our systems, technology and infrastructure to perform well on a consistent basis. From time to time in the past we have experienced (and in the future we may experience) occasional interruptions that make some or all of this framework and related information unavailable or that prevent us from providing solutions and services. Any such interruption could arise for any number of reasons. We also rely on third parties, such as Worldpay, PayPal and other payment processing partners, for specific services, software and hardware used in providing our solutions and services. Some of these organizations and service providers are our competitors or provide similar services and technology to our competitors, and we may not have long-term contracts with them. If these contracts are canceled or we are unable to renew them on commercially reasonable terms, or at all, our business, financial condition and results of operation could be adversely impacted. The termination by our service or technology providers of their arrangements with us or their failure to perform their services efficiently and effectively may adversely affect our relationships with our clients and, if we cannot find alternate providers quickly, may cause those clients to terminate their processing agreements with us. We will continually work to expand and enhance the efficiency and scalability of our framework to improve the consumer and service professional experience, accommodate substantial increases in the number of visitors to our various platforms, ensure acceptable load times for our various solutions and services and keep up with changes in technology and user preferences. If we do not do so in a timely and cost-effective manner, the user experience and demand across our brands and businesses could be adversely affected, which could adversely affect our business, financial condition and results of operations.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systems and operations or those of our third-party technology vendors could be exposed to damage or interruption from, among other things, fire, natural disaster, power loss, telecommunications failure, unauthorized entry, computer viruses, denial-of-service attacks, acts of terrorism, human error, vandalism or sabotage, financial insolvency and similar events. Our property and business interruption insurance may not be adequate to compensate us for all losses or failures that may occur. While we and the third parties upon whom we rely have certain backup systems in place for certain aspects of our respective frameworks, none of our frameworks are fully redundant and disaster recovery planning is not sufficient for all eventualities. Defects in our systems or those of third parties, errors or delays in the processing of payment transactions, telecommunications failures or other difficulties could result in:</w:t>
      </w:r>
    </w:p>
    <w:p>
      <w:pPr>
        <w:spacing w:after="0" w:line="18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revenues;</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clients;</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client and cardholder data;</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imposed by payment networks;</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harm to our business or reputation resulting from negative publicity;</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fraud losses or other liabilities;</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operating and development costs; or</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technical or other resources, among other consequences.</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 the extent that such disruptions result in delays or cancellations of customer orders, or the deployment of our solutions, our business, operating results and financial condition would be adversely affected.</w:t>
      </w:r>
    </w:p>
    <w:p>
      <w:pPr>
        <w:spacing w:after="0" w:line="19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color w:val="auto"/>
        </w:rPr>
        <w:t>If lower margin solutions and services grow at a faster rate than our higher margin solutions and services, we may experience lower aggregate profitability and margins.</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While we have experienced significant growth across our offering of solutions and services, certain solutions and services, such as our marketing technology solutions, have lower margins as compared to our subscription and transaction fee services, such as our vertical business management software and integrated payment solutions. For the year ended December 31, 2020, subscription and transaction fees and marketing technology solutions generated 69.0% and 25.6%, respectively, of our total revenues. Subscription and transaction fees and marketing technology solutions generated 71.4% and 24.6%, respectively, of our total revenues for three months ended September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2021, and 71.1% and 25.1%, respectively, of our total revenues for the nine months ended September 30, 2021. To the extent our lower margin solutions and services grow as a portion of our overall business, there may be an adverse impact on our aggregate profitability and margins. Due primarily to acquisitions involving marketing technology solutions during the periods, marketing technology solutions revenue increased 130.1% in the year ended December 31, 2020 compared to the year ended December 31, 2019, whereas revenue from subscription and transaction fees increased 23.9%. In the three and nine months ended September 30, 2021, revenue from subscription and transaction fees increased 52.9% and 49.7% compared to the three and nine months ended September 30, 2020, respectively, whereas marketing technology solutions revenue increased 29.8% and 41.8%, respectively, for the corresponding periods. To the extent our marketing technology solutions revenue grows at a faster rate, whether by acquisition or otherwise, than our subscription and transaction fees revenue, it could negatively impact our cost of revenues as a percentage of revenue.</w:t>
      </w:r>
    </w:p>
    <w:p>
      <w:pPr>
        <w:spacing w:after="0" w:line="19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addition, we may be unable to achieve satisfactory prices for our offerings or maintain prices at competitive levels across our offering of solutions and services. If we are unable to maintain our prices, or if our costs increase and we are unable to offset such increase with an increase in our prices, our margins could decline. We will continue to be subject to significant pricing pressure, and expect that we will continue to experience growth across our offerings, including in respect of our lower margin solutions, such as our marketing technology solutions, which will likely have a material adverse effect on our margins.</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The outbreak of the novel strain of coronavirus disease has impacted, and a future pandemic, epidemic or outbreak of an infectious disease in the United States could impact, our business, financial condition and results of operations, as well as the business or operations of third parties with whom we conduct business.</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December 2019, a novel strain of coronavirus, SARS-CoV-2, was identified in Wuhan, China. Since then, SARS-CoV-2, and the resulting disease, COVID-19, has spread to almost every country in the world and all 50 states within the United States. The COVID-19 pandemic and related health concerns relating to the outbreak has significantly increased economic uncertainty and has caused economies, businesses, markets and communities around the globe to be disrupted, and in many cases, shut-down. The COVID-19 pandemic is evolving, and to date has led to the implementation of various responses, including government-imposed quarantines, travel restrictions and other public health safety measures, as well as the development and controlled distribution of vaccines. In the interest of public health, many governments closed physical stores and business locations deemed to be non-essential, which has caused increasing unemployment levels and for businesses to permanently close. These and other measures have also negatively impacted consumer spending and business spending habits, and have adversely impacted and may further impact our workforce and operations and the operations of our customers across industries and markets. For example, in March 2020, in compliance with the local, state and federal government regulations, we transitioned our worldwide workforce and operations to a remote, work-from-home setting, with the exception of certain customer support personnel. In the second quarter of 2020 we completed a reduction in our workforce. We also reduced other operating expenses in an effort to maintain profitability and cash flow. Although certain measures are beginning to ease in some geographic regions, overall measures to contain the COVID-19 outbreak may remain in place for a significant period of time, and certain geographic regions are experiencing a resurgence of COVID-19 infections. The duration and severity of this pandemic is unknown and the extent of the business disruption and financial impact depend on factors beyond our knowledge and control.</w:t>
      </w:r>
    </w:p>
    <w:p>
      <w:pPr>
        <w:spacing w:after="0" w:line="20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Given the uncertainty around the duration and extent of the COVID-19 pandemic, we expect the evolving COVID-19 pandemic to continue to impact our business, financial condition, results of operations and liquidity, but cannot accurately predict at this time the future potential impact on our business, financial condition, results of operations or liquidity. Many SMBs, including customers in each of our three current verticals, have been adversely impacted by the COVID-19 pandemic. For example, various government measures, community self-isolation practices and shelter-in-place requirements, as well as the perceived need by individuals to continue such practices to avoid infection, have generally reduced our customers operations and demand for their products and services. At the initial peak of the pandemic, nearly all fitness studios and gyms were closed and many locations remain closed, either on a permanent basis or until they are permitted to open by local regulations. Such regulations may also impose stringent guidelines with respect to the operations of studios and gyms, including a reduced number of class participants, increased spacing requirements and restrictions on sharing equipment. These requirements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associated compliance costs have had and may continue to have an adverse impact on the operations of our Fitness &amp; Wellness Services customers and accordingly on our operations and business as well. Similarly, Health Services was and continue to be significantly impacted by the COVID-19 pandemic. For example, many patients have avoided or been encouraged not to visit hospitals, physicians and other services provides or to undergo optional or elective procedures and treatments.</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Conversely, pandemics, epidemics and outbreaks may significantly and temporarily increase demand in certain industries and markets in which we operate. For example, the COVID-19 pandemic has generally increased demand for, and utilization of, telehealth services, and has increased demand from customers shifting to technology-focused, digital-first business models. While such increases may help to offset the decline of business and demand in other industries, there can be no assurance that these levels of interest, demand and use will continue at current levels or will not decrease during or after the pandemic. Federal and state budget shortfalls, exacerbated by the COVID-19 pandemic could lead to potential reductions in funding for Medicare and Medicaid. Further reductions in reimbursements from Medicare and Medicaid could lead to our Health Services customers postponing expenditures on information technology and related services.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addition, preventative and precautionary measures that we, other businesses, our communities and governments have and are taking in response to the COVID-19 pandemic may continue to adversely affect elements of our business. We have taken temporary precautionary measures intended to help mitigate the risk of the coronavirus to our employees, including the transition of our worldwide workforce and operations to a remote, work-from-home setting in March 2020, and our subsequent efforts to supply our employees with the necessary equipment and tools to work-from-home. It is possible that such widespread remote work arrangements and reduced capacities could have a negative impact on our operations and the productivity and availability of key personnel and other employees necessary to conduct our business, or otherwise cause operational failures due to changes in our normal business practices necessitated by the COVID-19 pandemic and related governmental actions. The increase in remote working may also result in consumer and patient privacy, IT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Further, 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which could result in a reduction in our ability to access capital that could adversely affect our liquidity.</w:t>
      </w:r>
    </w:p>
    <w:p>
      <w:pPr>
        <w:spacing w:after="0" w:line="19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full extent to which the outbreak of COVID-19 will impact our business, results of operations and financial condition is still unknown and will depend on future developments, which are highly uncertain and cannot be predicted, including, but not limited to, the duration and spread of the outbreak, its severity, the emergence of variants and strains of the virus, the actions to contain the virus or treat its impact, including the development and distribution of vaccines and therapies,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spacing w:after="0" w:line="1"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color w:val="auto"/>
        </w:rPr>
        <w:t>To the extent the COVID-19 pandemic adversely affects our business, financial condition and results of operations, it may also have the effect of heightening many of the other risks described in this “Risk Factors” section.</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We are subject to economic and political risk, the business cycles of our clients and changes in the overall level of consumer and commercial spending, which could negatively impact our business, financial condition and results of operations.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are exposed to general economic conditions that affect consumer confidence, consumer spending, consumer discretionary income and changes in consumer purchasing habits. A sustained deterioration in general economic conditions, particularly in the United States, or increases in interest rates, could adversely affect our financial performance by reducing the number or aggregate volume of transactions made using electronic payments.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reduction in the amount of consumer or commercial spending could result in a decrease in our revenue and profits. If our customers make fewer purchases or sales of products and services using electronic payments, or consumers spend less money through electronic payments, we will have fewer transactions to process at lower dollar amounts, resulting in lower revenue.</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While we attempt to minimize our exposure to economic or market fluctuations by serving a balanced mix of end markets and geographic regions, any significant or sustained downturn in a specific end market or geographic region can impact our business and that of our customers. These factors may make it difficult for our customers and us to accurately forecast and plan future business activities; neither we nor our customers can predict the timing, strength or duration of any economic downturn or subsequent recovery. Furthermore, if a significant portion of our customers are concentrated in a specific geographic area or industry, our business may be disproportionately affected by negative trends or economic downturns in those specific geographic areas or industries. These factors may also cause our customers to reduce their capital expenditures, alter the mix of services purchased and otherwise slow their spending on our services. In addition, due to these conditions, many of our competitors may be more inclined to take greater or unusual risks or accept terms and conditions in contracts that we might not deem acceptable. These conditions and factors may reduce the demand for our services and solutions, and more generally may adversely affect our business, results of operations and financial condition.</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 weakening in the economy could have a negative impact on our customers, as well as the customers they serve who purchase solutions and services using the payment processing systems to which we provide access, which could, in turn, negatively affect our business, financial condition and results of operations. Many of our clients are SMBs. To continue to grow our revenue, we must add new SMB customers, sell additional solutions and services to existing SMB customers and encourage existing SMB customers to continue doing business with us. However, a weakening in the economy could force SMBs to close at higher than historical rates in part because many of them are not as well capitalized as larger organizations and are typically less able to make technology-related decisions based on factors other than price, which could expose us to potential credit losses and future transaction declines. Further, credit card issuers may reduce credit limits and become more selective in their card issuance practices. We also have a certain amount of fixed and semi-fixed costs, including rent, debt service and salaries, which could limit our ability to quickly adjust costs and respond to changes in our business and the economy.</w:t>
      </w:r>
    </w:p>
    <w:p>
      <w:pPr>
        <w:spacing w:after="0" w:line="20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General inflation, including wage inflation, increases in interest rates, currency volatility as well as monetary, fiscal and policy interventions by national or regional governments in anticipation of or reaction to such events could have negative impacts on our business by increasing our operating costs and our borrowing costs as well as decreasing the capital available for our customers to purchase our solutions and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retain our personnel and hire additional skilled personnel, we may be unable to achieve our goals.</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Our future success depends upon our ability to attract, train and retain highly skilled employees and contract workers, particularly our management team, sales and marketing personnel, professional services personnel and software engineers. Any of our key personnel have worked for us for a significant amount of time or were recruited by us specifically due to their experience. Our success depends in part upon the reputation and influence within the industry of our senior managers who have, over the years, developed long standing and favorable relationships with our vendors, card associations, bank sponsors and other payment processing and service providers. Each of our executive officers and other key employees may terminate his or her relationship with us at any time and the loss of the services of one or a combination of our senior executives or members of our senior management team, including our Chief Executive Officer, Eric Remer, our President, Matthew Feierstein, and our Chief Financial Officer, Marc Thompson, may significantly delay or prevent the achievement of our business or development objectives and could materially harm our business. Further, contractual obligations related to confidentiality and assignment of intellectual property rights may be ineffective or unenforceable, and departing employees may share our proprietary information with competitors in ways that could adversely impact us.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certain senior management personnel are substantially vested in their stock option grants or other equity compensation. While we periodically grant additional equity awards to management personnel and other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employees to provide additional incentives to remain employed by us, employees may be more likely to leave us if a significant portion of their equity compensation is fully vested.</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face intense competition for qualified individuals from numerous other technology companies. Often, significant amounts of time and resources are required to train technical personnel and we may lose new employees to our competitors or other technology companies before we realize the benefit of our investment in recruiting and training them. We may be unable to attract and retain suitably qualified individuals who are capable of meeting our growing technical, operational and managerial requirements, on a timely basis or at all, and we have paid and may in the future be required to pay increased compensation in order to do so, including as a result of wage inflation. Because of the technical nature of our solutions and services and the dynamic market in which we compete, any failure to attract and retain qualified personnel, as well as our contract workers, could have a material adverse effect on our ability to generate sales or successfully develop new solutions, client and consulting services and enhancements of existing solutions and services. Also, to the extent we hire personnel from competitors, we may be subject to allegations that they have been improperly solicited or divulged proprietary or other confidential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indebtedness could adversely affect our financial health and competitive position.</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As of September 30, 2021, we had cash, cash equivalents and restricted cash of $98.3 million, $155.0 million of available borrowing capacity under our New Revolver and $385.0 million outstanding under our New Credit Facilities. To service this debt and any additional debt we may incur in the future, we need to generate cash. Our ability to generate cash is subject, to a certain extent, to our ability to successfully execute our business strategy, including acquisition activity, as well as general economic, financial, competitive, regulatory and other factors beyond our control. There can be no assurance that our business will be able to generate sufficient cash flow from operations or that future borrowings or other financing will be available to us in an amount sufficient to enable us to service our debt and fund our other liquidity needs. To the extent we are required to use our cash flow from operations or the proceeds of any future financing to service our debt instead of funding working capital, capital expenditures, acquisition activity or other general corporate purposes, we will be less able to plan for, or react to, changes in our business, industry and in the economy generally. This will place us at a competitive disadvantage compared to our competitors that have less debt. There can be no assurance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the terms of our New Credit Facility contain, and any agreements evidencing or governing other future debt may contain, certain restrictive covenants that limit our ability, among other things, to engage in certain activities that are in our long-term best interests and align with our business strategies or operations, including our ability to:</w:t>
      </w:r>
    </w:p>
    <w:p>
      <w:pPr>
        <w:spacing w:after="0" w:line="20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liens on property, assets or revenues;</w:t>
      </w:r>
    </w:p>
    <w:p>
      <w:pPr>
        <w:ind w:left="660" w:hanging="328"/>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or assume additional debt or amend our debt and other material agreements;</w:t>
      </w:r>
    </w:p>
    <w:p>
      <w:pPr>
        <w:ind w:left="660" w:hanging="328"/>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declare or make distributions and redeem or repurchase equity interests or issue preferred stock;</w:t>
      </w:r>
    </w:p>
    <w:p>
      <w:pPr>
        <w:ind w:left="660" w:hanging="328"/>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ind w:left="660" w:hanging="328"/>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investments;</w:t>
      </w:r>
    </w:p>
    <w:p>
      <w:pPr>
        <w:ind w:left="660" w:hanging="328"/>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certain business activities;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certain mergers and asset sales.</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addition, under certain circumstances, we will be required to satisfy and maintain a specified financial ratio under the terms of our New Credit Facilities. While we have not previously breached and are not in breach of any of these covenants, there can be no guarantee that we will not breach these covenants in the future. Our ability to comply with these covenants and restrictions may be affected by events and factors beyond our control. Our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rPr>
          <w:sz w:val="20"/>
          <w:szCs w:val="20"/>
          <w:color w:val="auto"/>
        </w:rPr>
      </w:pPr>
      <w:r>
        <w:rPr>
          <w:rFonts w:ascii="Arial" w:cs="Arial" w:eastAsia="Arial" w:hAnsi="Arial"/>
          <w:sz w:val="17"/>
          <w:szCs w:val="17"/>
          <w:color w:val="auto"/>
        </w:rPr>
        <w:t>comply with any of these covenants or restrictions could result in an event of default under the terms of our indebtedness. An event of default would permit the lending banks to take certain actions, including terminating all outstanding commitments and declaring all amounts outstanding to be immediately due and payable, including all outstanding borrowings, accrued and unpaid interest thereon, and all other amounts owing or payable with respect to such borrowings and any terminated commitments. In addition, the lenders would have the right to proceed against the collateral we granted to them, which includes substantially all of our assets. If payment of outstanding amounts under our New Credit Facilities accelerated, our assets may be insufficient to repay such amounts in full, and our common stockholders could experience a partial or total loss of their investment.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fluctuations may affect our results of operations and financial condition.</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Fluctuations in interest rates could have a material effect on our business. As a result, we may incur higher interest costs if interest rates increase. These higher interest costs could have a material adverse impact on our financial condition and the levels of cash we maintain for working capital.</w:t>
      </w:r>
    </w:p>
    <w:p>
      <w:pPr>
        <w:spacing w:after="0" w:line="17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addition, the terms of any Eurocurrency borrowings under our Credit Facilities use, and we expect that such borrowings under our New Credit Facilities will use, a LIBOR rate, which represents the ICE Benchmark Administration Interest Settlement Rate, as a benchmark for establishing the rate of interest. The London Interbank Offered Rate (“LIBOR”), is the subject of recent national, international, and other regulatory guidance and proposals for reform and is expected to be replaced with a new benchmark or to perform differently than in the past. While our Credit Facilities, and the expected terms of our New Credit Facilities, generally provide for alternative and LIBOR successor rates in the event that the existing rate cannot be determined in accordance with the terms of the agreements, the consequences of these developments cannot be entirely predicted but could include an increase in the cost of our variable rate indebtedness.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As a result of becoming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of 2002 (“the Sarbanes-Oxley Act”), the Dodd-Frank Wall Street Reform and Consumer Protection Act of 2010, the listing requirements of The Nasdaq Stock Market, and other applicable securities rules and regulations. Compliance with these rules and regulations has increased and will continue to increase our legal and financial compliance costs, make some activities more difficult, time 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Although we have already hired additional employees to comply with these requirements, we may need to hire more employees in the future or engage outside consultants, which would increase our costs and expenses.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a public company, we will also be required, pursuant to Section 404 of the Sarbanes-Oxley Act, to furnish a report by management on, among other things, the effectiveness of our internal control over financial reporting commencing with our second annual report on Form 10-K.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This assessment will need to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later of the date we are deemed to be an “accelerated filer” or a “large accelerated filer,” each as defined in the Exchange Act, or the date we are no longer an emerging growth company, as defined in the JOBS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20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are in the early stages of the costly and challenging process of compiling the system and processing documentation necessary to perform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If we are unable to assert that our internal control over financial reporting is effective, or if our independent registered public accounting firm is unable to express an opinion on the effectiveness of our internal control,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the Nasdaq Global Select Market.</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addition, as we continue to scale and improve our operations, including our internal systems and processes, we are currently implementing, and in the future may seek to implement, a variety of critical systems, such as billing, human resource information systems and accounting systems. We cannot assure you that new systems, including any increases in scale or related improvements, will be successfully implemented or that appropriate personnel will be available to facilitate and manage these processes. Failure to implement necessary systems and procedures, transition to new systems and processes or hire the necessary personnel could result in higher costs, compromised internal reporting and processes and system errors or failures. For example, we recently initiated the simultaneous implementation of a number of systems, including a new enterprise resource planning (“ERP”) system that facilitates orderly maintenance of books and records and the preparation of financial statements. ERP system implementations are complex projects that require significant investment of capital and human resources, the reengineering of many business processes and the attention of many employees who would otherwise be focused on other aspects of our business. The implementation and transition to any new critical system, including our new ERP system, may be disruptive to our business if they do not work as planned or if we experience issues related to such implementation or transition, which could have a material adverse effect on our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general, under Section 382 of the Internal Revenue Code of 1986, as amended, or the Code, a corporation that undergoes an “ownership change” is subject to limitations on its ability to utilize its pre-ownership change NOLs to offset future taxable income.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Similar rules may apply under state tax laws. Our existing NOLs may be subject to limitations arising from previous ownership changes, and if there is a future change in our stock ownership (which may be outside of our control) that results in an ownership change, our ability to utilize NOLs could be further limited by Section 382 of the Code. U.S. federal NOLs generated in taxable years beginning on or before December 31, 2017, or pre-2017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NOLs, are subject to expiration while U.S. federal and certain state NOLs generated in taxable years beginning after December 31, 2017, or post- 2017 NOLs, are not subject to expiration. Additionally, for taxable years beginning after December 31, 2020, the deductibility of federal post-2017 NOLs is limited to 80% of our taxable income in such year, where taxable income is determined without regard to the NOL for such post-2017 NOLs. For these and other reasons, we may not be able to realize a tax benefit from the use of our NOLs.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Government healthcare regulation, healthcare industry standards and other requirements create risks and challenges with respect to our compliance efforts and our business strategies within Health Services.</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healthcare industry is highly regulated and subject to frequently changing laws, regulations and industry standards. These laws and regulations may impact us directly or indirectly through our contracts with Health Services customers. Many healthcare laws and regulations are complex, and their application to specific solutions, services and relationships may not be clear. In particular, many existing healthcare laws and regulations, when enacted, did not anticipate the healthcare IT solutions and services that we provide, and these laws and regulations may be applied to our solutions and services in ways that we do not anticipate. The Patient Protection and Affordable Care Act, as amended by the Health Care and Education Reconciliation Act of 2010 (collectively, the “ACA”), efforts to repeal or materially change the ACA, and other federal and state efforts to reform or revise aspects of the healthcare industry or to revise or create additional legal or regulatory requirements could impact our operations, the use of our solutions and our ability to market new solutions, or could create unexpected liabilities for us. We have attempted to structure our business and operations to comply with laws, regulations and other requirements applicable to us and to our customers and contractors, but there can be no assurance that our business or operations will not be challenged or impacted by enforcement initiatives.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We may be unable to adequately protect or enforce, and we may incur significant costs in enforcing or defending, our intellectual property and other proprietary rights.</w:t>
      </w:r>
    </w:p>
    <w:p>
      <w:pPr>
        <w:spacing w:after="0" w:line="19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success depends in part on our ability to enforce and defend our intellectual property and other proprietary rights. We rely upon a combination of trademark, trade secret, copyright and other intellectual property laws, as well as license agreements and other contractual provisions, to protect our intellectual property and other proprietary rights. In addition, we attempt to protect our intellectual property and proprietary information by requiring our employees and consultants to enter into confidentiality, non-competition and assignment of inventions agreements. However, we cannot be certain that the steps we have taken or will take to protect and enforce our intellectual property and proprietary rights will be successful. Third parties may challenge, invalidate, circumvent, infringe, misappropriate or otherwise violate our intellectual property or the intellectual property of our third-party licensors, and any of these claims or actions may result in restrictions on our use of our intellectual property or the conduct of our business. Our intellectual property may not be sufficient to permit us to take advantage of current market trends or otherwise to provide competitive advantages, which could result in costly redesign efforts, discontinuance of certain service offerings or other competitive harm. Others, including our competitors, may independently develop similar technology, duplicate our solutions and services, design around or reverse engineer our intellectual property, and in such cases neither we nor our third-party licensors may be able to assert intellectual property rights against such parties. We also rely, and expect to continue to rely on, certain services and intellectual property that we license from third parties for use in our product offerings and services. We cannot be certain that our licensors are not infringing upon the intellectual property rights of others or that our suppliers and licensors have sufficient rights to the third-party technology incorporated into our platform in all jurisdictions in which we may operate. Further, our contractual license arrangements may be subject to termination or renegotiation with unfavorable terms to us, and our third-party licensors may be subject to bankruptcy, insolvency and other adverse business dynamics, any of which might affect our ability to use and exploit the products licensed to us by these third-party licensors. We may have to litigate to enforce or determine the scope and enforceability of our intellectual property rights (including litigation against our third-party licensors), which is expensive, could cause a diversion of resources and may not prove successful. The loss of intellectual property protection or the inability to obtain the right to use third-party intellectual property could harm our business and ability to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Further, existing U.S. federal and state intellectual property laws offer only limited protection and the laws of other countries in which we market our software solutions and services may afford little or no effective protection of our intellectual property. Therefore, our intellectual property rights may not be as strong or as easily enforced outside of the U.S.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We may be subject to patent, trademark and other intellectual property infringement claims, which may be time-consuming, and cause us to incur significant liability and increase our costs of doing business.</w:t>
      </w: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cannot be certain that our products and services and the operation of our business do not, or will not, infringe or otherwise violate the intellectual property rights of third parties. Third parties may assert infringement claims against us with respect to current or future solutions, including for patent infringement, breach of copyright, trademark, license usage or other intellectual property rights. There may be existing patents or patent applications of which we are unaware that could be pertinent to our business; many patent applications are filed confidentially in the United States and are not published until 18 months following the applicable filing date. Additionally, in recent years, individuals and groups have been purchasing intellectual property assets for the sole purpose of making claims of infringement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In addition, the outcome of litigation is uncertain, and any claim from third parties may result in a limitation on our ability to use the intellectual property subject to these claims. Claims of intellectual property infringement also might require us to redesign or reengineer our affected solutions or services, enter into costly settlement or license agreements, pay costly royalties, license fees or damage awards for which we may not have insurance, or face a temporary or permanent injunction prohibiting us from marketing or selling certain of our solutions or services. Even if we have an agreement for indemnification against such costs, the indemnifying party, if any in such circumstances, may be unable to uphold its contractual obligations. If we cannot or do not license the infringed technology on reasonable terms or substitute similar technology from another source, our revenue and earnings could be materially and adversely affected.</w:t>
      </w:r>
    </w:p>
    <w:p>
      <w:pPr>
        <w:spacing w:after="0" w:line="205"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color w:val="auto"/>
        </w:rPr>
        <w:t>We may be subject to claims asserting that our employees or consultants have wrongfully used or disclosed alleged trade secrets of their current or former employers or claims asserting ownership of what we regard as our own intellectual property.</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employees or third parties or defend claims that they may bring against us to determine the ownership of what we regard as our intellectual property. Any of the foregoing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“open source” software could adversely affect our ability to offer our services and subject us to possible litigation.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may use open source software in connection with the development and deployment of our solutions and services, and we expect to continue to use open source software in the future. Companies that use open source software in connection with their products have, from time to time, faced claims challenging the use of open source software and/or compliance with open source license terms. As a result, we could be subject to suits by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claiming ownership of what we believe to be open source software or claiming noncompliance with open source licensing terms. Some open source software licenses require users who distribute software containing or linked to open source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try to ensure that none is used in a manner that would require us to disclose our proprietary source code or that would otherwise breach the terms of an open source agreement, such use could inadvertently occur, in part because open source license terms are often ambiguous and almost none of them have been interpreted by U.S. or foreign courts. Any requirement to disclose our proprietary source code or pay damages for breach of contract could have a material adverse effect on our business, financial condition and results of operations and could help our competitors develop products and services that are similar to or better than ours.</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Further, in addition to risks related to license requirements, use of certain open source software carries greater technical and legal risks than does the use of third-party commercial software. For example, open source software is generally provided without any support or warranties or other contractual protections regarding infringement or the quality of the code, including the existence of security vulnerabilities. To the extent that our platform depends upon the successful operation of open source software, any undetected errors or defects in open source software that we use could prevent the deployment or impair the functionality of our systems and injure our reputation. In addition, the public availability of such software may make it easier for others to compromise our platform. Any of the foregoing risks could materially and adversely affect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and user bases, and thereby decrease our revenue.</w:t>
      </w:r>
    </w:p>
    <w:p>
      <w:pPr>
        <w:spacing w:after="0" w:line="19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(the “FTC”), and various state, local and foreign agencies. We collect personally identifiable information and other data from our customers and the end-customers they serve and use this information to provide services to such customers and end-customers, as well as to support, expand and improve our business.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U.S. federal and various state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At state level, lawmakers continue to pass new laws concerning privacy and data security. Particularly notable in this regard is the California Consumer Privacy Act (the “CCPA”), which became effective on January 1, 2020. The CCPA introduces significant new disclosure obligations and provides California consumers with significant new privacy rights. We have been and will continue to be required to expend resources to comply with the CCPA.</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Additionally, a new privacy law, the California Privacy Rights Act (the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Some observers have noted the CCPA and CPRA could mark the beginning of a trend toward more stringent privacy legislation in the United States, which could also increase our potential liability and adversely affect our business. Privacy laws are being considered and proposed in other states across the country, such as in New Hampshire, Illinois, Nebraska, and Minnesota. On March 2, 2021, Virginia enacted the Virginia Consumer Data Protection Act (the “CDPA”), a comprehensive privacy statute that shares similarities with the CCPA, CPRA, and legislation proposed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states. The CDPA will require us to incur additional costs and expenses in an effort to comply with it before it becomes effective on January 1, 2023. Broad federal privacy legislation also has been proposed. Recent and new state and federal legislation relating to privacy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Health Insurance Portability and Accountability Act of 1996 (“HIPAA”), as amended by the Health Information Technology for Economic and Clinical Health Act (“HITECH”), and its implementing regulations, impose privacy, security and breach notification obligations on “covered entities,” including certain health care providers, health plans, and health 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Entities that are found to be in violation of HIPAA, whether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Outside of the United States, many jurisdictions have laws or regulations dealing with the collection, use, sharing, or other processing of personal information, including laws in the European Economic Area (“EEA”), Canada, Middle East, Australia, and South America. For example, the General Data Protection Regulation in the EEA and its equivalent in the United Kingdom impose a strict data protection compliance regime (which will continue to be interpreted through guidance and decisions over the coming years) including: ensuring the security of personal data using appropriate technical and organizational measures; providing detailed disclosures about how personal data is collected and processed (in a concise, intelligible and easily accessible form); demonstrating that valid consent or another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imposing limitations on retention of personal data; maintaining a record of data processing; and complying with the principal of accountability and the obligation to demonstrate compliance through policies, procedures, training and audit. Failure to comply with these laws could result fines of up to the greater of €20 million ($24 million) or 4% of global turnover, stop processing orders, or civil litigation.</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are also subject to evolving European Union laws on data export requiring that where data is transferred outside the European Union to us or third-parties, there must be suitable safeguards in place. On July 16, 2020, the Court of Justice of the European Union (the “CJEU”) issued a decision invalidating the Privacy Shield framework on which we previously relied and requiring an assessment of the transfer on a case-by-case basis taking into account the legal regime applicable in the destination country. We continue to investigate and implement contractual, organizational, and technical changes in response to the decision but we cannot guarantee that any such changes will be sufficient under applicable laws and regulations or by our customers, governments, or the public. To the extent that we transfer personal data outside of the European Economic Area or the United Kingdom, there is risk that any of our data transfers will be halted, limited, or challenged by third parties.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federal Gramm-Leach-Bliley Act (the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nonpublic personal customer information.</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Each of these privacy, security, and data protection laws and regulations, and any other such changes or new laws or regulations, could impose significant limitations, require changes to our business, or restrict our use or storage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personal information, which may increase our compliance expenses and make our business more costly or less efficient to conduct. In addition, any such changes could compromise our ability to develop an adequate marketing strategy and pursue our growth strategy effectively, which, in turn, could adversely affect our business, financial condition, and results of operations. The interpretations and measures conducted by us in our efforts to comply with the applicable data protection laws may have been or may prove to be insufficient or incorrect. If our privacy or data security measures or practices fail to comply with current or future laws and regulations, we may be subject to claims, legal proceedings or other actions by individuals or governmental authorities based on privacy or data protection regulations and our commitments to customers and users, as well as negative publicity and a potential loss of business. Moreover, if future laws and regulations limit our customers and users’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Through our relationships with third parties, including payment processors such as Worldpay, we must comply with certain payments and other financial services-related regulations, as well as binding industry standards, including the card network rules. Our failure to comply could materially harm our business.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local, state, and federal laws, rules, regulations, licensing schemes, and industry standards that govern our business include, or may in the future include, those relating to underwriting, foreign exchange, payments services (such as money transmission, payment processing, and settlement services), anti-money laundering, combating terrorist financing, escheatment, international sanctions regimes, and compliance with the card network rules, PCI DSS and the NACHA Operating Rules. Each of the card networks (e.g., Visa, Mastercard, Discover and American Express) have specific rules applicable to the use of their network. We are subject to these rules pursuant to our agreements with payment processors and sponsor banks. The card network rules impose certain requirements on us, including notice and disclosure requirements, transaction monitoring. The PCI DSS, which contain compliance guidelines and standards with regard to our security surrounding the physical and electronic storage, processing and transmission of an individual’s cardholder data, is applicable to operations of the Company. Failure to obtain or maintain PCI DSS compliance could result in the Company’s inability to accept or process credit card payments on its own behalf, a merchant’s inability to utilize the Company’s software to process credit card payments and remain PCI Compliant, or subject the Company to penalties and fines. Further, if the Company’s internal systems are breached or compromised, the Company may be liable significant forensic investigation costs, consumer notification-related costs, for card re-issuance costs and subject to higher fines and transaction fees. The NACHA Operating Rules, which contain compliance guidelines and standards, including with respect to our security surrounding the physical and electronic storage, processing and transmission of an individual’s bank account data, are applicable to operations of the Company pursuant to our agreement with a third party to offer our customers ACH payment capabilities. Failure to maintain compliance with the NACHA Operating Rules could result in the Company’s inability to offer ACH transaction options to our customers or subject the Company to penalties and fines. Further, if the Company’s internal systems are breached or compromised, the Company may be liable for significant forensic investigation costs and consumer notification-related costs, and subject to higher fines and transaction fees. Any or all of these results could have a material negative effect on the Company’s operations. Changes in these security standards may cause us to incur significant unanticipated expenses to meet new requirements.</w:t>
      </w:r>
    </w:p>
    <w:p>
      <w:pPr>
        <w:spacing w:after="0" w:line="19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Evaluation of our compliance efforts, as well as the questions of whether and to what extent our solutions and services could be considered money transmission, are matters of regulatory interpretation and could change over time. We have taken the position that in all cases where we do not participate in the authorization of transactions or settlement of funds, that a solution or service does not meet the definition of “engaging in financial activities” under the GLBA and therefore we are not subject to the requirements set forth in GLBA and its implementing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P. In the future, if regulators disagree with our position with respect to GLBA or other potentially applicable laws, including those related to money transmission, or if new guidance or interpretations thereof are issued,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licenses or regulatory approvals, including state money transmitter licenses. There can be no assurance that we will be able to obtain or maintain any such licenses, and, even if we were able to do so, there could be substantial costs and potential changes to our solutions or services involved in maintaining such licenses, which could have a material and adverse effect on our business. In addition, we could be subject to fines or other enforcement action if we are found to violate disclosure, reporting, anti-money laundering, capitalization, corporate governance, or other requirements of such licenses. These factors could impose substantial additional costs, involve considerable delay to the development or provision of our solutions or services, require significant and costly operational changes, or prevent us from providing our solutions or services in any given market.</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If we fail to comply with complex procurement laws and regulations with respect to government contracts, we could lose business and be liable for various penalties.</w:t>
      </w:r>
    </w:p>
    <w:p>
      <w:pPr>
        <w:spacing w:after="0" w:line="19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must comply with laws and regulations relating to the formation, administration and performance of government contracts, which affect how we conduct business with certain governmental entities. In complying with these laws and regulations, we may incur additional costs. Any non-compliance could result in the imposition of significant fines and penalties, including contractual damages, and impact our ability to obtain additional business in the future. Our governmental entity clients periodically review our compliance with their contracts and our performance under the terms of such contracts. If we fail to comply with these contracts, laws and regulations, we may also suffer harm to our reputation, which could impair our ability to win awards of contracts in the future or receive renewals of existing contracts.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Our sending of commercial emails and text messages and certain other telephonic services must comply with the Telephone Consumer Protection Act, and future legislation, regulatory actions, or litigation could adversely affect our business.</w:t>
      </w:r>
    </w:p>
    <w:p>
      <w:pPr>
        <w:spacing w:after="0" w:line="19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United States regulates marketing by telephone and email and the laws and regulations governing the use of emails and telephone calls for marketing purposes continue to evolve, and changes in technology, the marketplace or consumer preferences may lead to the adoption of additional laws or regulations or changes in interpretation of existing laws or regulations. New laws or regulations, or changes to the manner in which existing laws and regulations or interpreted or enforced, may further restrict our ability to contact potential and existing customers by phone and email and could render us unable to communicate with consumers in a cost-effective fashion. For example, in the United States, the Controlling the Assault of Non-Solicited Pornography and Marketing Act of 2003 (the “CAN -SPAM Act”), among other things, obligates the sender of commercial emails to provide recipients with the ability to opt out of receiving future commercial emails from the sender.</w:t>
      </w:r>
    </w:p>
    <w:p>
      <w:pPr>
        <w:spacing w:after="0" w:line="20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addition, the Telephone Consumer Protection Act (the “TCPA”) is a federal statute that protects consumers from unwanted telephone calls and faxes. Since its inception, the TCPA’s purview has extended to certain text messages sent to consumers. We must ensure that our services, including those that leverage text messaging, comply with the TCPA, including its implementing regulations and agency guidance. The scope and interpretation of the TCPA is continuously evolving and developing. While we strive to adhere to strict policies and procedures compliant with the TCPA, a court or the Federal Communications Commission (the “FCC”), as the agency that implements and enforces the TCPA, may disagree with our interpretation of the TCPA and subject us to penalties and other consequences for noncompliance.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Failure to comply with obligations and restrictions related to telephone, text message and email marketing could subject us to lawsuits, fines, statutory damages, consent decrees, injunctions, adverse publicity and other losses that could harm our business. In addition, we provide certain services to our customers that involve text messaging that could be deemed to be automated dialing systems subject to restrictions under the TCPA. Consumers may bring, and have in the past brought, suit against us under the TCPA based on our services or our customers’ use of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particular, determination by a court or regulatory agency that our services or our customers’ use of our services violate the TCPA could subject us to civil damages and penalties, could invalidate all or portions of some of our client contracts, could require us to change or terminate some portions of our business, could require us to refund portions of our services fees, and could have an adverse effect on our business. Even an unsuccessful challenge by consumers or regulatory authorities to our services could result in adverse publicity and could require a costly response from us. In addition, any uncertainty regarding whether and how the TCPA applies to our business could increase our costs, limit our ability to grow, and have an adverse effect on our business.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We are subject to anti-corruption, anti-bribery, and similar laws, and non-compliance with such laws can subject us to criminal or civil liability and harm our business.</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are subject to the Foreign Corrupt Practices Act (“FCPA”),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Although we currently only maintain operations in the United States, as we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As we increase our international business, our risks under these laws may increase.</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The healthcare industry is heavily regulated at the local, state and federal levels. Our failure to comply with regulatory requirements could create liability for us or our customers, result in adverse publicity and negatively affect our business.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one of our three key verticals is Health Services, our operations and relationships, and those of our customers, are regulated by a number of federal, state and local governmental entities. The healthcare industry is heavily regulated and laws, regulations and industry standards are constantly evolving due to the changing political, legislative and regulatory landscapes. There are a significant number of wide-ranging healthcare laws and regulations, including but not limited to those described below, that may be directly or indirectly applicable to our operations and relationships or the business practices of our clients. We strive to ensure that our solutions and services are, and can be used by our customers in a manner that complies with those laws and regulations. Healthcare laws and regulations may change rapidly, and it is frequently unclear how they apply to our business. Any failure of our solutions or services to comply with these laws and regulations could result in substantial civil or criminal liability and could, among other things, adversely affect demand for our services, invalidate all or portions of some of our contracts with our customers, require us to change or terminate some portions of our business, require us to refund portions of our revenue, cause us to be disqualified from serving customers doing business with government payers, and give our customers the right to terminate our contracts with them, any one of which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Healthcare Fraud</w:t>
      </w:r>
      <w:r>
        <w:rPr>
          <w:rFonts w:ascii="Arial" w:cs="Arial" w:eastAsia="Arial" w:hAnsi="Arial"/>
          <w:sz w:val="16"/>
          <w:szCs w:val="16"/>
          <w:color w:val="auto"/>
        </w:rPr>
        <w:t>. A number of federal and state laws, including anti-kickback restrictions, such as the U.S. federal Anti- Kickback Statute (“AKS”) and</w:t>
      </w:r>
      <w:r>
        <w:rPr>
          <w:rFonts w:ascii="Arial" w:cs="Arial" w:eastAsia="Arial" w:hAnsi="Arial"/>
          <w:sz w:val="16"/>
          <w:szCs w:val="16"/>
          <w:i w:val="1"/>
          <w:iCs w:val="1"/>
          <w:color w:val="auto"/>
        </w:rPr>
        <w:t xml:space="preserve"> </w:t>
      </w:r>
      <w:r>
        <w:rPr>
          <w:rFonts w:ascii="Arial" w:cs="Arial" w:eastAsia="Arial" w:hAnsi="Arial"/>
          <w:sz w:val="16"/>
          <w:szCs w:val="16"/>
          <w:color w:val="auto"/>
        </w:rPr>
        <w:t>laws prohibiting the submission of false or fraudulent claims, such as the False Claims Act apply to healthcare providers and others that provide, offer, solicit or receive payments to induce or reward referrals of items or services for which payment may be made under any federal or state healthcare program and, under certain state laws, any third-party payor. These laws are complex and their application to our specific services and relationships may not be clear and may be applied to our business in ways that we do not anticipate. Federal and state regulatory and law enforcement authorities have recently increased fraud and abuse enforcement activities, including in the healthcare IT industry. Additionally, from time to time, participants in the healthcare industry receive inquiries or subpoenas to produce documents in connection with government investigations.</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addition, our solutions and services include electronically transmitting claims for services and items rendered by providers to payers for approval and reimbursement. We also provide revenue cycle management services to our clients that include the coding, preparation, submission and collection of claims for medical service to payers for reimbursement. Such claims are governed by U.S. federal and state laws. The federal civil False Claims Act (“FCA”) imposes civil penalties on any persons that knowingly submit, or cause to be submitted, a false or fraudulent claim to a federal health care program such as Medicare or Medicaid. U.S. federal law may also impose criminal penalties for intentionally submitting such false claims. Further, the FCA contains a whistleblower provision that allows a private individual to file a lawsuit on behalf of the U.S. government and entitles that whistleblower to a percentage of any recoveries. In addition, the government may assert that a claim including items and services resulting from a violation of the AKS constitutes a false or fraudulent claim for purposes of the False Claims Act.</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It is possible that governmental authorities will conclude that our business practices may not comply with current or future statutes, regulations, agency guidance or case law involving applicable fraud and abuse or other healthcare laws and regulations. We may be subject to government investigations, and if our operations are found to be in violation of these laws, we may be subject to significant fines and penalties, including civil, criminal and administrative penalties, damages, exclusion from Medicare, Medicaid or other government-funded healthcare programs, integrity oversight and reporting obligations to resolve allegations of non-compliance, disgorgement, imprisonment, contractual damages, reputational harm, diminished profits and the curtailment or restructuring of our operations. Any investigation or proceeding related to these laws, even if unwarranted or without merit, may have a material adverse effect on our business, results of operations and financial condition.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i w:val="1"/>
          <w:iCs w:val="1"/>
          <w:color w:val="auto"/>
        </w:rPr>
        <w:t>Security and Privacy of Health-Related Information</w:t>
      </w:r>
      <w:r>
        <w:rPr>
          <w:rFonts w:ascii="Arial" w:cs="Arial" w:eastAsia="Arial" w:hAnsi="Arial"/>
          <w:sz w:val="17"/>
          <w:szCs w:val="17"/>
          <w:color w:val="auto"/>
        </w:rPr>
        <w:t>. Federal, state and local laws regulate the privacy and security of health-related information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under which such health-related information may be used, disclosed, transmitted and maintained. For example, HIPAA regulations require the use of uniform electronic data transmission standards and code sets for certain health care claims and payment transactions submitted or received electronically. The privacy and security regulations promulgated under HIPAA regulate the use and disclosure of individually identifiable health information. privacy and security requirements on covered entities and their business associates. HIPAA requires covered entities and business associates to develop and maintain policies with respect to the protection of, use and disclosure of electronic PHI, including the adoption of administrative, physical and technical safeguards to protect such information, and certain notification requirements in the event of a data breach. The Company’s operations could be negatively impacted by a violation of the HIPAA privacy or security rules. Additionally, if the Company or its business associates fail to comply with HIPAA or contractual requirements, or create or are otherwise involved in a HIPAA data breach, the Company may face significant fines and penalties, ongoing compliance requirements, reputational harm, contractual reimbursement, recoupment or other obligations, and private litigation brought by impacted individuals.</w:t>
      </w:r>
    </w:p>
    <w:p>
      <w:pPr>
        <w:spacing w:after="0" w:line="20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i w:val="1"/>
          <w:iCs w:val="1"/>
          <w:color w:val="auto"/>
        </w:rPr>
        <w:t xml:space="preserve">Promoting Interoperability Programs and Health IT Certification. </w:t>
      </w:r>
      <w:r>
        <w:rPr>
          <w:rFonts w:ascii="Arial" w:cs="Arial" w:eastAsia="Arial" w:hAnsi="Arial"/>
          <w:sz w:val="18"/>
          <w:szCs w:val="18"/>
          <w:color w:val="auto"/>
        </w:rPr>
        <w:t>The American Recovery and Reinvestment Act of 2009 (“ARRA”) initially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“meaningful use of certified electronic health record technology” by healthcare providers by 2015 in order to receive limited incentive payments and to avoid related reduced reimbursement rates for Medicare claims. These laws and regulations have continued to evolve over time. Further, standards and specifications implemented under these laws are subject to interpretation by the entities designated to certify such technology. While a combination of our solutions has been certified as meeting standards for certified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health record technology, the regulatory standards to achieve certification will continue to evolve over time. We may incur increased development costs and delays in delivering solutions if we need to upgrade our software or healthcare devices to be in compliance with these varying and evolving standards. In addition, further delays in interpreting these standards may result in postponement or cancellation of our clients’ decisions to purchase our software solutions. If our software solutions are not compliant with these evolving standards, our relationships with current customers, market position and sales could be impaired and we may have to invest significantly in changes to our software solutions.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i w:val="1"/>
          <w:iCs w:val="1"/>
          <w:color w:val="auto"/>
        </w:rPr>
        <w:t>New Information Blocking and Interoperability Rules</w:t>
      </w:r>
      <w:r>
        <w:rPr>
          <w:rFonts w:ascii="Arial" w:cs="Arial" w:eastAsia="Arial" w:hAnsi="Arial"/>
          <w:sz w:val="17"/>
          <w:szCs w:val="17"/>
          <w:color w:val="auto"/>
        </w:rPr>
        <w:t>. In March 2020, the Office of National Coordinator for Health Information Technology (“ONC”) of</w:t>
      </w:r>
      <w:r>
        <w:rPr>
          <w:rFonts w:ascii="Arial" w:cs="Arial" w:eastAsia="Arial" w:hAnsi="Arial"/>
          <w:sz w:val="17"/>
          <w:szCs w:val="17"/>
          <w:i w:val="1"/>
          <w:iCs w:val="1"/>
          <w:color w:val="auto"/>
        </w:rPr>
        <w:t xml:space="preserve"> </w:t>
      </w:r>
      <w:r>
        <w:rPr>
          <w:rFonts w:ascii="Arial" w:cs="Arial" w:eastAsia="Arial" w:hAnsi="Arial"/>
          <w:sz w:val="17"/>
          <w:szCs w:val="17"/>
          <w:color w:val="auto"/>
        </w:rPr>
        <w:t>the HHS released the “21st Century Cures Act: Interoperability, Information Blocking, and the ONC Health IT Certification Program, Final Rule.” The rule implements several of the key interoperability provisions included in the 21st Century Cures Act. Specifically, it calls on developers of certified EHRs and health IT products to adopt standardized application programming interfaces, which will help allow individuals to securely and easily access structured and unstructured electronic health information formats using smartphones and other mobile devices. This provision and others included in the new rule create a potentially lengthy list of new certification and maintenance of certification requirements that developers of EHRs and other health IT products must meet in order to maintain approved federal government certification status. Meeting and maintaining this certification status could require additional development costs. The ONC rule also implements the information blocking provisions of the 21st Century Cures Act, including identifying reasonable and necessary activities that do not constitute information blocking. Under the 21st Century Cures Act, HHS has the regulatory authority to investigate and assess civil monetary penalties against health IT developers and/or providers found to be guilty of “information blocking.” This new oversight and authority to investigate claims of information blocking could create significant risks for us and our clients and could potentially create substantial new compliance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stock price may be volatile or may decline regardless of our operating performance, resulting in substantial losses for investors.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fluctuate significantly in response to numerous factors, many of which are beyond our control, including:</w:t>
      </w:r>
    </w:p>
    <w:p>
      <w:pPr>
        <w:spacing w:after="0" w:line="23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conditions and results of operations;</w:t>
      </w: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ind w:left="660" w:hanging="328"/>
        <w:spacing w:after="0" w:line="21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ind w:left="660" w:hanging="328"/>
        <w:spacing w:after="0" w:line="21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results of operations or capital commitments;</w:t>
      </w: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stock market valuations and operating performance of other technology companies generally, or those in our industry in particular;</w:t>
      </w:r>
    </w:p>
    <w:p>
      <w:pPr>
        <w:spacing w:after="0" w:line="5" w:lineRule="exact"/>
        <w:rPr>
          <w:rFonts w:ascii="Arial" w:cs="Arial" w:eastAsia="Arial" w:hAnsi="Arial"/>
          <w:sz w:val="16"/>
          <w:szCs w:val="16"/>
          <w:color w:val="auto"/>
        </w:rPr>
      </w:pP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board of directors or management;</w:t>
      </w:r>
    </w:p>
    <w:p>
      <w:pPr>
        <w:ind w:left="660" w:hanging="328"/>
        <w:spacing w:after="0" w:line="21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certain affiliates of Providence Strategic Growth, Silver Lake or our executive officers and directors;</w:t>
      </w: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anticipated or actual changes in laws, regulations or government policies applicable to our business;</w:t>
      </w: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in the United States;</w:t>
      </w:r>
    </w:p>
    <w:p>
      <w:pPr>
        <w:ind w:left="660" w:hanging="328"/>
        <w:spacing w:after="0" w:line="23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pandemics (including COVID-19), incidents of terrorism or responses to these events;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of this Quarterly Report on Form 10-Q.</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common stock, which could cause a decline in the value of your investment. Price volatility may be greater if the public float and trading volume of shares of our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20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The parties to our sponsor stockholders agreement hold a substantial portion of our outstanding common stock, and such parties interests may conflict with our interests and the interests of other stockholders.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parties to our sponsor stockholders agreement own approximately 78.1% of our common stock. We have agreed to nominate to our board of directors individuals designated by Providence Strategic Growth and Silver Lake in accordance with the sponsor stockholders agreement. Providence Strategic Growth and Silver Lake will each retain the right to designate directors for so long as they beneficially own at least 5% of the aggregate number of shares of common stock outstanding. In addition, for so long as Providence Strategic Growth and Silver Lake collectively beneficially own at least 30% of the aggregate number of shares of common stock outstanding, certain actions by us or any of our subsidiaries will require the prior written consent of each of Providence Strategic Growth and Silver Lake so long as such shareholder is entitled to designate at least two (2) directors for nomination to our board of directors. The actions that will require prior written consent include: (i) change in control transactions, (ii) acquiring or disposing of assets or any business enterprise or division thereof for consideration excess of $500.0 million in any single transaction or series of transactions, (iii) increasing or decreasing the size of our board of directors, (iv) terminating the employment of our chief executive officer or hiring a new chief executive officer, (v) initiating any liquidation, dissolution, bankruptcy or other insolvency proceeding involving us or any of our significant subsidiaries, and (vi) any transfer, issue, issuance, sale or disposition of any shares of common stock, other equity securities, equity-linked securities or securities that are convertible into equity securities of us or our subsidiaries to any person or entity that is a non-strategic financial investor in a private placement transaction or series of transactions.</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Even when the parties to our sponsor stockholders agreement cease to own shares of our stock representing a majority of the total voting power, for so long as the parties to such agreement continue to own a significant percentage of our stock, they will still be able to significantly influence or effectively control the composition of our board of directors and the approval of actions requiring stockholder approval through their voting power. In addition, pursuant to the sponsor stockholder agreement, we are generally required to obtain the prior written consent of the parties to our sponsor stockholders agreement before we or our subsidiaries undertake certain actions. Accordingly, for such period of time, the parties to our sponsor stockholders agreement will have significant influence with respect to our management, business plans and policies. In particular, for so long as the parties to our sponsor stockholders agreement continue to own a significant percentage of our stock, the parties to such agreement may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Further, our amended and restated certificate of incorporation provides that the doctrine of “corporate opportunity” does not apply with respect to certain parties to our stockholders agreements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See “—Our amended and restated certificate of incorporation will provide that the doctrine of “corporate opportunity” does not apply with respect to certain parties to our stockholders agreements and any director or stockholder who is not employed by us or our subsidiaries.”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Substantial future sales by the parties to our stockholders agreements or other holders of our common stock, or the perception that such sales may occur, could depress the price of our common stock.</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parties to our stockholders agreements collectively own approximately 83.3% of our outstanding shares of common stock. In addition to the limitations on the sale and transfer of shares of common stock held by such stockholders as set forth in the stockholders agreements, subject to the restrictions described in the paragraph below, future sales of these shares in the public market will be subject to the volume and other restrictions of Rule 144 under the Securities Act, for so long as such parties are deemed to be our affiliates, unless the shares to be sold are registered with the SEC. These stockholders are entitled to rights with respect to the registration of their shares. We are unable to predict with certainty whether or when such parties will sell a substantial number of shares of our common stock. The sale by the parties to our stockholders agreements of a substantial number of shares, or a perception that such sales could occur, could significantly reduce the market price of our common stock. Except as otherwise described in our Prospectus, all shares of our common stock offered in our initial public offering are freely tradable without restriction, assuming they are not held by our affiliates.</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and all directors, officers and the holders of substantially all of our outstanding common stock and stock options have agreed that, without the prior written consent of at least three of the representatives on behalf of the underwriters, we and they will not, and will not publicly disclose an intention to, during the period ending 180 days after June 30, 2021 (the “restricted period”) (i)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(ii) file any registration statement with the SEC relating to the offering of any shares of common stock or any securities convertible into or exercisable or exchangeable for common stock or</w:t>
      </w:r>
    </w:p>
    <w:p>
      <w:pPr>
        <w:ind w:firstLine="8"/>
        <w:spacing w:after="0" w:line="233" w:lineRule="auto"/>
        <w:tabs>
          <w:tab w:leader="none" w:pos="3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July 6, 2021, we filed a registration statement on Form S-8 registering under the Securities Act the shares of our common stock reserved for issuance under our incentive plan. If equity securities granted under our incentive plan are sold or it is perceived that they will be sold in the public market, the trading price of our common stock could decline substantially. These sales also could impede our ability to raise future capital.</w:t>
      </w:r>
    </w:p>
    <w:p>
      <w:pPr>
        <w:spacing w:after="0" w:line="19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are a “controlled company” under the corporate governance rules of The Nasdaq Stock Market and, as a result, qualify for, and rely on, exemptions from certain corporate governance requirements. You do not have the same protections afforded to stockholders of companies that are subject to such requirements.</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Certain affiliates of Providence Strategic Growth and Silver Lake will own approximately 78.1% of our common stock and are parties, among others, to the sponsor stockholders agreement. The parties to the sponsor stockholders agreement have agreed to vote, or cause to vote, all of their outstanding shares of our common stock at any annual or special meeting of stockholders in which directors are elected, so as to cause the election of the directors nominees designated by each party. As a result, we are a “controlled company” within the meaning of the corporate governance standards of the rules of The Nasdaq Stock Market. Under these rules, a listed company of which more than 50% of the voting power is held by an individual, group or another company is a “controlled company” and may elect not to comply with certain corporate governance requirements, including:</w:t>
      </w:r>
    </w:p>
    <w:p>
      <w:pPr>
        <w:spacing w:after="0" w:line="19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60" w:hanging="328"/>
        <w:spacing w:after="0" w:line="22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that 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p>
      <w:pPr>
        <w:ind w:left="660" w:hanging="328"/>
        <w:spacing w:after="0" w:line="23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that it have a compensation committee that is composed entirely of independent directors with a written charter addressing the committee’s purpose and responsibilities.</w:t>
      </w:r>
    </w:p>
    <w:p>
      <w:pPr>
        <w:spacing w:after="0" w:line="20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do not intend to rely on all of these exemptions. However, as long as we remain a “controlled company,” we may elect in the future to take advantage of any of these exemptions. As a result of any such election, our board of directors would not have a majority of independent directors, our compensation committee would not consist entirely of independent directors and our directors would not be nominated or selected by independent directors. Accordingly, you do not have the same protections afforded to stockholders of companies that are subject to all of the corporate governance requirements of the rules of The Nasdaq Stock Market.</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they publish negative reports about our business, our share price and trading volume could decline.</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or publish negative views on us or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We are an “emerging growth company” and our compliance with the reduced reporting and disclosure requirements applicable to “emerging growth companies” may make our common stock less attractive to investors.</w:t>
      </w:r>
    </w:p>
    <w:p>
      <w:pPr>
        <w:spacing w:after="0" w:line="19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are an “emerging growth company,” as defined in the JOBS Act, and we have elected to take advantage of certain exemptions and relief from various reporting requirements that are applicable to other public companies that are not “emerging growth companies.” These provisions include, but are not limited to: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 executive compensation in our periodic reports and proxy statements; and not being required to hold nonbinding advisory votes on executive compensation or on any golden parachute payments not previously approved.</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while we are an “emerging growth company,” we will not be required to comply with any new financial accounting standard until such standard is generally applicable to private companies. As a result, our financial statements may not be comparable to companies that are not “emerging growth companies” or elect not to avail themselves of this provision.</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may remain an “emerging growth company” until as late as December 31, 2026, the fiscal year-end following the fifth anniversary of the completion of our initial public offering, though we may cease to be an “emerging growth company” earlier under certain circumstances, including if (i) we have more than $1.07 billion in annual revenue in any fiscal year, (ii) we become a “large accelerated filer,” with at least $700 million of equity securities held by non-affiliates as of the end of the second quarter of that fiscal year or (iii) we issue more than $1.0 billion of non-convertible debt over a three-year period. The exact implications of the JOBS Act are still subject to interpretations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be required to devote substantial time to new compliance initiatives.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The Nasdaq Stock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are permitted to implement many of these requirements over a longer period and up to five years from the pricing of the IPO. We intend to take advantage of this legislation for as long as we are permitted to do so. Once we become required to implement these requirements, we will incur additional compliance-related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expect the rules and regulations applicable to public companies to continue to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solutions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addition, public company reporting and disclosure obligations may cause our business and financial condition to become more visible. We believe that this increased profile and visibility may result in threatened or actual litigation from time to time. If such claims are successful, our business, operating results and financial condition may be adversely affected, and even if the claims do not result in litigation or are resolved in our favor, these claims, and the time and resources necessary to resolve them and the diversion of management resources, could adversely affect our business, operating results and financial condition.</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common stock.</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Certain provisions in our amended and restated certificate of incorporation and amended and restated bylaws contain provisions that may make the acquisition of our company more difficult, including the following:</w:t>
      </w:r>
    </w:p>
    <w:p>
      <w:pPr>
        <w:spacing w:after="0" w:line="197" w:lineRule="exact"/>
        <w:rPr>
          <w:sz w:val="20"/>
          <w:szCs w:val="20"/>
          <w:color w:val="auto"/>
        </w:rPr>
      </w:pPr>
    </w:p>
    <w:p>
      <w:pPr>
        <w:ind w:left="660" w:hanging="328"/>
        <w:spacing w:after="0" w:line="22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amendments to certain provisions of our amended and restated certificate of incorporation or amendments to our amended and restated bylaws generally require the approval of at least 66 2/3% of the voting power of our outstanding capital stock;</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staggered board;</w:t>
      </w:r>
    </w:p>
    <w:p>
      <w:pPr>
        <w:jc w:val="both"/>
        <w:ind w:left="660" w:hanging="328"/>
        <w:spacing w:after="0" w:line="243"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 any time when the parties to our sponsor stockholders agreement beneficially own, in the aggregate, at least a majority of the voting power of our outstanding capital stock, our stockholders may take action by consent without a meeting, and at any time when the parties to our sponsor stockholders agreement beneficially own, in the aggregate, less than the majority of the voting power of our outstanding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our stockholders may not take action by written consent, but may only take action at a meeting of stockholders;</w:t>
      </w: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does not provide for cumulative voting;</w:t>
      </w:r>
    </w:p>
    <w:p>
      <w:pPr>
        <w:ind w:left="660" w:hanging="328"/>
        <w:spacing w:after="0" w:line="21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vacancies on our board of directors may be filled only by our board of directors and not by stockholders, subject to the rights granted pursuant to the stockholders agreements;</w:t>
      </w:r>
    </w:p>
    <w:p>
      <w:pPr>
        <w:ind w:left="660" w:hanging="328"/>
        <w:spacing w:after="0" w:line="21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special meeting of our stockholders may only be called by the chairperson of our board of directors, our Chief Executive Officer or a majority of our board of directors;</w:t>
      </w:r>
    </w:p>
    <w:p>
      <w:pPr>
        <w:ind w:left="660" w:hanging="328"/>
        <w:spacing w:after="0" w:line="232"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unless we otherwise consent in writing, restrict the forum for certain litigation against us to Delaware or the federal courts, as applicable;</w:t>
      </w:r>
    </w:p>
    <w:p>
      <w:pPr>
        <w:ind w:left="660" w:right="20" w:hanging="328"/>
        <w:spacing w:after="0" w:line="21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board of directors has the authority to issue shares of undesignated preferred stock, the terms of which may be established and shares of which may be issued without further action by our stockholders; and</w:t>
      </w:r>
    </w:p>
    <w:p>
      <w:pPr>
        <w:jc w:val="both"/>
        <w:ind w:left="660" w:hanging="328"/>
        <w:spacing w:after="0" w:line="22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 notice procedures apply for stockholders (other than the parties to our stockholders agreements for nominations made pursuant to the terms of the stockholders agreements) to nominate candidates for election as directors or to bring matters before an annual meeting of stockholders.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addition, we have opted out of Section 203 of the Delaware General Corporation Law, but our amended and restated certificate of incorporation provides that engaging in any of a broad range of business combinations with any “interested stockholder” (generally defined as any person who, together with that person’s affiliates and associates, owns, 15% or more of our outstanding voting stock) for a period of three years following the date on which the stockholder became an “interested stockholder” is prohibited, provided, however, that, under our amended and restated certificate of incorporation, the parties to our sponsor stockholders agreement and their respective affiliates will not be deemed to be interested stockholders regardless of the percentage of our outstanding voting stock owned by them, and accordingly will not be subject to such restrictions.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doctrine of “corporate opportunity” does not apply with respect to certain parties to our stockholders agreements and any director or stockholder who is not employed by us or our subsidiaries.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Pursuant to our amended and restated certificate of incorporation, we renounce, to the fullest extent permitted by law and in accordance with Section 122(17) of the Delaware General Corporation Law all interest and expectancy that we otherwise would be entitled to have in, and all rights to be offered an opportunity to participate in, any opportunity that may be presented to Providence Strategic Growth, Silver Lake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Providence Strategic Growth and Silver Lake or their affiliates and any director or stockholder who is not employed by us or our subsidiaries, therefore,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transactions that could potentially be beneficial to us. Accordingly, we may lose a corporate opportunity or suffer competitive harm, which could negatively impact our business, operating results and financial condition.</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 that the Court of Chancery of the State of Delaware is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amended and restated certificate of incorporation provides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Section 22 of the Securities Act creates concurrent jurisdiction for federal and state courts over all claims brought to enforce any duty or liability created by the Securities Act or the rules and regulations thereunder.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Notwithstanding the foregoing, the exclusive forum provision does not apply to claims seeking to enforce any liability or duty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choice of forum provision in our amended and restated certificate of incorporation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Because we maintain and may expand our business that is located outside of the United States, our business is susceptible to risks associated with international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maintain operations outside of the United States, including in Canada, the United Kingdom, Australia and Jordan, which we may expand in the future.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Conducting and expanding international operations subjects us to new risks that we have not generally faced in the United States. These include:</w:t>
      </w:r>
    </w:p>
    <w:p>
      <w:pPr>
        <w:spacing w:after="0" w:line="21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foreign currency exchange rate risk;</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collecting payments internationally, and managing and staffing international operations;</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relationships with employees, independent contractors, subcontractors and suppliers in international locations;</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increased travel, infrastructure and legal compliance costs associated with international locations;</w:t>
      </w:r>
    </w:p>
    <w:p>
      <w:pPr>
        <w:ind w:left="660" w:hanging="328"/>
        <w:spacing w:after="0" w:line="21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burdens of complying with a wide variety of laws associated with international operations, including data privacy and security, taxes and customs;</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fines, penalties and collateral consequences if we fail to comply with anti-bribery laws;</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heightened risk of improper, unfair or corrupt business practices in certain geographies;</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adverse tax consequences, including in connection with repatriation of earnings;</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 and</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utilize and may in the future increase our utilization of independent contractors in a number of jurisdictions in which we operate, including India. The tests governing whether an employee is an independent contractor or an employee vary by governing law and are typically highly fact sensitive. Laws and regulations that govern the status and misclassification of independent contractors are subject to changes and divergent interpretations by various authorities which can create uncertainty and unpredictability for us. A determination in, or settlement of, any legal proceeding, whether we are party to such legal proceeding or not, that classifies independent contractors as employees, could harm our business, financial condition and results of operations, including as a result of, among others, monetary exposure arising from or relating to failure to withhold and remit taxes, unpaid wages and wage and hour laws and requirements (such as those pertaining to failure to pay minimum wage and overtime, or to provide required breaks and wage statements), expense reimbursement, statutory and punitive damages, penalties, and government fines. The occurrence of any one of these risks could negatively affect our international operations and, consequently,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rules, assumptions and/or judgments could materially and adversely affect us.</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Accounting rules and interpretations for certain aspects of our operations are highly complex and involve significant assumptions and judgment. These complexities could lead to a delay in the preparation and dissemination of our financial statements. Furthermore, changes in accounting rules and interpretations or in our accounting assumptions and/or judgments could significantly impact our financial statements. In some cases, we could be required to apply a new or revised standard retroactively, resulting in restating prior period financial statements. Any of these circumstances could have a material adverse effect on our business, prospects, liquidity,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the outcomes of such litigation could negatively impact our future financial condition and results of operations.</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the ordinary course of our business, we are, from time to time, subject to various litigation and legal proceedings. As a public company, we may be subject to proceedings across a variety of matters, including matters involving stockholder class actions, tax audits, unclaimed property audits and related matters, employment and others. The outcome of litigation and other legal proceedings and the magnitude of potential losses therefrom, particularly class action lawsuits and regulatory actions, is difficult to assess or quantify. Significant legal proceedings, if decided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adversely to us or settled by us, may require changes to our business operations that negatively impact our operating results or involve significant liability awards that impact our financial condition. The cost to defend litigation may be significant. As a result, legal proceedings may adversely affect our business, financial condition, results of operations or liquidity.</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We may be subject to additional tax liabilities in connection with our operations or due to future legislation, each of which could materially impact our financial position and results of operation.</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We are subject to federal and state income, sales, use, value added and other taxes in the United States and other countries in which we conduct business, and such laws and rates vary by jurisdiction. We do not collect sales and use, value added and similar taxes in all jurisdictions in which we have sales, based on our belief that such taxes are not applicable. Certain jurisdictions in which we do not collect sales, use, value added or other taxes on our sales may assert that such taxes are applicable, which could result in tax assessments, penalties and interest, and we may be required to collect such taxes in the future. There is also uncertainty over sales tax liability as a result of the U.S. Supreme Court’s decision in </w:t>
      </w:r>
      <w:r>
        <w:rPr>
          <w:rFonts w:ascii="Arial" w:cs="Arial" w:eastAsia="Arial" w:hAnsi="Arial"/>
          <w:sz w:val="17"/>
          <w:szCs w:val="17"/>
          <w:i w:val="1"/>
          <w:iCs w:val="1"/>
          <w:color w:val="auto"/>
        </w:rPr>
        <w:t>South Dakota v. Wayfair, Inc.</w:t>
      </w:r>
      <w:r>
        <w:rPr>
          <w:rFonts w:ascii="Arial" w:cs="Arial" w:eastAsia="Arial" w:hAnsi="Arial"/>
          <w:sz w:val="17"/>
          <w:szCs w:val="17"/>
          <w:color w:val="auto"/>
        </w:rPr>
        <w:t xml:space="preserve">, which held that states could impose sales tax collection obligations on out-of-state sellers even if those sellers lack any physical presence within the states imposing the sales taxes. Under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a person requires only a “substantial nexus” with the taxing state before the state may subject the person to sales tax collection obligations therein. An increasing number of states (both before and after the publication of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have considered or adopted laws that attempt to impose sales tax collection obligations on out-of-state sellers. The Supreme Court’s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decision has removed a significant impediment to the enactment and enforcement of these laws, and it is possible that states may seek to tax out-of-state sellers on sales that occurred in prior tax years. Similarly, non-U.S. jurisdictions have imposed or proposed digital services taxes, including in connection with the Organization for Economic Co-Operation and Development’s (“OECD”) Base Erosion and Profit Shifting (“BEPS”) Project. These taxes, whether imposed unilaterally by non-U.S. jurisdictions or in response to multilateral measures (e.g., the BEPS Project), could result in taxation of companies that have customers in a particular jurisdiction but do not operate there through a permanent establishment. Changes to tax law or administration such as these, whether at the state level or the international level, could increase our tax administrative costs and tax risk, and negatively affect our overall business, results of operations, financial condition and cash flows.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Although we believe our tax practices and provisions are reasonable, the final determination of tax audits and any related litigation could be materially different from our historical tax practices, provisions and accruals. If we receive an adverse ruling as a result of an audit, or we unilaterally determine that we have misinterpreted provisions of the tax regulations to which we are subject, there could be a material effect on our tax provision, net income or cash flows in the period or periods for which that determination is made, which could materially impact our financial results. In addition, liabilities associated with taxes are often subject to an extended or indefinite statute of limitations period. Therefore, we may be subject to additional tax liability (including penalties and interest) for a particular year for extended periods of time. Further, any changes in the taxation of our activities, may increase our effective tax rate and adversely affect our financial position and results of operations. For example, the United States government may enact significant changes to the taxation of business entities including, among others, a permanent increase in the corporate income tax rate, an increase in the tax rate applicable to the global intangible low-taxed income and elimination of certain exemptions, and the imposition of minimum taxes or surtaxes on certain types of income. No specific United States tax legislation has been proposed at this time and the likelihood of these changes being enacted or implemented is unclear. We are currently unable to predict whether such changes will occur and, if so, the ultimate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currently intend to retain any future earnings to finance the operation and expansion of our business and we do not expect to declare or pay any dividends in the foreseeable future. Moreover, the terms of our existing Credit Agreement, and the expected terms of our New Credit Facilities, restrict our ability to pay dividends, and any additional debt we may incur in the future may include similar restrictions. In addition, Delaware law may impose requirements that may restrict our ability to pay dividends to holders of our common stock. As a result,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must rely on sales of their common stock after price appreciation as the only way to realize any future gains on their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primarily depend on our subsidiaries for cash to fund operations and expenses, including future dividend payments, if any.</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do not conduct significant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See Part I, Item 2, “Management’s Discussion and Analysis of Financial Condition and Results of Operations— Liquidity and Capital Resources in this Quarterly Report on Form 10-Q.” The deterioration of the earnings from, or other available assets of, our subsidiaries for any reason could impair their ability to make distributions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Purchases of Equity Securities by the Issuer or Affiliated Purchaser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information regarding unregistered securities sold from July 1, 2021 through September 30, 2021:</w:t>
      </w:r>
    </w:p>
    <w:p>
      <w:pPr>
        <w:spacing w:after="0" w:line="225" w:lineRule="exact"/>
        <w:rPr>
          <w:sz w:val="20"/>
          <w:szCs w:val="20"/>
          <w:color w:val="auto"/>
        </w:rPr>
      </w:pPr>
    </w:p>
    <w:p>
      <w:pPr>
        <w:ind w:left="660" w:right="20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July 6, 2021, we sold 4,411,764 shares of our common stock to entities affiliated with Silver Lake at a purchase price of $17.00 per share for aggregate gross and net proceeds of $75.0 million.</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offers, sales, and issuances of the securities described above were deemed to be exempt from registration under the Securities Act in reliance on Section 4(a)(2) of the Securities Act or Regulation D promulgated thereunder as transactions by an issuer not involving a public offering. The foregoing transaction did not involve any underwriters, underwriting discounts or commissions or any public offering.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w w:val="98"/>
              </w:rPr>
              <w:t>Incorporated by Reference</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Filed/</w:t>
            </w:r>
          </w:p>
        </w:tc>
        <w:tc>
          <w:tcPr>
            <w:tcW w:w="0" w:type="dxa"/>
            <w:vAlign w:val="bottom"/>
          </w:tcPr>
          <w:p>
            <w:pPr>
              <w:spacing w:after="0"/>
              <w:rPr>
                <w:sz w:val="1"/>
                <w:szCs w:val="1"/>
                <w:color w:val="auto"/>
              </w:rPr>
            </w:pPr>
          </w:p>
        </w:tc>
      </w:tr>
      <w:tr>
        <w:trPr>
          <w:trHeight w:val="175"/>
        </w:trPr>
        <w:tc>
          <w:tcPr>
            <w:tcW w:w="108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20"/>
              <w:spacing w:after="0" w:line="175" w:lineRule="exact"/>
              <w:rPr>
                <w:sz w:val="20"/>
                <w:szCs w:val="20"/>
                <w:color w:val="auto"/>
              </w:rPr>
            </w:pPr>
            <w:r>
              <w:rPr>
                <w:rFonts w:ascii="Arial" w:cs="Arial" w:eastAsia="Arial" w:hAnsi="Arial"/>
                <w:sz w:val="16"/>
                <w:szCs w:val="16"/>
                <w:b w:val="1"/>
                <w:bCs w:val="1"/>
                <w:color w:val="auto"/>
              </w:rPr>
              <w:t>Filing</w:t>
            </w:r>
          </w:p>
        </w:tc>
        <w:tc>
          <w:tcPr>
            <w:tcW w:w="100" w:type="dxa"/>
            <w:vAlign w:val="bottom"/>
          </w:tcPr>
          <w:p>
            <w:pPr>
              <w:spacing w:after="0"/>
              <w:rPr>
                <w:sz w:val="15"/>
                <w:szCs w:val="15"/>
                <w:color w:val="auto"/>
              </w:rPr>
            </w:pPr>
          </w:p>
        </w:tc>
        <w:tc>
          <w:tcPr>
            <w:tcW w:w="11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0"/>
              </w:rPr>
              <w:t>Furnished</w:t>
            </w: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gridSpan w:val="23"/>
          </w:tcPr>
          <w:p>
            <w:pPr>
              <w:spacing w:after="0"/>
              <w:rPr>
                <w:sz w:val="20"/>
                <w:szCs w:val="20"/>
                <w:color w:val="auto"/>
              </w:rPr>
            </w:pPr>
            <w:r>
              <w:rPr>
                <w:rFonts w:ascii="Arial" w:cs="Arial" w:eastAsia="Arial" w:hAnsi="Arial"/>
                <w:sz w:val="16"/>
                <w:szCs w:val="16"/>
                <w:b w:val="1"/>
                <w:bCs w:val="1"/>
                <w:color w:val="auto"/>
              </w:rPr>
              <w:t>Exhibit Description</w:t>
            </w:r>
          </w:p>
        </w:tc>
        <w:tc>
          <w:tcPr>
            <w:tcW w:w="100" w:type="dxa"/>
            <w:vAlign w:val="bottom"/>
          </w:tcPr>
          <w:p>
            <w:pPr>
              <w:spacing w:after="0"/>
              <w:rPr>
                <w:sz w:val="19"/>
                <w:szCs w:val="19"/>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Form</w:t>
            </w:r>
          </w:p>
        </w:tc>
        <w:tc>
          <w:tcPr>
            <w:tcW w:w="100" w:type="dxa"/>
            <w:vAlign w:val="bottom"/>
          </w:tcPr>
          <w:p>
            <w:pPr>
              <w:spacing w:after="0"/>
              <w:rPr>
                <w:sz w:val="19"/>
                <w:szCs w:val="19"/>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File No.</w:t>
            </w:r>
          </w:p>
        </w:tc>
        <w:tc>
          <w:tcPr>
            <w:tcW w:w="80" w:type="dxa"/>
            <w:vAlign w:val="bottom"/>
          </w:tcPr>
          <w:p>
            <w:pPr>
              <w:spacing w:after="0"/>
              <w:rPr>
                <w:sz w:val="19"/>
                <w:szCs w:val="19"/>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9"/>
                <w:szCs w:val="19"/>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432"/>
        </w:trPr>
        <w:tc>
          <w:tcPr>
            <w:tcW w:w="1000" w:type="dxa"/>
            <w:vAlign w:val="bottom"/>
          </w:tcPr>
          <w:p>
            <w:pPr>
              <w:ind w:left="20"/>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FF"/>
            </w:tcBorders>
            <w:gridSpan w:val="11"/>
          </w:tcPr>
          <w:p>
            <w:pPr>
              <w:spacing w:after="0"/>
              <w:rPr>
                <w:rFonts w:ascii="Arial" w:cs="Arial" w:eastAsia="Arial" w:hAnsi="Arial"/>
                <w:sz w:val="16"/>
                <w:szCs w:val="16"/>
                <w:color w:val="0000FF"/>
                <w:w w:val="92"/>
              </w:rPr>
            </w:pPr>
            <w:hyperlink r:id="rId152">
              <w:r>
                <w:rPr>
                  <w:rFonts w:ascii="Arial" w:cs="Arial" w:eastAsia="Arial" w:hAnsi="Arial"/>
                  <w:sz w:val="16"/>
                  <w:szCs w:val="16"/>
                  <w:color w:val="0000FF"/>
                  <w:w w:val="92"/>
                </w:rPr>
                <w:t>Amended and Restated Certificate of Incorporation.</w:t>
              </w:r>
            </w:hyperlink>
          </w:p>
        </w:tc>
        <w:tc>
          <w:tcPr>
            <w:tcW w:w="1660" w:type="dxa"/>
            <w:vAlign w:val="bottom"/>
            <w:gridSpan w:val="13"/>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8-K</w:t>
            </w:r>
          </w:p>
        </w:tc>
        <w:tc>
          <w:tcPr>
            <w:tcW w:w="1200" w:type="dxa"/>
            <w:vAlign w:val="bottom"/>
          </w:tcPr>
          <w:p>
            <w:pPr>
              <w:ind w:left="20"/>
              <w:spacing w:after="0"/>
              <w:rPr>
                <w:sz w:val="20"/>
                <w:szCs w:val="20"/>
                <w:color w:val="auto"/>
              </w:rPr>
            </w:pPr>
            <w:r>
              <w:rPr>
                <w:rFonts w:ascii="Arial" w:cs="Arial" w:eastAsia="Arial" w:hAnsi="Arial"/>
                <w:sz w:val="16"/>
                <w:szCs w:val="16"/>
                <w:color w:val="auto"/>
              </w:rPr>
              <w:t>001-40575</w:t>
            </w:r>
          </w:p>
        </w:tc>
        <w:tc>
          <w:tcPr>
            <w:tcW w:w="8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7/9/21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Borders>
              <w:bottom w:val="single" w:sz="8" w:color="0000FF"/>
            </w:tcBorders>
            <w:gridSpan w:val="5"/>
          </w:tcPr>
          <w:p>
            <w:pPr>
              <w:spacing w:after="0"/>
              <w:rPr>
                <w:rFonts w:ascii="Arial" w:cs="Arial" w:eastAsia="Arial" w:hAnsi="Arial"/>
                <w:sz w:val="16"/>
                <w:szCs w:val="16"/>
                <w:color w:val="0000FF"/>
                <w:w w:val="90"/>
              </w:rPr>
            </w:pPr>
            <w:hyperlink r:id="rId153">
              <w:r>
                <w:rPr>
                  <w:rFonts w:ascii="Arial" w:cs="Arial" w:eastAsia="Arial" w:hAnsi="Arial"/>
                  <w:sz w:val="16"/>
                  <w:szCs w:val="16"/>
                  <w:color w:val="0000FF"/>
                  <w:w w:val="90"/>
                </w:rPr>
                <w:t>Amended and Restated Bylaws.</w:t>
              </w:r>
            </w:hyperlink>
          </w:p>
        </w:tc>
        <w:tc>
          <w:tcPr>
            <w:tcW w:w="2960" w:type="dxa"/>
            <w:vAlign w:val="bottom"/>
            <w:gridSpan w:val="19"/>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8-K</w:t>
            </w:r>
          </w:p>
        </w:tc>
        <w:tc>
          <w:tcPr>
            <w:tcW w:w="1200" w:type="dxa"/>
            <w:vAlign w:val="bottom"/>
          </w:tcPr>
          <w:p>
            <w:pPr>
              <w:ind w:left="20"/>
              <w:spacing w:after="0"/>
              <w:rPr>
                <w:sz w:val="20"/>
                <w:szCs w:val="20"/>
                <w:color w:val="auto"/>
              </w:rPr>
            </w:pPr>
            <w:r>
              <w:rPr>
                <w:rFonts w:ascii="Arial" w:cs="Arial" w:eastAsia="Arial" w:hAnsi="Arial"/>
                <w:sz w:val="16"/>
                <w:szCs w:val="16"/>
                <w:color w:val="auto"/>
              </w:rPr>
              <w:t>001-40575</w:t>
            </w: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7/9/21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24"/>
          </w:tcPr>
          <w:p>
            <w:pPr>
              <w:spacing w:after="0"/>
              <w:rPr>
                <w:rFonts w:ascii="Arial" w:cs="Arial" w:eastAsia="Arial" w:hAnsi="Arial"/>
                <w:sz w:val="16"/>
                <w:szCs w:val="16"/>
                <w:color w:val="0000FF"/>
              </w:rPr>
            </w:pPr>
            <w:hyperlink r:id="rId154">
              <w:r>
                <w:rPr>
                  <w:rFonts w:ascii="Arial" w:cs="Arial" w:eastAsia="Arial" w:hAnsi="Arial"/>
                  <w:sz w:val="16"/>
                  <w:szCs w:val="16"/>
                  <w:color w:val="0000FF"/>
                </w:rPr>
                <w:t>Form of Certificate of Common Stock.</w:t>
              </w:r>
            </w:hyperlink>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S-1/A</w:t>
            </w:r>
          </w:p>
        </w:tc>
        <w:tc>
          <w:tcPr>
            <w:tcW w:w="1200" w:type="dxa"/>
            <w:vAlign w:val="bottom"/>
          </w:tcPr>
          <w:p>
            <w:pPr>
              <w:ind w:left="20"/>
              <w:spacing w:after="0"/>
              <w:rPr>
                <w:sz w:val="20"/>
                <w:szCs w:val="20"/>
                <w:color w:val="auto"/>
              </w:rPr>
            </w:pPr>
            <w:r>
              <w:rPr>
                <w:rFonts w:ascii="Arial" w:cs="Arial" w:eastAsia="Arial" w:hAnsi="Arial"/>
                <w:sz w:val="16"/>
                <w:szCs w:val="16"/>
                <w:color w:val="auto"/>
              </w:rPr>
              <w:t>333-256641</w:t>
            </w: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6/23//21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vMerge w:val="restart"/>
          </w:tcPr>
          <w:p>
            <w:pPr>
              <w:ind w:left="20"/>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24"/>
          </w:tcPr>
          <w:p>
            <w:pPr>
              <w:spacing w:after="0"/>
              <w:rPr>
                <w:rFonts w:ascii="Arial" w:cs="Arial" w:eastAsia="Arial" w:hAnsi="Arial"/>
                <w:sz w:val="16"/>
                <w:szCs w:val="16"/>
                <w:color w:val="0000FF"/>
                <w:w w:val="97"/>
              </w:rPr>
            </w:pPr>
            <w:hyperlink r:id="rId155">
              <w:r>
                <w:rPr>
                  <w:rFonts w:ascii="Arial" w:cs="Arial" w:eastAsia="Arial" w:hAnsi="Arial"/>
                  <w:sz w:val="16"/>
                  <w:szCs w:val="16"/>
                  <w:color w:val="0000FF"/>
                  <w:w w:val="97"/>
                </w:rPr>
                <w:t>Registration Rights Agreement by and between EverCommerce Inc. and</w:t>
              </w:r>
            </w:hyperlink>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color w:val="auto"/>
              </w:rPr>
              <w:t>S-1</w:t>
            </w:r>
          </w:p>
        </w:tc>
        <w:tc>
          <w:tcPr>
            <w:tcW w:w="1200" w:type="dxa"/>
            <w:vAlign w:val="bottom"/>
            <w:vMerge w:val="restart"/>
          </w:tcPr>
          <w:p>
            <w:pPr>
              <w:ind w:left="20"/>
              <w:spacing w:after="0"/>
              <w:rPr>
                <w:sz w:val="20"/>
                <w:szCs w:val="20"/>
                <w:color w:val="auto"/>
              </w:rPr>
            </w:pPr>
            <w:r>
              <w:rPr>
                <w:rFonts w:ascii="Arial" w:cs="Arial" w:eastAsia="Arial" w:hAnsi="Arial"/>
                <w:sz w:val="16"/>
                <w:szCs w:val="16"/>
                <w:color w:val="auto"/>
              </w:rPr>
              <w:t>333-256641</w:t>
            </w: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5/28/21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380" w:type="dxa"/>
            <w:vAlign w:val="bottom"/>
            <w:tcBorders>
              <w:top w:val="single" w:sz="8" w:color="0000FF"/>
              <w:bottom w:val="single" w:sz="8" w:color="0000FF"/>
            </w:tcBorders>
            <w:gridSpan w:val="16"/>
          </w:tcPr>
          <w:p>
            <w:pPr>
              <w:spacing w:after="0" w:line="155" w:lineRule="exact"/>
              <w:rPr>
                <w:rFonts w:ascii="Arial" w:cs="Arial" w:eastAsia="Arial" w:hAnsi="Arial"/>
                <w:sz w:val="16"/>
                <w:szCs w:val="16"/>
                <w:color w:val="0000FF"/>
                <w:w w:val="91"/>
              </w:rPr>
            </w:pPr>
            <w:hyperlink r:id="rId155">
              <w:r>
                <w:rPr>
                  <w:rFonts w:ascii="Arial" w:cs="Arial" w:eastAsia="Arial" w:hAnsi="Arial"/>
                  <w:sz w:val="16"/>
                  <w:szCs w:val="16"/>
                  <w:color w:val="0000FF"/>
                  <w:w w:val="91"/>
                </w:rPr>
                <w:t>certain security holders of EverCommerce Inc., dated May 7, 2021.</w:t>
              </w:r>
            </w:hyperlink>
          </w:p>
        </w:tc>
        <w:tc>
          <w:tcPr>
            <w:tcW w:w="1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tcBorders>
              <w:bottom w:val="single" w:sz="8" w:color="0000FF"/>
            </w:tcBorders>
            <w:gridSpan w:val="12"/>
          </w:tcPr>
          <w:p>
            <w:pPr>
              <w:spacing w:after="0"/>
              <w:rPr>
                <w:rFonts w:ascii="Arial" w:cs="Arial" w:eastAsia="Arial" w:hAnsi="Arial"/>
                <w:sz w:val="16"/>
                <w:szCs w:val="16"/>
                <w:color w:val="0000FF"/>
                <w:w w:val="90"/>
              </w:rPr>
            </w:pPr>
            <w:hyperlink r:id="rId156">
              <w:r>
                <w:rPr>
                  <w:rFonts w:ascii="Arial" w:cs="Arial" w:eastAsia="Arial" w:hAnsi="Arial"/>
                  <w:sz w:val="16"/>
                  <w:szCs w:val="16"/>
                  <w:color w:val="0000FF"/>
                  <w:w w:val="90"/>
                </w:rPr>
                <w:t>Sponsor Stockholders Agreement, dated as of June 30, 2021</w:t>
              </w:r>
            </w:hyperlink>
          </w:p>
        </w:tc>
        <w:tc>
          <w:tcPr>
            <w:tcW w:w="1120" w:type="dxa"/>
            <w:vAlign w:val="bottom"/>
            <w:gridSpan w:val="12"/>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8-K</w:t>
            </w:r>
          </w:p>
        </w:tc>
        <w:tc>
          <w:tcPr>
            <w:tcW w:w="1200" w:type="dxa"/>
            <w:vAlign w:val="bottom"/>
          </w:tcPr>
          <w:p>
            <w:pPr>
              <w:ind w:left="20"/>
              <w:spacing w:after="0"/>
              <w:rPr>
                <w:sz w:val="20"/>
                <w:szCs w:val="20"/>
                <w:color w:val="auto"/>
              </w:rPr>
            </w:pPr>
            <w:r>
              <w:rPr>
                <w:rFonts w:ascii="Arial" w:cs="Arial" w:eastAsia="Arial" w:hAnsi="Arial"/>
                <w:sz w:val="16"/>
                <w:szCs w:val="16"/>
                <w:color w:val="auto"/>
              </w:rPr>
              <w:t>001-40575</w:t>
            </w: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7/9/21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Borders>
              <w:bottom w:val="single" w:sz="8" w:color="0000FF"/>
            </w:tcBorders>
            <w:gridSpan w:val="14"/>
          </w:tcPr>
          <w:p>
            <w:pPr>
              <w:spacing w:after="0"/>
              <w:rPr>
                <w:rFonts w:ascii="Arial" w:cs="Arial" w:eastAsia="Arial" w:hAnsi="Arial"/>
                <w:sz w:val="16"/>
                <w:szCs w:val="16"/>
                <w:color w:val="0000FF"/>
                <w:w w:val="90"/>
              </w:rPr>
            </w:pPr>
            <w:hyperlink r:id="rId157">
              <w:r>
                <w:rPr>
                  <w:rFonts w:ascii="Arial" w:cs="Arial" w:eastAsia="Arial" w:hAnsi="Arial"/>
                  <w:sz w:val="16"/>
                  <w:szCs w:val="16"/>
                  <w:color w:val="0000FF"/>
                  <w:w w:val="90"/>
                </w:rPr>
                <w:t>Management Stockholders Agreement, dated as of June 30, 2021</w:t>
              </w:r>
            </w:hyperlink>
          </w:p>
        </w:tc>
        <w:tc>
          <w:tcPr>
            <w:tcW w:w="800" w:type="dxa"/>
            <w:vAlign w:val="bottom"/>
            <w:gridSpan w:val="10"/>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8-K</w:t>
            </w:r>
          </w:p>
        </w:tc>
        <w:tc>
          <w:tcPr>
            <w:tcW w:w="1200" w:type="dxa"/>
            <w:vAlign w:val="bottom"/>
          </w:tcPr>
          <w:p>
            <w:pPr>
              <w:ind w:left="20"/>
              <w:spacing w:after="0"/>
              <w:rPr>
                <w:sz w:val="20"/>
                <w:szCs w:val="20"/>
                <w:color w:val="auto"/>
              </w:rPr>
            </w:pPr>
            <w:r>
              <w:rPr>
                <w:rFonts w:ascii="Arial" w:cs="Arial" w:eastAsia="Arial" w:hAnsi="Arial"/>
                <w:sz w:val="16"/>
                <w:szCs w:val="16"/>
                <w:color w:val="auto"/>
              </w:rPr>
              <w:t>001-40575</w:t>
            </w: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7/9/21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vMerge w:val="restart"/>
          </w:tcPr>
          <w:p>
            <w:pPr>
              <w:ind w:left="20"/>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24"/>
          </w:tcPr>
          <w:p>
            <w:pPr>
              <w:spacing w:after="0"/>
              <w:rPr>
                <w:rFonts w:ascii="Arial" w:cs="Arial" w:eastAsia="Arial" w:hAnsi="Arial"/>
                <w:sz w:val="16"/>
                <w:szCs w:val="16"/>
                <w:color w:val="0000FF"/>
                <w:w w:val="98"/>
              </w:rPr>
            </w:pPr>
            <w:hyperlink r:id="rId158">
              <w:r>
                <w:rPr>
                  <w:rFonts w:ascii="Arial" w:cs="Arial" w:eastAsia="Arial" w:hAnsi="Arial"/>
                  <w:sz w:val="16"/>
                  <w:szCs w:val="16"/>
                  <w:color w:val="0000FF"/>
                  <w:w w:val="98"/>
                </w:rPr>
                <w:t>Employment Agreement by and between the Company and Eric Remer,</w:t>
              </w:r>
            </w:hyperlink>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color w:val="auto"/>
              </w:rPr>
              <w:t>10-Q</w:t>
            </w:r>
          </w:p>
        </w:tc>
        <w:tc>
          <w:tcPr>
            <w:tcW w:w="1200" w:type="dxa"/>
            <w:vAlign w:val="bottom"/>
            <w:vMerge w:val="restart"/>
          </w:tcPr>
          <w:p>
            <w:pPr>
              <w:ind w:left="20"/>
              <w:spacing w:after="0"/>
              <w:rPr>
                <w:sz w:val="20"/>
                <w:szCs w:val="20"/>
                <w:color w:val="auto"/>
              </w:rPr>
            </w:pPr>
            <w:r>
              <w:rPr>
                <w:rFonts w:ascii="Arial" w:cs="Arial" w:eastAsia="Arial" w:hAnsi="Arial"/>
                <w:sz w:val="16"/>
                <w:szCs w:val="16"/>
                <w:color w:val="auto"/>
              </w:rPr>
              <w:t>001-40575</w:t>
            </w: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8/12/21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0"/>
              </w:rPr>
            </w:pPr>
            <w:hyperlink r:id="rId158">
              <w:r>
                <w:rPr>
                  <w:rFonts w:ascii="Arial" w:cs="Arial" w:eastAsia="Arial" w:hAnsi="Arial"/>
                  <w:sz w:val="16"/>
                  <w:szCs w:val="16"/>
                  <w:color w:val="0000FF"/>
                  <w:w w:val="90"/>
                </w:rPr>
                <w:t>dated July 1, 2021.</w:t>
              </w:r>
            </w:hyperlink>
          </w:p>
        </w:tc>
        <w:tc>
          <w:tcPr>
            <w:tcW w:w="32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gridSpan w:val="2"/>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vMerge w:val="restart"/>
          </w:tcPr>
          <w:p>
            <w:pPr>
              <w:ind w:left="20"/>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24"/>
          </w:tcPr>
          <w:p>
            <w:pPr>
              <w:spacing w:after="0"/>
              <w:rPr>
                <w:rFonts w:ascii="Arial" w:cs="Arial" w:eastAsia="Arial" w:hAnsi="Arial"/>
                <w:sz w:val="16"/>
                <w:szCs w:val="16"/>
                <w:color w:val="0000FF"/>
              </w:rPr>
            </w:pPr>
            <w:hyperlink r:id="rId158">
              <w:r>
                <w:rPr>
                  <w:rFonts w:ascii="Arial" w:cs="Arial" w:eastAsia="Arial" w:hAnsi="Arial"/>
                  <w:sz w:val="16"/>
                  <w:szCs w:val="16"/>
                  <w:color w:val="0000FF"/>
                </w:rPr>
                <w:t>Employment Agreement by and between the Company and Matthew</w:t>
              </w:r>
            </w:hyperlink>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color w:val="auto"/>
              </w:rPr>
              <w:t>10-Q</w:t>
            </w:r>
          </w:p>
        </w:tc>
        <w:tc>
          <w:tcPr>
            <w:tcW w:w="1200" w:type="dxa"/>
            <w:vAlign w:val="bottom"/>
            <w:vMerge w:val="restart"/>
          </w:tcPr>
          <w:p>
            <w:pPr>
              <w:ind w:left="20"/>
              <w:spacing w:after="0"/>
              <w:rPr>
                <w:sz w:val="20"/>
                <w:szCs w:val="20"/>
                <w:color w:val="auto"/>
              </w:rPr>
            </w:pPr>
            <w:r>
              <w:rPr>
                <w:rFonts w:ascii="Arial" w:cs="Arial" w:eastAsia="Arial" w:hAnsi="Arial"/>
                <w:sz w:val="16"/>
                <w:szCs w:val="16"/>
                <w:color w:val="auto"/>
              </w:rPr>
              <w:t>001-40575</w:t>
            </w: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8/12/21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9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0"/>
              </w:rPr>
            </w:pPr>
            <w:hyperlink r:id="rId158">
              <w:r>
                <w:rPr>
                  <w:rFonts w:ascii="Arial" w:cs="Arial" w:eastAsia="Arial" w:hAnsi="Arial"/>
                  <w:sz w:val="16"/>
                  <w:szCs w:val="16"/>
                  <w:color w:val="0000FF"/>
                  <w:w w:val="90"/>
                </w:rPr>
                <w:t>Feierstein, dated July 1, 2021.</w:t>
              </w:r>
            </w:hyperlink>
          </w:p>
        </w:tc>
        <w:tc>
          <w:tcPr>
            <w:tcW w:w="234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gridSpan w:val="2"/>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vMerge w:val="restart"/>
          </w:tcPr>
          <w:p>
            <w:pPr>
              <w:ind w:left="20"/>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24"/>
          </w:tcPr>
          <w:p>
            <w:pPr>
              <w:spacing w:after="0"/>
              <w:rPr>
                <w:rFonts w:ascii="Arial" w:cs="Arial" w:eastAsia="Arial" w:hAnsi="Arial"/>
                <w:sz w:val="16"/>
                <w:szCs w:val="16"/>
                <w:color w:val="0000FF"/>
              </w:rPr>
            </w:pPr>
            <w:hyperlink r:id="rId158">
              <w:r>
                <w:rPr>
                  <w:rFonts w:ascii="Arial" w:cs="Arial" w:eastAsia="Arial" w:hAnsi="Arial"/>
                  <w:sz w:val="16"/>
                  <w:szCs w:val="16"/>
                  <w:color w:val="0000FF"/>
                </w:rPr>
                <w:t>Employment Agreement by and between the Company and Marc</w:t>
              </w:r>
            </w:hyperlink>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color w:val="auto"/>
              </w:rPr>
              <w:t>10-Q</w:t>
            </w:r>
          </w:p>
        </w:tc>
        <w:tc>
          <w:tcPr>
            <w:tcW w:w="1200" w:type="dxa"/>
            <w:vAlign w:val="bottom"/>
            <w:vMerge w:val="restart"/>
          </w:tcPr>
          <w:p>
            <w:pPr>
              <w:ind w:left="20"/>
              <w:spacing w:after="0"/>
              <w:rPr>
                <w:sz w:val="20"/>
                <w:szCs w:val="20"/>
                <w:color w:val="auto"/>
              </w:rPr>
            </w:pPr>
            <w:r>
              <w:rPr>
                <w:rFonts w:ascii="Arial" w:cs="Arial" w:eastAsia="Arial" w:hAnsi="Arial"/>
                <w:sz w:val="16"/>
                <w:szCs w:val="16"/>
                <w:color w:val="auto"/>
              </w:rPr>
              <w:t>001-40575</w:t>
            </w: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8/12/21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1"/>
              </w:rPr>
            </w:pPr>
            <w:hyperlink r:id="rId158">
              <w:r>
                <w:rPr>
                  <w:rFonts w:ascii="Arial" w:cs="Arial" w:eastAsia="Arial" w:hAnsi="Arial"/>
                  <w:sz w:val="16"/>
                  <w:szCs w:val="16"/>
                  <w:color w:val="0000FF"/>
                  <w:w w:val="91"/>
                </w:rPr>
                <w:t>Thompson, dated July 1, 2021.</w:t>
              </w:r>
            </w:hyperlink>
          </w:p>
        </w:tc>
        <w:tc>
          <w:tcPr>
            <w:tcW w:w="2040" w:type="dxa"/>
            <w:vAlign w:val="bottom"/>
            <w:tcBorders>
              <w:top w:val="single" w:sz="8" w:color="0000FF"/>
            </w:tcBorders>
            <w:gridSpan w:val="6"/>
          </w:tcPr>
          <w:p>
            <w:pPr>
              <w:spacing w:after="0"/>
              <w:rPr>
                <w:sz w:val="13"/>
                <w:szCs w:val="13"/>
                <w:color w:val="auto"/>
              </w:rPr>
            </w:pPr>
          </w:p>
        </w:tc>
        <w:tc>
          <w:tcPr>
            <w:tcW w:w="3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gridSpan w:val="2"/>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24"/>
          </w:tcPr>
          <w:p>
            <w:pPr>
              <w:spacing w:after="0"/>
              <w:rPr>
                <w:rFonts w:ascii="Arial" w:cs="Arial" w:eastAsia="Arial" w:hAnsi="Arial"/>
                <w:sz w:val="16"/>
                <w:szCs w:val="16"/>
                <w:color w:val="0000FF"/>
              </w:rPr>
            </w:pPr>
            <w:hyperlink r:id="rId159">
              <w:r>
                <w:rPr>
                  <w:rFonts w:ascii="Arial" w:cs="Arial" w:eastAsia="Arial" w:hAnsi="Arial"/>
                  <w:sz w:val="16"/>
                  <w:szCs w:val="16"/>
                  <w:color w:val="0000FF"/>
                </w:rPr>
                <w:t>Credit Agreement, dated July 6, 2021.</w:t>
              </w:r>
            </w:hyperlink>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8-K</w:t>
            </w:r>
          </w:p>
        </w:tc>
        <w:tc>
          <w:tcPr>
            <w:tcW w:w="1200" w:type="dxa"/>
            <w:vAlign w:val="bottom"/>
          </w:tcPr>
          <w:p>
            <w:pPr>
              <w:ind w:left="20"/>
              <w:spacing w:after="0"/>
              <w:rPr>
                <w:sz w:val="20"/>
                <w:szCs w:val="20"/>
                <w:color w:val="auto"/>
              </w:rPr>
            </w:pPr>
            <w:r>
              <w:rPr>
                <w:rFonts w:ascii="Arial" w:cs="Arial" w:eastAsia="Arial" w:hAnsi="Arial"/>
                <w:sz w:val="16"/>
                <w:szCs w:val="16"/>
                <w:color w:val="auto"/>
              </w:rPr>
              <w:t>001-40575</w:t>
            </w: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7/9/21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tcBorders>
              <w:bottom w:val="single" w:sz="8" w:color="0000FF"/>
            </w:tcBorders>
            <w:gridSpan w:val="9"/>
          </w:tcPr>
          <w:p>
            <w:pPr>
              <w:spacing w:after="0"/>
              <w:rPr>
                <w:rFonts w:ascii="Arial" w:cs="Arial" w:eastAsia="Arial" w:hAnsi="Arial"/>
                <w:sz w:val="16"/>
                <w:szCs w:val="16"/>
                <w:color w:val="0000FF"/>
                <w:w w:val="91"/>
              </w:rPr>
            </w:pPr>
            <w:hyperlink r:id="rId160">
              <w:r>
                <w:rPr>
                  <w:rFonts w:ascii="Arial" w:cs="Arial" w:eastAsia="Arial" w:hAnsi="Arial"/>
                  <w:sz w:val="16"/>
                  <w:szCs w:val="16"/>
                  <w:color w:val="0000FF"/>
                  <w:w w:val="91"/>
                </w:rPr>
                <w:t>Collateral Agreement, dated July 6, 2021.</w:t>
              </w:r>
            </w:hyperlink>
          </w:p>
        </w:tc>
        <w:tc>
          <w:tcPr>
            <w:tcW w:w="2320" w:type="dxa"/>
            <w:vAlign w:val="bottom"/>
            <w:gridSpan w:val="15"/>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8-K</w:t>
            </w:r>
          </w:p>
        </w:tc>
        <w:tc>
          <w:tcPr>
            <w:tcW w:w="1200" w:type="dxa"/>
            <w:vAlign w:val="bottom"/>
          </w:tcPr>
          <w:p>
            <w:pPr>
              <w:ind w:left="20"/>
              <w:spacing w:after="0"/>
              <w:rPr>
                <w:sz w:val="20"/>
                <w:szCs w:val="20"/>
                <w:color w:val="auto"/>
              </w:rPr>
            </w:pPr>
            <w:r>
              <w:rPr>
                <w:rFonts w:ascii="Arial" w:cs="Arial" w:eastAsia="Arial" w:hAnsi="Arial"/>
                <w:sz w:val="16"/>
                <w:szCs w:val="16"/>
                <w:color w:val="auto"/>
              </w:rPr>
              <w:t>001-40575</w:t>
            </w: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7/9/21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24"/>
          </w:tcPr>
          <w:p>
            <w:pPr>
              <w:spacing w:after="0"/>
              <w:rPr>
                <w:rFonts w:ascii="Arial" w:cs="Arial" w:eastAsia="Arial" w:hAnsi="Arial"/>
                <w:sz w:val="16"/>
                <w:szCs w:val="16"/>
                <w:color w:val="0000FF"/>
              </w:rPr>
            </w:pPr>
            <w:hyperlink r:id="rId161">
              <w:r>
                <w:rPr>
                  <w:rFonts w:ascii="Arial" w:cs="Arial" w:eastAsia="Arial" w:hAnsi="Arial"/>
                  <w:sz w:val="16"/>
                  <w:szCs w:val="16"/>
                  <w:color w:val="0000FF"/>
                </w:rPr>
                <w:t>Guarantee Agreement, dated July 6, 2021.</w:t>
              </w:r>
            </w:hyperlink>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8-K</w:t>
            </w:r>
          </w:p>
        </w:tc>
        <w:tc>
          <w:tcPr>
            <w:tcW w:w="1200" w:type="dxa"/>
            <w:vAlign w:val="bottom"/>
          </w:tcPr>
          <w:p>
            <w:pPr>
              <w:ind w:left="20"/>
              <w:spacing w:after="0"/>
              <w:rPr>
                <w:sz w:val="20"/>
                <w:szCs w:val="20"/>
                <w:color w:val="auto"/>
              </w:rPr>
            </w:pPr>
            <w:r>
              <w:rPr>
                <w:rFonts w:ascii="Arial" w:cs="Arial" w:eastAsia="Arial" w:hAnsi="Arial"/>
                <w:sz w:val="16"/>
                <w:szCs w:val="16"/>
                <w:color w:val="auto"/>
              </w:rPr>
              <w:t>001-40575</w:t>
            </w: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7/9/21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gridSpan w:val="7"/>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vMerge w:val="restart"/>
          </w:tcPr>
          <w:p>
            <w:pPr>
              <w:ind w:left="20"/>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24"/>
          </w:tcPr>
          <w:p>
            <w:pPr>
              <w:spacing w:after="0"/>
              <w:rPr>
                <w:rFonts w:ascii="Arial" w:cs="Arial" w:eastAsia="Arial" w:hAnsi="Arial"/>
                <w:sz w:val="16"/>
                <w:szCs w:val="16"/>
                <w:color w:val="0000FF"/>
              </w:rPr>
            </w:pPr>
            <w:hyperlink w:anchor="page101">
              <w:r>
                <w:rPr>
                  <w:rFonts w:ascii="Arial" w:cs="Arial" w:eastAsia="Arial" w:hAnsi="Arial"/>
                  <w:sz w:val="16"/>
                  <w:szCs w:val="16"/>
                  <w:color w:val="0000FF"/>
                </w:rPr>
                <w:t>Certification of Chief Executive Officer pursuant to Rule 13a-14(a)/15d-</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w w:val="90"/>
              </w:rPr>
            </w:pPr>
            <w:hyperlink w:anchor="page101">
              <w:r>
                <w:rPr>
                  <w:rFonts w:ascii="Arial" w:cs="Arial" w:eastAsia="Arial" w:hAnsi="Arial"/>
                  <w:sz w:val="16"/>
                  <w:szCs w:val="16"/>
                  <w:color w:val="0000FF"/>
                  <w:w w:val="90"/>
                </w:rPr>
                <w:t>14(a).</w:t>
              </w:r>
            </w:hyperlink>
          </w:p>
        </w:tc>
        <w:tc>
          <w:tcPr>
            <w:tcW w:w="4160" w:type="dxa"/>
            <w:vAlign w:val="bottom"/>
            <w:tcBorders>
              <w:top w:val="single" w:sz="8" w:color="0000FF"/>
            </w:tcBorders>
            <w:gridSpan w:val="19"/>
          </w:tcPr>
          <w:p>
            <w:pPr>
              <w:spacing w:after="0"/>
              <w:rPr>
                <w:sz w:val="13"/>
                <w:szCs w:val="13"/>
                <w:color w:val="auto"/>
              </w:rPr>
            </w:pPr>
          </w:p>
        </w:tc>
        <w:tc>
          <w:tcPr>
            <w:tcW w:w="3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ind w:left="20"/>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24"/>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Certification of Chief Financial Officer pursuant to Rule 13a-14(a)/15d-</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w w:val="90"/>
              </w:rPr>
            </w:pPr>
            <w:hyperlink w:anchor="page102">
              <w:r>
                <w:rPr>
                  <w:rFonts w:ascii="Arial" w:cs="Arial" w:eastAsia="Arial" w:hAnsi="Arial"/>
                  <w:sz w:val="16"/>
                  <w:szCs w:val="16"/>
                  <w:color w:val="0000FF"/>
                  <w:w w:val="90"/>
                </w:rPr>
                <w:t>14(a).</w:t>
              </w:r>
            </w:hyperlink>
          </w:p>
        </w:tc>
        <w:tc>
          <w:tcPr>
            <w:tcW w:w="4120" w:type="dxa"/>
            <w:vAlign w:val="bottom"/>
            <w:tcBorders>
              <w:top w:val="single" w:sz="8" w:color="0000FF"/>
            </w:tcBorders>
            <w:gridSpan w:val="17"/>
          </w:tcPr>
          <w:p>
            <w:pPr>
              <w:spacing w:after="0"/>
              <w:rPr>
                <w:sz w:val="13"/>
                <w:szCs w:val="13"/>
                <w:color w:val="auto"/>
              </w:rPr>
            </w:pPr>
          </w:p>
        </w:tc>
        <w:tc>
          <w:tcPr>
            <w:tcW w:w="36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ind w:left="20"/>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24"/>
          </w:tcPr>
          <w:p>
            <w:pPr>
              <w:spacing w:after="0"/>
              <w:rPr>
                <w:rFonts w:ascii="Arial" w:cs="Arial" w:eastAsia="Arial" w:hAnsi="Arial"/>
                <w:sz w:val="16"/>
                <w:szCs w:val="16"/>
                <w:color w:val="0000FF"/>
              </w:rPr>
            </w:pPr>
            <w:hyperlink w:anchor="page103">
              <w:r>
                <w:rPr>
                  <w:rFonts w:ascii="Arial" w:cs="Arial" w:eastAsia="Arial" w:hAnsi="Arial"/>
                  <w:sz w:val="16"/>
                  <w:szCs w:val="16"/>
                  <w:color w:val="0000FF"/>
                </w:rPr>
                <w:t>Certification of Chief Executive Officer pursuant to 18 U.S.C. Section</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8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89"/>
              </w:rPr>
            </w:pPr>
            <w:hyperlink w:anchor="page103">
              <w:r>
                <w:rPr>
                  <w:rFonts w:ascii="Arial" w:cs="Arial" w:eastAsia="Arial" w:hAnsi="Arial"/>
                  <w:sz w:val="16"/>
                  <w:szCs w:val="16"/>
                  <w:color w:val="0000FF"/>
                  <w:w w:val="89"/>
                </w:rPr>
                <w:t>1350.</w:t>
              </w:r>
            </w:hyperlink>
          </w:p>
        </w:tc>
        <w:tc>
          <w:tcPr>
            <w:tcW w:w="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ind w:left="20"/>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24"/>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Certification of Chief Financial Officer pursuant to 18 U.S.C. Section</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8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89"/>
              </w:rPr>
            </w:pPr>
            <w:hyperlink w:anchor="page104">
              <w:r>
                <w:rPr>
                  <w:rFonts w:ascii="Arial" w:cs="Arial" w:eastAsia="Arial" w:hAnsi="Arial"/>
                  <w:sz w:val="16"/>
                  <w:szCs w:val="16"/>
                  <w:color w:val="0000FF"/>
                  <w:w w:val="89"/>
                </w:rPr>
                <w:t>1350.</w:t>
              </w:r>
            </w:hyperlink>
          </w:p>
        </w:tc>
        <w:tc>
          <w:tcPr>
            <w:tcW w:w="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24"/>
          </w:tcPr>
          <w:p>
            <w:pPr>
              <w:spacing w:after="0"/>
              <w:rPr>
                <w:sz w:val="20"/>
                <w:szCs w:val="20"/>
                <w:color w:val="auto"/>
              </w:rPr>
            </w:pPr>
            <w:r>
              <w:rPr>
                <w:rFonts w:ascii="Arial" w:cs="Arial" w:eastAsia="Arial" w:hAnsi="Arial"/>
                <w:sz w:val="16"/>
                <w:szCs w:val="16"/>
                <w:color w:val="auto"/>
                <w:w w:val="95"/>
              </w:rPr>
              <w:t>Inline XBRL Instance Document – the instance document does not appear</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80" w:type="dxa"/>
            <w:vAlign w:val="bottom"/>
            <w:gridSpan w:val="23"/>
          </w:tcPr>
          <w:p>
            <w:pPr>
              <w:spacing w:after="0" w:line="175" w:lineRule="exact"/>
              <w:rPr>
                <w:sz w:val="20"/>
                <w:szCs w:val="20"/>
                <w:color w:val="auto"/>
              </w:rPr>
            </w:pPr>
            <w:r>
              <w:rPr>
                <w:rFonts w:ascii="Arial" w:cs="Arial" w:eastAsia="Arial" w:hAnsi="Arial"/>
                <w:sz w:val="16"/>
                <w:szCs w:val="16"/>
                <w:color w:val="auto"/>
                <w:w w:val="96"/>
              </w:rPr>
              <w:t>in the Interactive Data File because its XBRL tags are embedded within</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gridSpan w:val="23"/>
          </w:tcPr>
          <w:p>
            <w:pPr>
              <w:spacing w:after="0"/>
              <w:rPr>
                <w:sz w:val="20"/>
                <w:szCs w:val="20"/>
                <w:color w:val="auto"/>
              </w:rPr>
            </w:pPr>
            <w:r>
              <w:rPr>
                <w:rFonts w:ascii="Arial" w:cs="Arial" w:eastAsia="Arial" w:hAnsi="Arial"/>
                <w:sz w:val="16"/>
                <w:szCs w:val="16"/>
                <w:color w:val="auto"/>
              </w:rPr>
              <w:t>the Inline XBRL document.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9"/>
                <w:szCs w:val="19"/>
                <w:color w:val="auto"/>
              </w:rPr>
            </w:pPr>
          </w:p>
        </w:tc>
        <w:tc>
          <w:tcPr>
            <w:tcW w:w="5040" w:type="dxa"/>
            <w:vAlign w:val="bottom"/>
            <w:gridSpan w:val="24"/>
          </w:tcPr>
          <w:p>
            <w:pPr>
              <w:spacing w:after="0"/>
              <w:rPr>
                <w:sz w:val="20"/>
                <w:szCs w:val="20"/>
                <w:color w:val="auto"/>
              </w:rPr>
            </w:pPr>
            <w:r>
              <w:rPr>
                <w:rFonts w:ascii="Arial" w:cs="Arial" w:eastAsia="Arial" w:hAnsi="Arial"/>
                <w:sz w:val="16"/>
                <w:szCs w:val="16"/>
                <w:color w:val="auto"/>
              </w:rPr>
              <w:t>Inline XBRL Taxonomy Extension Schema Document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9"/>
                <w:szCs w:val="19"/>
                <w:color w:val="auto"/>
              </w:rPr>
            </w:pPr>
          </w:p>
        </w:tc>
        <w:tc>
          <w:tcPr>
            <w:tcW w:w="5040" w:type="dxa"/>
            <w:vAlign w:val="bottom"/>
            <w:gridSpan w:val="24"/>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9"/>
                <w:szCs w:val="19"/>
                <w:color w:val="auto"/>
              </w:rPr>
            </w:pPr>
          </w:p>
        </w:tc>
        <w:tc>
          <w:tcPr>
            <w:tcW w:w="5040" w:type="dxa"/>
            <w:vAlign w:val="bottom"/>
            <w:gridSpan w:val="24"/>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9"/>
                <w:szCs w:val="19"/>
                <w:color w:val="auto"/>
              </w:rPr>
            </w:pPr>
          </w:p>
        </w:tc>
        <w:tc>
          <w:tcPr>
            <w:tcW w:w="5040" w:type="dxa"/>
            <w:vAlign w:val="bottom"/>
            <w:gridSpan w:val="24"/>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9"/>
                <w:szCs w:val="19"/>
                <w:color w:val="auto"/>
              </w:rPr>
            </w:pPr>
          </w:p>
        </w:tc>
        <w:tc>
          <w:tcPr>
            <w:tcW w:w="5040" w:type="dxa"/>
            <w:vAlign w:val="bottom"/>
            <w:gridSpan w:val="24"/>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gridSpan w:val="24"/>
          </w:tcPr>
          <w:p>
            <w:pPr>
              <w:spacing w:after="0"/>
              <w:rPr>
                <w:sz w:val="20"/>
                <w:szCs w:val="20"/>
                <w:color w:val="auto"/>
              </w:rPr>
            </w:pPr>
            <w:r>
              <w:rPr>
                <w:rFonts w:ascii="Arial" w:cs="Arial" w:eastAsia="Arial" w:hAnsi="Arial"/>
                <w:sz w:val="16"/>
                <w:szCs w:val="16"/>
                <w:color w:val="auto"/>
                <w:w w:val="95"/>
              </w:rPr>
              <w:t>Cover Page Interactive Data File (formatted as Inline XBRL and contained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gridSpan w:val="23"/>
          </w:tcPr>
          <w:p>
            <w:pPr>
              <w:spacing w:after="0"/>
              <w:rPr>
                <w:sz w:val="20"/>
                <w:szCs w:val="20"/>
                <w:color w:val="auto"/>
              </w:rPr>
            </w:pPr>
            <w:r>
              <w:rPr>
                <w:rFonts w:ascii="Arial" w:cs="Arial" w:eastAsia="Arial" w:hAnsi="Arial"/>
                <w:sz w:val="16"/>
                <w:szCs w:val="16"/>
                <w:color w:val="auto"/>
              </w:rPr>
              <w:t>in Exhibit 101)</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EVERCOMMERCE INC.</w:t>
      </w:r>
    </w:p>
    <w:p>
      <w:pPr>
        <w:spacing w:after="0" w:line="302" w:lineRule="exact"/>
        <w:rPr>
          <w:sz w:val="20"/>
          <w:szCs w:val="20"/>
          <w:color w:val="auto"/>
        </w:rPr>
      </w:pPr>
    </w:p>
    <w:p>
      <w:pPr>
        <w:ind w:left="20"/>
        <w:spacing w:after="0"/>
        <w:tabs>
          <w:tab w:leader="none" w:pos="5640" w:val="left"/>
          <w:tab w:leader="none" w:pos="8200" w:val="left"/>
        </w:tabs>
        <w:rPr>
          <w:sz w:val="20"/>
          <w:szCs w:val="20"/>
          <w:color w:val="auto"/>
        </w:rPr>
      </w:pPr>
      <w:r>
        <w:rPr>
          <w:rFonts w:ascii="Arial" w:cs="Arial" w:eastAsia="Arial" w:hAnsi="Arial"/>
          <w:sz w:val="18"/>
          <w:szCs w:val="18"/>
          <w:b w:val="1"/>
          <w:bCs w:val="1"/>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26035</wp:posOffset>
            </wp:positionV>
            <wp:extent cx="31718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0"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Eric Remer</w:t>
      </w:r>
    </w:p>
    <w:p>
      <w:pPr>
        <w:spacing w:after="0" w:line="36"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5640" w:val="left"/>
          <w:tab w:leader="none" w:pos="8020" w:val="left"/>
        </w:tabs>
        <w:rPr>
          <w:sz w:val="20"/>
          <w:szCs w:val="20"/>
          <w:color w:val="auto"/>
        </w:rPr>
      </w:pPr>
      <w:r>
        <w:rPr>
          <w:rFonts w:ascii="Arial" w:cs="Arial" w:eastAsia="Arial" w:hAnsi="Arial"/>
          <w:sz w:val="18"/>
          <w:szCs w:val="18"/>
          <w:b w:val="1"/>
          <w:bCs w:val="1"/>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26035</wp:posOffset>
            </wp:positionV>
            <wp:extent cx="31718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0"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Marc Thompson</w:t>
      </w:r>
    </w:p>
    <w:p>
      <w:pPr>
        <w:spacing w:after="0" w:line="36"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1440" w:right="37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Remer, certify that:</w:t>
      </w:r>
    </w:p>
    <w:p>
      <w:pPr>
        <w:spacing w:after="0" w:line="225"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EverCommerce Inc.;</w:t>
      </w:r>
    </w:p>
    <w:p>
      <w:pPr>
        <w:spacing w:after="0" w:line="225" w:lineRule="exact"/>
        <w:rPr>
          <w:rFonts w:ascii="Arial" w:cs="Arial" w:eastAsia="Arial" w:hAnsi="Arial"/>
          <w:sz w:val="18"/>
          <w:szCs w:val="18"/>
          <w:color w:val="auto"/>
        </w:rPr>
      </w:pPr>
    </w:p>
    <w:p>
      <w:pPr>
        <w:jc w:val="both"/>
        <w:ind w:left="440" w:right="340" w:hanging="432"/>
        <w:spacing w:after="0" w:line="263" w:lineRule="auto"/>
        <w:tabs>
          <w:tab w:leader="none" w:pos="4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300" w:hanging="432"/>
        <w:spacing w:after="0" w:line="308" w:lineRule="auto"/>
        <w:tabs>
          <w:tab w:leader="none" w:pos="431"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540" w:hanging="432"/>
        <w:spacing w:after="0" w:line="277" w:lineRule="auto"/>
        <w:tabs>
          <w:tab w:leader="none" w:pos="4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900" w:right="200" w:hanging="451"/>
        <w:spacing w:after="0" w:line="263" w:lineRule="auto"/>
        <w:tabs>
          <w:tab w:leader="none" w:pos="83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840" w:hanging="391"/>
        <w:spacing w:after="0"/>
        <w:tabs>
          <w:tab w:leader="none" w:pos="8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900" w:right="620" w:hanging="451"/>
        <w:spacing w:after="0" w:line="342" w:lineRule="auto"/>
        <w:tabs>
          <w:tab w:leader="none" w:pos="839"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220" w:hanging="451"/>
        <w:spacing w:after="0" w:line="263" w:lineRule="auto"/>
        <w:tabs>
          <w:tab w:leader="none" w:pos="84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40" w:right="240" w:hanging="432"/>
        <w:spacing w:after="0" w:line="308" w:lineRule="auto"/>
        <w:tabs>
          <w:tab w:leader="none" w:pos="431"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120" w:hanging="451"/>
        <w:spacing w:after="0" w:line="308" w:lineRule="auto"/>
        <w:tabs>
          <w:tab w:leader="none" w:pos="829"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80" w:hanging="451"/>
        <w:spacing w:after="0" w:line="277" w:lineRule="auto"/>
        <w:tabs>
          <w:tab w:leader="none" w:pos="83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520" w:val="left"/>
          <w:tab w:leader="none" w:pos="808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3172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Eric Remer</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7"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417"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Marc Thompson, certify that:</w:t>
      </w:r>
    </w:p>
    <w:p>
      <w:pPr>
        <w:spacing w:after="0" w:line="225"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EverCommerce Inc.;</w:t>
      </w:r>
    </w:p>
    <w:p>
      <w:pPr>
        <w:spacing w:after="0" w:line="225"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580" w:hanging="412"/>
        <w:spacing w:after="0" w:line="277"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900" w:right="200" w:hanging="451"/>
        <w:spacing w:after="0" w:line="263" w:lineRule="auto"/>
        <w:tabs>
          <w:tab w:leader="none" w:pos="83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840" w:hanging="391"/>
        <w:spacing w:after="0"/>
        <w:tabs>
          <w:tab w:leader="none" w:pos="8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900" w:right="620" w:hanging="451"/>
        <w:spacing w:after="0" w:line="342" w:lineRule="auto"/>
        <w:tabs>
          <w:tab w:leader="none" w:pos="839"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220" w:hanging="451"/>
        <w:spacing w:after="0" w:line="263" w:lineRule="auto"/>
        <w:tabs>
          <w:tab w:leader="none" w:pos="84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right="260" w:hanging="412"/>
        <w:spacing w:after="0" w:line="308"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120" w:hanging="451"/>
        <w:spacing w:after="0" w:line="308" w:lineRule="auto"/>
        <w:tabs>
          <w:tab w:leader="none" w:pos="829"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80" w:hanging="451"/>
        <w:spacing w:after="0" w:line="277" w:lineRule="auto"/>
        <w:tabs>
          <w:tab w:leader="none" w:pos="83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520" w:val="left"/>
          <w:tab w:leader="none" w:pos="790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3172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3"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Marc Thompson</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41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In connection with the Quarterly Report on Form 10-Q of EverCommerce Inc. (the “Company”)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840" w:hanging="391"/>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40" w:hanging="391"/>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29" w:lineRule="exact"/>
        <w:rPr>
          <w:sz w:val="20"/>
          <w:szCs w:val="20"/>
          <w:color w:val="auto"/>
        </w:rPr>
      </w:pPr>
    </w:p>
    <w:p>
      <w:pPr>
        <w:ind w:left="20"/>
        <w:spacing w:after="0"/>
        <w:tabs>
          <w:tab w:leader="none" w:pos="5420" w:val="left"/>
          <w:tab w:leader="none" w:pos="808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3172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Eric Remer</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7"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417" w:right="339" w:bottom="1440" w:gutter="0" w:footer="0" w:header="0"/>
        </w:sectPr>
      </w:pPr>
    </w:p>
    <w:bookmarkStart w:id="103" w:name="page104"/>
    <w:bookmarkEnd w:id="103"/>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In connection with the Quarterly Report on Form 10-Q of EverCommerce Inc. (the “Company”)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840" w:hanging="391"/>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40" w:hanging="391"/>
        <w:spacing w:after="0"/>
        <w:tabs>
          <w:tab w:leader="none" w:pos="8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29" w:lineRule="exact"/>
        <w:rPr>
          <w:sz w:val="20"/>
          <w:szCs w:val="20"/>
          <w:color w:val="auto"/>
        </w:rPr>
      </w:pPr>
    </w:p>
    <w:p>
      <w:pPr>
        <w:ind w:left="20"/>
        <w:spacing w:after="0"/>
        <w:tabs>
          <w:tab w:leader="none" w:pos="5480" w:val="left"/>
          <w:tab w:leader="none" w:pos="790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3172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3"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Marc Thompson</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lowerRoman"/>
      <w:start w:val="3"/>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52" Type="http://schemas.openxmlformats.org/officeDocument/2006/relationships/hyperlink" Target="http://www.sec.gov/Archives/edgar/data/0001853145/000114036121023912/nt10022251x16_ex3-1.htm" TargetMode="External"/><Relationship Id="rId153" Type="http://schemas.openxmlformats.org/officeDocument/2006/relationships/hyperlink" Target="http://www.sec.gov/Archives/edgar/data/0001853145/000114036121023912/nt10022251x16_ex3-2.htm" TargetMode="External"/><Relationship Id="rId154" Type="http://schemas.openxmlformats.org/officeDocument/2006/relationships/hyperlink" Target="http://www.sec.gov/Archives/edgar/data/0001853145/000114036121021966/nt10022251x6_ex4-1.htm" TargetMode="External"/><Relationship Id="rId155" Type="http://schemas.openxmlformats.org/officeDocument/2006/relationships/hyperlink" Target="http://www.sec.gov/Archives/edgar/data/0001853145/000114036121019260/nt10022251x4_s1.htm" TargetMode="External"/><Relationship Id="rId156" Type="http://schemas.openxmlformats.org/officeDocument/2006/relationships/hyperlink" Target="http://www.sec.gov/Archives/edgar/data/0001853145/000114036121023912/nt10022251x16_ex10-1.htm" TargetMode="External"/><Relationship Id="rId157" Type="http://schemas.openxmlformats.org/officeDocument/2006/relationships/hyperlink" Target="http://www.sec.gov/Archives/edgar/data/0001853145/000114036121023912/nt10022251x16_ex10-2.htm" TargetMode="External"/><Relationship Id="rId158" Type="http://schemas.openxmlformats.org/officeDocument/2006/relationships/hyperlink" Target="http://www.sec.gov/ix?doc=/Archives/edgar/data/0001853145/000185314521000011/evcm-20210630.htm" TargetMode="External"/><Relationship Id="rId159" Type="http://schemas.openxmlformats.org/officeDocument/2006/relationships/hyperlink" Target="http://www.sec.gov/Archives/edgar/data/0001853145/000114036121023912/nt10022251x16_ex10-3.htm" TargetMode="External"/><Relationship Id="rId160" Type="http://schemas.openxmlformats.org/officeDocument/2006/relationships/hyperlink" Target="http://www.sec.gov/Archives/edgar/data/0001853145/000114036121023912/nt10022251x16_ex10-4.htm" TargetMode="External"/><Relationship Id="rId161" Type="http://schemas.openxmlformats.org/officeDocument/2006/relationships/hyperlink" Target="http://www.sec.gov/Archives/edgar/data/0001853145/000114036121023912/nt10022251x16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2021-11-09T05:16:37Z</dcterms:created>
  <dcterms:modified xsi:type="dcterms:W3CDTF">2021-11-09T05:16:37Z</dcterms:modified>
</cp:coreProperties>
</file>